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55" w:rsidRPr="003A3055" w:rsidRDefault="003A3055" w:rsidP="002579A4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F17168" w:rsidRPr="003A3055" w:rsidRDefault="002579A4" w:rsidP="002579A4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A3055">
        <w:rPr>
          <w:rFonts w:ascii="Arial" w:hAnsi="Arial" w:cs="Arial"/>
          <w:color w:val="000000" w:themeColor="text1"/>
          <w:shd w:val="clear" w:color="auto" w:fill="FFFFFF"/>
        </w:rPr>
        <w:t xml:space="preserve">Na </w:t>
      </w:r>
      <w:proofErr w:type="spellStart"/>
      <w:r w:rsidRPr="003A3055">
        <w:rPr>
          <w:rFonts w:ascii="Arial" w:hAnsi="Arial" w:cs="Arial"/>
          <w:color w:val="000000" w:themeColor="text1"/>
          <w:shd w:val="clear" w:color="auto" w:fill="FFFFFF"/>
        </w:rPr>
        <w:t>osnovu</w:t>
      </w:r>
      <w:proofErr w:type="spellEnd"/>
      <w:r w:rsidRPr="003A305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A3055">
        <w:rPr>
          <w:rFonts w:ascii="Arial" w:hAnsi="Arial" w:cs="Arial"/>
          <w:color w:val="000000" w:themeColor="text1"/>
          <w:shd w:val="clear" w:color="auto" w:fill="FFFFFF"/>
        </w:rPr>
        <w:t>člana</w:t>
      </w:r>
      <w:proofErr w:type="spellEnd"/>
      <w:r w:rsidRPr="003A3055">
        <w:rPr>
          <w:rFonts w:ascii="Arial" w:hAnsi="Arial" w:cs="Arial"/>
          <w:color w:val="000000" w:themeColor="text1"/>
          <w:shd w:val="clear" w:color="auto" w:fill="FFFFFF"/>
        </w:rPr>
        <w:t xml:space="preserve"> 98 </w:t>
      </w:r>
      <w:proofErr w:type="spellStart"/>
      <w:r w:rsidRPr="003A3055">
        <w:rPr>
          <w:rFonts w:ascii="Arial" w:hAnsi="Arial" w:cs="Arial"/>
          <w:color w:val="000000" w:themeColor="text1"/>
          <w:shd w:val="clear" w:color="auto" w:fill="FFFFFF"/>
        </w:rPr>
        <w:t>stav</w:t>
      </w:r>
      <w:proofErr w:type="spellEnd"/>
      <w:r w:rsidRPr="003A3055">
        <w:rPr>
          <w:rFonts w:ascii="Arial" w:hAnsi="Arial" w:cs="Arial"/>
          <w:color w:val="000000" w:themeColor="text1"/>
          <w:shd w:val="clear" w:color="auto" w:fill="FFFFFF"/>
        </w:rPr>
        <w:t xml:space="preserve"> 2</w:t>
      </w:r>
      <w:r w:rsidR="003A305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A3055">
        <w:rPr>
          <w:rFonts w:ascii="Arial" w:hAnsi="Arial" w:cs="Arial"/>
          <w:color w:val="000000" w:themeColor="text1"/>
          <w:shd w:val="clear" w:color="auto" w:fill="FFFFFF"/>
        </w:rPr>
        <w:t>Zakona</w:t>
      </w:r>
      <w:proofErr w:type="spellEnd"/>
      <w:r w:rsidR="003A3055">
        <w:rPr>
          <w:rFonts w:ascii="Arial" w:hAnsi="Arial" w:cs="Arial"/>
          <w:color w:val="000000" w:themeColor="text1"/>
          <w:shd w:val="clear" w:color="auto" w:fill="FFFFFF"/>
        </w:rPr>
        <w:t xml:space="preserve"> o </w:t>
      </w:r>
      <w:proofErr w:type="spellStart"/>
      <w:r w:rsidR="003A3055">
        <w:rPr>
          <w:rFonts w:ascii="Arial" w:hAnsi="Arial" w:cs="Arial"/>
          <w:color w:val="000000" w:themeColor="text1"/>
          <w:shd w:val="clear" w:color="auto" w:fill="FFFFFF"/>
        </w:rPr>
        <w:t>visokom</w:t>
      </w:r>
      <w:proofErr w:type="spellEnd"/>
      <w:r w:rsidR="003A305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A3055">
        <w:rPr>
          <w:rFonts w:ascii="Arial" w:hAnsi="Arial" w:cs="Arial"/>
          <w:color w:val="000000" w:themeColor="text1"/>
          <w:shd w:val="clear" w:color="auto" w:fill="FFFFFF"/>
        </w:rPr>
        <w:t>obrazovanju</w:t>
      </w:r>
      <w:proofErr w:type="spellEnd"/>
      <w:r w:rsidR="003A3055">
        <w:rPr>
          <w:rFonts w:ascii="Arial" w:hAnsi="Arial" w:cs="Arial"/>
          <w:color w:val="000000" w:themeColor="text1"/>
          <w:shd w:val="clear" w:color="auto" w:fill="FFFFFF"/>
        </w:rPr>
        <w:t xml:space="preserve"> (,</w:t>
      </w:r>
      <w:proofErr w:type="gramStart"/>
      <w:r w:rsidR="003A3055">
        <w:rPr>
          <w:rFonts w:ascii="Arial" w:hAnsi="Arial" w:cs="Arial"/>
          <w:color w:val="000000" w:themeColor="text1"/>
          <w:shd w:val="clear" w:color="auto" w:fill="FFFFFF"/>
        </w:rPr>
        <w:t>,</w:t>
      </w:r>
      <w:proofErr w:type="spellStart"/>
      <w:r w:rsidR="003A3055">
        <w:rPr>
          <w:rFonts w:ascii="Arial" w:hAnsi="Arial" w:cs="Arial"/>
          <w:color w:val="000000" w:themeColor="text1"/>
          <w:shd w:val="clear" w:color="auto" w:fill="FFFFFF"/>
        </w:rPr>
        <w:t>Službeni</w:t>
      </w:r>
      <w:proofErr w:type="spellEnd"/>
      <w:proofErr w:type="gramEnd"/>
      <w:r w:rsidR="003A3055">
        <w:rPr>
          <w:rFonts w:ascii="Arial" w:hAnsi="Arial" w:cs="Arial"/>
          <w:color w:val="000000" w:themeColor="text1"/>
          <w:shd w:val="clear" w:color="auto" w:fill="FFFFFF"/>
        </w:rPr>
        <w:t xml:space="preserve"> list </w:t>
      </w:r>
      <w:proofErr w:type="spellStart"/>
      <w:r w:rsidR="003A3055">
        <w:rPr>
          <w:rFonts w:ascii="Arial" w:hAnsi="Arial" w:cs="Arial"/>
          <w:color w:val="000000" w:themeColor="text1"/>
          <w:shd w:val="clear" w:color="auto" w:fill="FFFFFF"/>
        </w:rPr>
        <w:t>Crne</w:t>
      </w:r>
      <w:proofErr w:type="spellEnd"/>
      <w:r w:rsidR="003A3055">
        <w:rPr>
          <w:rFonts w:ascii="Arial" w:hAnsi="Arial" w:cs="Arial"/>
          <w:color w:val="000000" w:themeColor="text1"/>
          <w:shd w:val="clear" w:color="auto" w:fill="FFFFFF"/>
        </w:rPr>
        <w:t xml:space="preserve"> Gore” </w:t>
      </w:r>
      <w:r w:rsidRPr="003A3055">
        <w:rPr>
          <w:rFonts w:ascii="Arial" w:hAnsi="Arial" w:cs="Arial"/>
          <w:color w:val="000000" w:themeColor="text1"/>
          <w:shd w:val="clear" w:color="auto" w:fill="FFFFFF"/>
        </w:rPr>
        <w:t>, br. 44/14, 47/15, 40/16, 42/17, 71/17, 55/</w:t>
      </w:r>
      <w:r w:rsidR="00DB49D0" w:rsidRPr="003A3055">
        <w:rPr>
          <w:rFonts w:ascii="Arial" w:hAnsi="Arial" w:cs="Arial"/>
          <w:color w:val="000000" w:themeColor="text1"/>
          <w:shd w:val="clear" w:color="auto" w:fill="FFFFFF"/>
        </w:rPr>
        <w:t xml:space="preserve">18, 3/19, 17/19, 47/19, 72/19, </w:t>
      </w:r>
      <w:r w:rsidRPr="003A3055">
        <w:rPr>
          <w:rFonts w:ascii="Arial" w:hAnsi="Arial" w:cs="Arial"/>
          <w:color w:val="000000" w:themeColor="text1"/>
          <w:shd w:val="clear" w:color="auto" w:fill="FFFFFF"/>
        </w:rPr>
        <w:t>74/20</w:t>
      </w:r>
      <w:r w:rsidR="00DB49D0" w:rsidRPr="003A305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DB49D0" w:rsidRPr="003A3055">
        <w:rPr>
          <w:rFonts w:ascii="Arial" w:hAnsi="Arial" w:cs="Arial"/>
          <w:color w:val="000000" w:themeColor="text1"/>
          <w:shd w:val="clear" w:color="auto" w:fill="FFFFFF"/>
        </w:rPr>
        <w:t>i</w:t>
      </w:r>
      <w:proofErr w:type="spellEnd"/>
      <w:r w:rsidR="00DB49D0" w:rsidRPr="003A3055">
        <w:rPr>
          <w:rFonts w:ascii="Arial" w:hAnsi="Arial" w:cs="Arial"/>
          <w:color w:val="000000" w:themeColor="text1"/>
          <w:shd w:val="clear" w:color="auto" w:fill="FFFFFF"/>
        </w:rPr>
        <w:t xml:space="preserve"> 104/21</w:t>
      </w:r>
      <w:r w:rsidRPr="003A3055">
        <w:rPr>
          <w:rFonts w:ascii="Arial" w:hAnsi="Arial" w:cs="Arial"/>
          <w:color w:val="000000" w:themeColor="text1"/>
          <w:shd w:val="clear" w:color="auto" w:fill="FFFFFF"/>
        </w:rPr>
        <w:t xml:space="preserve"> ) </w:t>
      </w:r>
      <w:proofErr w:type="spellStart"/>
      <w:r w:rsidRPr="003A3055">
        <w:rPr>
          <w:rFonts w:ascii="Arial" w:hAnsi="Arial" w:cs="Arial"/>
          <w:color w:val="000000" w:themeColor="text1"/>
          <w:shd w:val="clear" w:color="auto" w:fill="FFFFFF"/>
        </w:rPr>
        <w:t>i</w:t>
      </w:r>
      <w:proofErr w:type="spellEnd"/>
      <w:r w:rsidRPr="003A305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A3055">
        <w:rPr>
          <w:rFonts w:ascii="Arial" w:hAnsi="Arial" w:cs="Arial"/>
          <w:color w:val="000000" w:themeColor="text1"/>
          <w:shd w:val="clear" w:color="auto" w:fill="FFFFFF"/>
        </w:rPr>
        <w:t>člana</w:t>
      </w:r>
      <w:proofErr w:type="spellEnd"/>
      <w:r w:rsidRPr="003A3055">
        <w:rPr>
          <w:rFonts w:ascii="Arial" w:hAnsi="Arial" w:cs="Arial"/>
          <w:color w:val="000000" w:themeColor="text1"/>
          <w:shd w:val="clear" w:color="auto" w:fill="FFFFFF"/>
        </w:rPr>
        <w:t xml:space="preserve"> 24 </w:t>
      </w:r>
      <w:proofErr w:type="spellStart"/>
      <w:r w:rsidRPr="003A3055">
        <w:rPr>
          <w:rFonts w:ascii="Arial" w:hAnsi="Arial" w:cs="Arial"/>
          <w:color w:val="000000" w:themeColor="text1"/>
          <w:shd w:val="clear" w:color="auto" w:fill="FFFFFF"/>
        </w:rPr>
        <w:t>stav</w:t>
      </w:r>
      <w:proofErr w:type="spellEnd"/>
      <w:r w:rsidRPr="003A3055">
        <w:rPr>
          <w:rFonts w:ascii="Arial" w:hAnsi="Arial" w:cs="Arial"/>
          <w:color w:val="000000" w:themeColor="text1"/>
          <w:shd w:val="clear" w:color="auto" w:fill="FFFFFF"/>
        </w:rPr>
        <w:t xml:space="preserve"> 1 </w:t>
      </w:r>
      <w:proofErr w:type="spellStart"/>
      <w:r w:rsidRPr="003A3055">
        <w:rPr>
          <w:rFonts w:ascii="Arial" w:hAnsi="Arial" w:cs="Arial"/>
          <w:color w:val="000000" w:themeColor="text1"/>
          <w:shd w:val="clear" w:color="auto" w:fill="FFFFFF"/>
        </w:rPr>
        <w:t>tačka</w:t>
      </w:r>
      <w:proofErr w:type="spellEnd"/>
      <w:r w:rsidRPr="003A3055">
        <w:rPr>
          <w:rFonts w:ascii="Arial" w:hAnsi="Arial" w:cs="Arial"/>
          <w:color w:val="000000" w:themeColor="text1"/>
          <w:shd w:val="clear" w:color="auto" w:fill="FFFFFF"/>
        </w:rPr>
        <w:t xml:space="preserve"> 15 </w:t>
      </w:r>
      <w:proofErr w:type="spellStart"/>
      <w:r w:rsidRPr="003A3055">
        <w:rPr>
          <w:rFonts w:ascii="Arial" w:hAnsi="Arial" w:cs="Arial"/>
          <w:color w:val="000000" w:themeColor="text1"/>
          <w:shd w:val="clear" w:color="auto" w:fill="FFFFFF"/>
        </w:rPr>
        <w:t>Statuta</w:t>
      </w:r>
      <w:proofErr w:type="spellEnd"/>
      <w:r w:rsidRPr="003A305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A3055">
        <w:rPr>
          <w:rFonts w:ascii="Arial" w:hAnsi="Arial" w:cs="Arial"/>
          <w:color w:val="000000" w:themeColor="text1"/>
          <w:shd w:val="clear" w:color="auto" w:fill="FFFFFF"/>
        </w:rPr>
        <w:t>Univerziteta</w:t>
      </w:r>
      <w:proofErr w:type="spellEnd"/>
      <w:r w:rsidRPr="003A305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A3055">
        <w:rPr>
          <w:rFonts w:ascii="Arial" w:hAnsi="Arial" w:cs="Arial"/>
          <w:color w:val="000000" w:themeColor="text1"/>
          <w:shd w:val="clear" w:color="auto" w:fill="FFFFFF"/>
        </w:rPr>
        <w:t>Crne</w:t>
      </w:r>
      <w:proofErr w:type="spellEnd"/>
      <w:r w:rsidRPr="003A3055">
        <w:rPr>
          <w:rFonts w:ascii="Arial" w:hAnsi="Arial" w:cs="Arial"/>
          <w:color w:val="000000" w:themeColor="text1"/>
          <w:shd w:val="clear" w:color="auto" w:fill="FFFFFF"/>
        </w:rPr>
        <w:t xml:space="preserve"> Gore, </w:t>
      </w:r>
      <w:proofErr w:type="spellStart"/>
      <w:r w:rsidRPr="003A3055">
        <w:rPr>
          <w:rFonts w:ascii="Arial" w:hAnsi="Arial" w:cs="Arial"/>
          <w:color w:val="000000" w:themeColor="text1"/>
          <w:shd w:val="clear" w:color="auto" w:fill="FFFFFF"/>
        </w:rPr>
        <w:t>uz</w:t>
      </w:r>
      <w:proofErr w:type="spellEnd"/>
      <w:r w:rsidRPr="003A305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A3055">
        <w:rPr>
          <w:rFonts w:ascii="Arial" w:hAnsi="Arial" w:cs="Arial"/>
          <w:color w:val="000000" w:themeColor="text1"/>
          <w:shd w:val="clear" w:color="auto" w:fill="FFFFFF"/>
        </w:rPr>
        <w:t>prethodnu</w:t>
      </w:r>
      <w:proofErr w:type="spellEnd"/>
      <w:r w:rsidRPr="003A305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A3055">
        <w:rPr>
          <w:rFonts w:ascii="Arial" w:hAnsi="Arial" w:cs="Arial"/>
          <w:color w:val="000000" w:themeColor="text1"/>
          <w:shd w:val="clear" w:color="auto" w:fill="FFFFFF"/>
        </w:rPr>
        <w:t>saglasnost</w:t>
      </w:r>
      <w:proofErr w:type="spellEnd"/>
      <w:r w:rsidRPr="003A305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A3055">
        <w:rPr>
          <w:rFonts w:ascii="Arial" w:hAnsi="Arial" w:cs="Arial"/>
          <w:color w:val="000000" w:themeColor="text1"/>
          <w:shd w:val="clear" w:color="auto" w:fill="FFFFFF"/>
        </w:rPr>
        <w:t>Vlade</w:t>
      </w:r>
      <w:proofErr w:type="spellEnd"/>
      <w:r w:rsidRPr="003A305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A3055">
        <w:rPr>
          <w:rFonts w:ascii="Arial" w:hAnsi="Arial" w:cs="Arial"/>
          <w:color w:val="000000" w:themeColor="text1"/>
          <w:shd w:val="clear" w:color="auto" w:fill="FFFFFF"/>
        </w:rPr>
        <w:t>Crne</w:t>
      </w:r>
      <w:proofErr w:type="spellEnd"/>
      <w:r w:rsidRPr="003A3055">
        <w:rPr>
          <w:rFonts w:ascii="Arial" w:hAnsi="Arial" w:cs="Arial"/>
          <w:color w:val="000000" w:themeColor="text1"/>
          <w:shd w:val="clear" w:color="auto" w:fill="FFFFFF"/>
        </w:rPr>
        <w:t xml:space="preserve"> Gore,</w:t>
      </w:r>
    </w:p>
    <w:p w:rsidR="002579A4" w:rsidRPr="003A3055" w:rsidRDefault="002579A4" w:rsidP="002579A4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2579A4" w:rsidRPr="002579A4" w:rsidRDefault="002579A4" w:rsidP="002579A4">
      <w:pPr>
        <w:pStyle w:val="NormalWeb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color w:val="000000" w:themeColor="text1"/>
        </w:rPr>
      </w:pPr>
      <w:r w:rsidRPr="002579A4">
        <w:rPr>
          <w:rStyle w:val="Strong"/>
          <w:rFonts w:ascii="Arial" w:hAnsi="Arial" w:cs="Arial"/>
          <w:color w:val="000000" w:themeColor="text1"/>
        </w:rPr>
        <w:t>UPRAVNI ODBOR UNIVERZITETA CRNE GORE</w:t>
      </w:r>
    </w:p>
    <w:p w:rsidR="002579A4" w:rsidRPr="002579A4" w:rsidRDefault="002579A4" w:rsidP="002579A4">
      <w:pPr>
        <w:pStyle w:val="NormalWeb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color w:val="000000" w:themeColor="text1"/>
        </w:rPr>
      </w:pPr>
      <w:proofErr w:type="spellStart"/>
      <w:proofErr w:type="gramStart"/>
      <w:r w:rsidRPr="002579A4">
        <w:rPr>
          <w:rFonts w:ascii="Arial" w:hAnsi="Arial" w:cs="Arial"/>
          <w:color w:val="000000" w:themeColor="text1"/>
        </w:rPr>
        <w:t>raspisuje</w:t>
      </w:r>
      <w:proofErr w:type="spellEnd"/>
      <w:proofErr w:type="gramEnd"/>
    </w:p>
    <w:p w:rsidR="002579A4" w:rsidRPr="002579A4" w:rsidRDefault="002579A4" w:rsidP="002579A4">
      <w:pPr>
        <w:pStyle w:val="NormalWeb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color w:val="000000" w:themeColor="text1"/>
        </w:rPr>
      </w:pPr>
      <w:r w:rsidRPr="002579A4">
        <w:rPr>
          <w:rStyle w:val="Strong"/>
          <w:rFonts w:ascii="Arial" w:hAnsi="Arial" w:cs="Arial"/>
          <w:color w:val="000000" w:themeColor="text1"/>
        </w:rPr>
        <w:t>KONKURS</w:t>
      </w:r>
    </w:p>
    <w:p w:rsidR="002579A4" w:rsidRPr="002579A4" w:rsidRDefault="002579A4" w:rsidP="002579A4">
      <w:pPr>
        <w:pStyle w:val="NormalWeb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color w:val="000000" w:themeColor="text1"/>
        </w:rPr>
      </w:pPr>
      <w:r w:rsidRPr="002579A4">
        <w:rPr>
          <w:rStyle w:val="Strong"/>
          <w:rFonts w:ascii="Arial" w:hAnsi="Arial" w:cs="Arial"/>
          <w:color w:val="000000" w:themeColor="text1"/>
        </w:rPr>
        <w:t>ZA UPIS STUDENATA U PRVU GODINU OSNOVNIH STUDIJA</w:t>
      </w:r>
    </w:p>
    <w:p w:rsidR="002579A4" w:rsidRPr="002579A4" w:rsidRDefault="002579A4" w:rsidP="002579A4">
      <w:pPr>
        <w:pStyle w:val="NormalWeb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color w:val="000000" w:themeColor="text1"/>
        </w:rPr>
      </w:pPr>
      <w:r w:rsidRPr="002579A4">
        <w:rPr>
          <w:rStyle w:val="Strong"/>
          <w:rFonts w:ascii="Arial" w:hAnsi="Arial" w:cs="Arial"/>
          <w:color w:val="000000" w:themeColor="text1"/>
        </w:rPr>
        <w:t>UNIVERZI</w:t>
      </w:r>
      <w:r>
        <w:rPr>
          <w:rStyle w:val="Strong"/>
          <w:rFonts w:ascii="Arial" w:hAnsi="Arial" w:cs="Arial"/>
          <w:color w:val="000000" w:themeColor="text1"/>
        </w:rPr>
        <w:t>TETA CRNE GORE ZA STUDIJSKU 2022/23</w:t>
      </w:r>
      <w:r w:rsidRPr="002579A4">
        <w:rPr>
          <w:rStyle w:val="Strong"/>
          <w:rFonts w:ascii="Arial" w:hAnsi="Arial" w:cs="Arial"/>
          <w:color w:val="000000" w:themeColor="text1"/>
        </w:rPr>
        <w:t>.</w:t>
      </w:r>
      <w:r>
        <w:rPr>
          <w:rStyle w:val="Strong"/>
          <w:rFonts w:ascii="Arial" w:hAnsi="Arial" w:cs="Arial"/>
          <w:color w:val="000000" w:themeColor="text1"/>
        </w:rPr>
        <w:t xml:space="preserve"> GODINU</w:t>
      </w:r>
    </w:p>
    <w:p w:rsidR="002579A4" w:rsidRPr="002579A4" w:rsidRDefault="002579A4" w:rsidP="002579A4">
      <w:pPr>
        <w:pStyle w:val="NormalWeb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color w:val="000000" w:themeColor="text1"/>
        </w:rPr>
      </w:pPr>
      <w:proofErr w:type="spellStart"/>
      <w:proofErr w:type="gramStart"/>
      <w:r w:rsidRPr="002579A4">
        <w:rPr>
          <w:rFonts w:ascii="Arial" w:hAnsi="Arial" w:cs="Arial"/>
          <w:color w:val="000000" w:themeColor="text1"/>
        </w:rPr>
        <w:t>koji</w:t>
      </w:r>
      <w:proofErr w:type="spellEnd"/>
      <w:proofErr w:type="gramEnd"/>
      <w:r w:rsidRPr="002579A4">
        <w:rPr>
          <w:rFonts w:ascii="Arial" w:hAnsi="Arial" w:cs="Arial"/>
          <w:color w:val="000000" w:themeColor="text1"/>
        </w:rPr>
        <w:t xml:space="preserve"> se </w:t>
      </w:r>
      <w:proofErr w:type="spellStart"/>
      <w:r w:rsidRPr="002579A4">
        <w:rPr>
          <w:rFonts w:ascii="Arial" w:hAnsi="Arial" w:cs="Arial"/>
          <w:color w:val="000000" w:themeColor="text1"/>
        </w:rPr>
        <w:t>finansiraju</w:t>
      </w:r>
      <w:proofErr w:type="spellEnd"/>
      <w:r w:rsidRPr="002579A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579A4">
        <w:rPr>
          <w:rFonts w:ascii="Arial" w:hAnsi="Arial" w:cs="Arial"/>
          <w:color w:val="000000" w:themeColor="text1"/>
        </w:rPr>
        <w:t>iz</w:t>
      </w:r>
      <w:proofErr w:type="spellEnd"/>
      <w:r w:rsidRPr="002579A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579A4">
        <w:rPr>
          <w:rFonts w:ascii="Arial" w:hAnsi="Arial" w:cs="Arial"/>
          <w:color w:val="000000" w:themeColor="text1"/>
        </w:rPr>
        <w:t>Budžeta</w:t>
      </w:r>
      <w:proofErr w:type="spellEnd"/>
      <w:r w:rsidRPr="002579A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579A4">
        <w:rPr>
          <w:rFonts w:ascii="Arial" w:hAnsi="Arial" w:cs="Arial"/>
          <w:color w:val="000000" w:themeColor="text1"/>
        </w:rPr>
        <w:t>Crne</w:t>
      </w:r>
      <w:proofErr w:type="spellEnd"/>
      <w:r w:rsidRPr="002579A4">
        <w:rPr>
          <w:rFonts w:ascii="Arial" w:hAnsi="Arial" w:cs="Arial"/>
          <w:color w:val="000000" w:themeColor="text1"/>
        </w:rPr>
        <w:t xml:space="preserve"> Gore</w:t>
      </w:r>
    </w:p>
    <w:tbl>
      <w:tblPr>
        <w:tblW w:w="8222" w:type="dxa"/>
        <w:jc w:val="center"/>
        <w:tblLook w:val="04A0" w:firstRow="1" w:lastRow="0" w:firstColumn="1" w:lastColumn="0" w:noHBand="0" w:noVBand="1"/>
      </w:tblPr>
      <w:tblGrid>
        <w:gridCol w:w="5387"/>
        <w:gridCol w:w="2835"/>
      </w:tblGrid>
      <w:tr w:rsidR="001C2D2B" w:rsidRPr="009B3FF5" w:rsidTr="001C2D2B">
        <w:trPr>
          <w:trHeight w:val="1424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4B5"/>
            <w:vAlign w:val="center"/>
            <w:hideMark/>
          </w:tcPr>
          <w:p w:rsidR="001C2D2B" w:rsidRPr="009B3FF5" w:rsidRDefault="001C2D2B" w:rsidP="00265D6E">
            <w:pPr>
              <w:ind w:left="169" w:right="67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B3FF5">
              <w:rPr>
                <w:rFonts w:ascii="Arial" w:hAnsi="Arial" w:cs="Arial"/>
                <w:b/>
                <w:bCs/>
                <w:color w:val="FFFFFF"/>
              </w:rPr>
              <w:t>UNIVERZITETSKA JEDINICA / STUDIJSKI PROGRAM</w:t>
            </w:r>
            <w:r w:rsidRPr="009B3FF5">
              <w:rPr>
                <w:rFonts w:ascii="Arial" w:hAnsi="Arial" w:cs="Arial"/>
                <w:b/>
                <w:bCs/>
                <w:color w:val="FFFFFF"/>
              </w:rPr>
              <w:br/>
              <w:t xml:space="preserve"> - OSNOVNE STUDIJE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4B5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proofErr w:type="spellStart"/>
            <w:r w:rsidRPr="009B3FF5">
              <w:rPr>
                <w:rFonts w:ascii="Arial" w:hAnsi="Arial" w:cs="Arial"/>
                <w:b/>
                <w:bCs/>
                <w:color w:val="FFFFFF"/>
              </w:rPr>
              <w:t>Predlog</w:t>
            </w:r>
            <w:proofErr w:type="spellEnd"/>
            <w:r w:rsidRPr="009B3FF5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b/>
                <w:bCs/>
                <w:color w:val="FFFFFF"/>
              </w:rPr>
              <w:t>broja</w:t>
            </w:r>
            <w:proofErr w:type="spellEnd"/>
            <w:r w:rsidRPr="009B3FF5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b/>
                <w:bCs/>
                <w:color w:val="FFFFFF"/>
              </w:rPr>
              <w:t>studenata</w:t>
            </w:r>
            <w:proofErr w:type="spellEnd"/>
            <w:r w:rsidRPr="009B3FF5">
              <w:rPr>
                <w:rFonts w:ascii="Arial" w:hAnsi="Arial" w:cs="Arial"/>
                <w:b/>
                <w:bCs/>
                <w:color w:val="FFFFFF"/>
              </w:rPr>
              <w:t xml:space="preserve"> za </w:t>
            </w:r>
            <w:proofErr w:type="spellStart"/>
            <w:r w:rsidRPr="009B3FF5">
              <w:rPr>
                <w:rFonts w:ascii="Arial" w:hAnsi="Arial" w:cs="Arial"/>
                <w:b/>
                <w:bCs/>
                <w:color w:val="FFFFFF"/>
              </w:rPr>
              <w:t>upis</w:t>
            </w:r>
            <w:proofErr w:type="spellEnd"/>
            <w:r w:rsidRPr="009B3FF5">
              <w:rPr>
                <w:rFonts w:ascii="Arial" w:hAnsi="Arial" w:cs="Arial"/>
                <w:b/>
                <w:bCs/>
                <w:color w:val="FFFFFF"/>
              </w:rPr>
              <w:t xml:space="preserve"> u 2022/23. </w:t>
            </w:r>
            <w:proofErr w:type="spellStart"/>
            <w:r w:rsidRPr="009B3FF5">
              <w:rPr>
                <w:rFonts w:ascii="Arial" w:hAnsi="Arial" w:cs="Arial"/>
                <w:b/>
                <w:bCs/>
                <w:color w:val="FFFFFF"/>
              </w:rPr>
              <w:t>godinu</w:t>
            </w:r>
            <w:proofErr w:type="spellEnd"/>
          </w:p>
        </w:tc>
      </w:tr>
      <w:tr w:rsidR="001C2D2B" w:rsidRPr="009B3FF5" w:rsidTr="001C2D2B">
        <w:trPr>
          <w:trHeight w:val="51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ARHITEKTONSKI FAKULTET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Arhitektura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1C2D2B" w:rsidRPr="009B3FF5" w:rsidTr="001C2D2B">
        <w:trPr>
          <w:trHeight w:val="51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BIOTEHNIČKI FAKULTET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160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Biljna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proizvodnja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Animalna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proizvodnja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Mediteransko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voćarstvo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1C2D2B" w:rsidRPr="009B3FF5" w:rsidTr="001C2D2B">
        <w:trPr>
          <w:trHeight w:val="40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Kontinentalno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voćarstvo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ljekovito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bilje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1C2D2B" w:rsidRPr="009B3FF5" w:rsidTr="001C2D2B">
        <w:trPr>
          <w:trHeight w:val="51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EKONOMSKI FAKULTET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390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Ekonomija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240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Menadžment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Menadžment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Bijelo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Polje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1C2D2B" w:rsidRPr="009B3FF5" w:rsidTr="001C2D2B">
        <w:trPr>
          <w:trHeight w:val="51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lastRenderedPageBreak/>
              <w:t>ELEKTROTEHNIČKI FAKULTET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330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Energetika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automatika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Elektronika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telekomunikacije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računari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Primijenjeno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računarstvo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130</w:t>
            </w:r>
          </w:p>
        </w:tc>
      </w:tr>
      <w:tr w:rsidR="001C2D2B" w:rsidRPr="009B3FF5" w:rsidTr="001C2D2B">
        <w:trPr>
          <w:trHeight w:val="51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 xml:space="preserve">FAKULTET DRAMSKIH UMJETNOSTI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Gluma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 xml:space="preserve">Drama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pozorište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 xml:space="preserve">Film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mediji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1C2D2B" w:rsidRPr="009B3FF5" w:rsidTr="001C2D2B">
        <w:trPr>
          <w:trHeight w:val="51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 xml:space="preserve">FAKULTET LIKOVNIH UMJETNOSTI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48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Slikarstvo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Grafički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dizajn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Vajarstvo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Konzervacija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restauracija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8</w:t>
            </w:r>
          </w:p>
        </w:tc>
      </w:tr>
      <w:tr w:rsidR="001C2D2B" w:rsidRPr="009B3FF5" w:rsidTr="001C2D2B">
        <w:trPr>
          <w:trHeight w:val="51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FAKULTET POLITIČKIH NAUKA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140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Politikologija-međunarodni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odnosi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Medijske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studije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novinarstvo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Socijalna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politika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socijalni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rad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1C2D2B" w:rsidRPr="009B3FF5" w:rsidTr="001C2D2B">
        <w:trPr>
          <w:trHeight w:val="51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FAKULTET ZA SPORT I FIZIČKO VASPITANJE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120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Fizička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kultura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zdravi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stilovi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života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Sportski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novinari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treneri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1C2D2B" w:rsidRPr="009B3FF5" w:rsidTr="001C2D2B">
        <w:trPr>
          <w:trHeight w:val="51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 xml:space="preserve">FAKULTET ZA TURIZAM I HOTELIJERSTVO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Turizam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hotelijerstvo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1C2D2B" w:rsidRPr="009B3FF5" w:rsidTr="001C2D2B">
        <w:trPr>
          <w:trHeight w:val="51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FILOLOŠKI FAKULTET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330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Crnogorski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jezik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južnoslovenske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književnosti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45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Srpski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jezik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južnoslovenske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književnosti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45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Engleski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jezik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književnost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Ruski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jezik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književnost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Italijanski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jezik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književnost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45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lastRenderedPageBreak/>
              <w:t>Francuski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jezik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književnost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45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Njemački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jezik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književnost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1C2D2B" w:rsidRPr="009B3FF5" w:rsidTr="001C2D2B">
        <w:trPr>
          <w:trHeight w:val="51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FILOZOFSKI FAKULTET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290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Sociologija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Filozofija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Geografija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Istorija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Pedagogija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Psihologija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Predškolsko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vaspitanje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obrazovanje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1C2D2B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Obrazovanje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učitelja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1C2D2B" w:rsidRPr="009B3FF5" w:rsidTr="001C2D2B">
        <w:trPr>
          <w:trHeight w:val="63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1C2D2B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Obrazovanje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učitelja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albanskom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jeziku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1C2D2B" w:rsidRPr="009B3FF5" w:rsidTr="001C2D2B">
        <w:trPr>
          <w:trHeight w:val="51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GRAĐEVINSKI FAKULTET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Građevinarstvo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110</w:t>
            </w:r>
          </w:p>
        </w:tc>
      </w:tr>
      <w:tr w:rsidR="001C2D2B" w:rsidRPr="009B3FF5" w:rsidTr="001C2D2B">
        <w:trPr>
          <w:trHeight w:val="51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MAŠINSKI FAKULTET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6C54C7" w:rsidP="00265D6E">
            <w:pPr>
              <w:ind w:left="9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Mašinstvo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Drumski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saobraćaj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70</w:t>
            </w:r>
          </w:p>
        </w:tc>
      </w:tr>
      <w:tr w:rsidR="001C2D2B" w:rsidRPr="009B3FF5" w:rsidTr="001C2D2B">
        <w:trPr>
          <w:trHeight w:val="51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MEDICINSKI FAKULTET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185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Medicina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Stomatologija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Farmacija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rimijenjena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fizioterapija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45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Visoka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medicinska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škola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1C2D2B" w:rsidRPr="009B3FF5" w:rsidTr="001C2D2B">
        <w:trPr>
          <w:trHeight w:val="51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METALURŠKO-TEHNOLOŠKI FAKULTET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120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Metalurgija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materijali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Hemijska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tehnologija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Zaštita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životne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sredine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45</w:t>
            </w:r>
          </w:p>
        </w:tc>
      </w:tr>
      <w:tr w:rsidR="001C2D2B" w:rsidRPr="009B3FF5" w:rsidTr="001C2D2B">
        <w:trPr>
          <w:trHeight w:val="51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MUZIČKA AKADEMIJA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Izvođačke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umjetnosti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26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Opšta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muzička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pedagogija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C2D2B" w:rsidRPr="009B3FF5" w:rsidTr="001C2D2B">
        <w:trPr>
          <w:trHeight w:val="51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POMORSKI FAKULTET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260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Nautika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pomorski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saobraćaj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Brodomašinstvo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Pomorska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elektrotehnika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Menadžment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pomorstvu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logistika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1C2D2B" w:rsidRPr="009B3FF5" w:rsidTr="001C2D2B">
        <w:trPr>
          <w:trHeight w:val="51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PRAVNI FAKULTET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210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Pravne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nauke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210</w:t>
            </w:r>
          </w:p>
        </w:tc>
      </w:tr>
      <w:tr w:rsidR="001C2D2B" w:rsidRPr="009B3FF5" w:rsidTr="001C2D2B">
        <w:trPr>
          <w:trHeight w:val="510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PRIRODNO-MATEMATIČKI FAKULTET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>230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Matematika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Matematika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računarske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nauke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Računarske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nauke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Fizika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Biologija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1C2D2B" w:rsidRPr="009B3FF5" w:rsidTr="001C2D2B">
        <w:trPr>
          <w:trHeight w:val="375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color w:val="000000"/>
              </w:rPr>
            </w:pPr>
            <w:proofErr w:type="spellStart"/>
            <w:r w:rsidRPr="009B3FF5">
              <w:rPr>
                <w:rFonts w:ascii="Arial" w:hAnsi="Arial" w:cs="Arial"/>
                <w:color w:val="000000"/>
              </w:rPr>
              <w:t>Računarstvo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informacione</w:t>
            </w:r>
            <w:proofErr w:type="spellEnd"/>
            <w:r w:rsidRPr="009B3F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3FF5">
              <w:rPr>
                <w:rFonts w:ascii="Arial" w:hAnsi="Arial" w:cs="Arial"/>
                <w:color w:val="000000"/>
              </w:rPr>
              <w:t>tehnologije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color w:val="000000"/>
              </w:rPr>
            </w:pPr>
            <w:r w:rsidRPr="009B3FF5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1C2D2B" w:rsidRPr="009B3FF5" w:rsidTr="001C2D2B">
        <w:trPr>
          <w:trHeight w:val="84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169" w:right="67"/>
              <w:rPr>
                <w:rFonts w:ascii="Arial" w:hAnsi="Arial" w:cs="Arial"/>
                <w:b/>
                <w:bCs/>
                <w:color w:val="000000"/>
              </w:rPr>
            </w:pPr>
            <w:r w:rsidRPr="009B3FF5">
              <w:rPr>
                <w:rFonts w:ascii="Arial" w:hAnsi="Arial" w:cs="Arial"/>
                <w:b/>
                <w:bCs/>
                <w:color w:val="000000"/>
              </w:rPr>
              <w:t xml:space="preserve">UKUPNO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1C2D2B" w:rsidRPr="009B3FF5" w:rsidRDefault="001C2D2B" w:rsidP="00265D6E">
            <w:pPr>
              <w:ind w:left="9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334</w:t>
            </w:r>
            <w:r w:rsidRPr="009B3FF5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</w:tbl>
    <w:p w:rsidR="002579A4" w:rsidRDefault="002579A4" w:rsidP="002579A4">
      <w:pPr>
        <w:jc w:val="center"/>
      </w:pPr>
    </w:p>
    <w:p w:rsidR="001C2D2B" w:rsidRDefault="001C2D2B" w:rsidP="002579A4">
      <w:pPr>
        <w:jc w:val="center"/>
      </w:pPr>
    </w:p>
    <w:p w:rsidR="001C2D2B" w:rsidRPr="001C2D2B" w:rsidRDefault="001C2D2B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2D2B" w:rsidRPr="00617FF9" w:rsidRDefault="001C2D2B" w:rsidP="001C2D2B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>Ukupan</w:t>
      </w:r>
      <w:proofErr w:type="spellEnd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>broj</w:t>
      </w:r>
      <w:proofErr w:type="spellEnd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>mjesta</w:t>
      </w:r>
      <w:proofErr w:type="spellEnd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>na</w:t>
      </w:r>
      <w:proofErr w:type="spellEnd"/>
      <w:proofErr w:type="gramEnd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>svakom</w:t>
      </w:r>
      <w:proofErr w:type="spellEnd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>studijskom</w:t>
      </w:r>
      <w:proofErr w:type="spellEnd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>programu</w:t>
      </w:r>
      <w:proofErr w:type="spellEnd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>povećava</w:t>
      </w:r>
      <w:proofErr w:type="spellEnd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 xml:space="preserve"> se za </w:t>
      </w:r>
      <w:proofErr w:type="spellStart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>po</w:t>
      </w:r>
      <w:proofErr w:type="spellEnd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 xml:space="preserve"> 1% </w:t>
      </w:r>
      <w:proofErr w:type="spellStart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>po</w:t>
      </w:r>
      <w:proofErr w:type="spellEnd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>principu</w:t>
      </w:r>
      <w:proofErr w:type="spellEnd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>afirmativne</w:t>
      </w:r>
      <w:proofErr w:type="spellEnd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>akcije</w:t>
      </w:r>
      <w:proofErr w:type="spellEnd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1C2D2B" w:rsidRPr="00617FF9" w:rsidRDefault="001C2D2B" w:rsidP="001C2D2B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skladu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programom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Ministarstva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prosvjete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nauke</w:t>
      </w:r>
      <w:proofErr w:type="gramStart"/>
      <w:r w:rsidRPr="001C2D2B">
        <w:rPr>
          <w:rFonts w:ascii="Arial" w:hAnsi="Arial" w:cs="Arial"/>
          <w:color w:val="000000" w:themeColor="text1"/>
          <w:sz w:val="24"/>
          <w:szCs w:val="24"/>
        </w:rPr>
        <w:t>,kulture</w:t>
      </w:r>
      <w:proofErr w:type="spellEnd"/>
      <w:proofErr w:type="gram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sporta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Univerzitet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Crne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Gore </w:t>
      </w:r>
      <w:proofErr w:type="spellStart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>organizuje</w:t>
      </w:r>
      <w:proofErr w:type="spellEnd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>elektronsko</w:t>
      </w:r>
      <w:proofErr w:type="spellEnd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>prijavljivanje</w:t>
      </w:r>
      <w:proofErr w:type="spellEnd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>na</w:t>
      </w:r>
      <w:proofErr w:type="spellEnd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>predmetni</w:t>
      </w:r>
      <w:proofErr w:type="spellEnd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>konkurs</w:t>
      </w:r>
      <w:proofErr w:type="spellEnd"/>
      <w:r w:rsidRPr="00617FF9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1C2D2B" w:rsidRPr="001C2D2B" w:rsidRDefault="001C2D2B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Izuzetno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ukoliko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prijavu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nije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moguće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podnijeti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elektronskim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putem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kandidati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podnose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prijavu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neposredno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preko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studentske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službe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organizacione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jedinice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2D2B" w:rsidRPr="001C2D2B" w:rsidRDefault="001C2D2B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lastRenderedPageBreak/>
        <w:t>Pravo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prijave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C2D2B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proofErr w:type="gram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konkurs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upis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osnovne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studije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ima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crnogorski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državljanin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stranac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, u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skladu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sa</w:t>
      </w:r>
      <w:proofErr w:type="spellEnd"/>
      <w:r w:rsidR="005820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zakonom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stekao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odgovarajuću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kvalifikaciju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IV-1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podnivoa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Nacionalnog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okvira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kvalifikacija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2D2B" w:rsidRPr="001C2D2B" w:rsidRDefault="001C2D2B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Procedura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prijavljivanja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koncipirana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po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fazama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sastoji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se u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sljedećem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3B709D" w:rsidRPr="001C2D2B" w:rsidRDefault="001C2D2B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Kandidat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prijavljuje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popunjavanjem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elektronske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prijave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put</w:t>
      </w:r>
      <w:r>
        <w:rPr>
          <w:rFonts w:ascii="Arial" w:hAnsi="Arial" w:cs="Arial"/>
          <w:color w:val="000000" w:themeColor="text1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platforme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dostupne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sajtu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4" w:history="1">
        <w:r w:rsidR="003A3055" w:rsidRPr="00F22693">
          <w:rPr>
            <w:rStyle w:val="Hyperlink"/>
            <w:rFonts w:ascii="Arial" w:hAnsi="Arial" w:cs="Arial"/>
            <w:sz w:val="24"/>
            <w:szCs w:val="24"/>
          </w:rPr>
          <w:t>www.upisi.edu.me</w:t>
        </w:r>
      </w:hyperlink>
      <w:r w:rsidRPr="001C2D2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2D2B" w:rsidRPr="001C2D2B" w:rsidRDefault="001C2D2B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Kandidat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unosi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svoj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JMB (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jedinstveni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matični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broj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bira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željeni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stu</w:t>
      </w:r>
      <w:r w:rsidR="00BB5333">
        <w:rPr>
          <w:rFonts w:ascii="Arial" w:hAnsi="Arial" w:cs="Arial"/>
          <w:color w:val="000000" w:themeColor="text1"/>
          <w:sz w:val="24"/>
          <w:szCs w:val="24"/>
        </w:rPr>
        <w:t>dijski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program.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Nakon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klika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B5333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proofErr w:type="gram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opciju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5333">
        <w:rPr>
          <w:rFonts w:ascii="Arial" w:hAnsi="Arial" w:cs="Arial"/>
          <w:b/>
          <w:color w:val="000000" w:themeColor="text1"/>
          <w:sz w:val="24"/>
          <w:szCs w:val="24"/>
        </w:rPr>
        <w:t>PODNESI ZAHTJEV</w:t>
      </w:r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podaci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su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relevantni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</w:t>
      </w:r>
      <w:r w:rsidR="00BB5333">
        <w:rPr>
          <w:rFonts w:ascii="Arial" w:hAnsi="Arial" w:cs="Arial"/>
          <w:color w:val="000000" w:themeColor="text1"/>
          <w:sz w:val="24"/>
          <w:szCs w:val="24"/>
        </w:rPr>
        <w:t>rijavljivanje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preuzimaju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odgovorajućih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državnih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registara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šalju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upisnim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komisijama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1C2D2B" w:rsidRPr="00617FF9" w:rsidRDefault="001C2D2B" w:rsidP="001C2D2B">
      <w:pPr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slučaju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da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prijavljivanje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nije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moguće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ovim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putem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npr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. u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registrima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ne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postoje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podaci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postignuću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srednjoj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školi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strani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državljani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državljani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Crne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Gore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su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srednju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š</w:t>
      </w:r>
      <w:r w:rsidR="00BB5333">
        <w:rPr>
          <w:rFonts w:ascii="Arial" w:hAnsi="Arial" w:cs="Arial"/>
          <w:color w:val="000000" w:themeColor="text1"/>
          <w:sz w:val="24"/>
          <w:szCs w:val="24"/>
        </w:rPr>
        <w:t>kolu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B5333">
        <w:rPr>
          <w:rFonts w:ascii="Arial" w:hAnsi="Arial" w:cs="Arial"/>
          <w:color w:val="000000" w:themeColor="text1"/>
          <w:sz w:val="24"/>
          <w:szCs w:val="24"/>
        </w:rPr>
        <w:t>ili</w:t>
      </w:r>
      <w:proofErr w:type="spellEnd"/>
      <w:proofErr w:type="gram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dio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završili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van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Crne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Gore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sl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Kandidat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će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dobiti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obavještenje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sadržine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617FF9">
        <w:rPr>
          <w:rFonts w:ascii="Arial" w:hAnsi="Arial" w:cs="Arial"/>
          <w:i/>
          <w:color w:val="000000" w:themeColor="text1"/>
          <w:sz w:val="24"/>
          <w:szCs w:val="24"/>
        </w:rPr>
        <w:t>Podaci</w:t>
      </w:r>
      <w:proofErr w:type="spellEnd"/>
      <w:r w:rsidRPr="00617FF9">
        <w:rPr>
          <w:rFonts w:ascii="Arial" w:hAnsi="Arial" w:cs="Arial"/>
          <w:i/>
          <w:color w:val="000000" w:themeColor="text1"/>
          <w:sz w:val="24"/>
          <w:szCs w:val="24"/>
        </w:rPr>
        <w:t xml:space="preserve"> o </w:t>
      </w:r>
      <w:proofErr w:type="spellStart"/>
      <w:r w:rsidRPr="00617FF9">
        <w:rPr>
          <w:rFonts w:ascii="Arial" w:hAnsi="Arial" w:cs="Arial"/>
          <w:i/>
          <w:color w:val="000000" w:themeColor="text1"/>
          <w:sz w:val="24"/>
          <w:szCs w:val="24"/>
        </w:rPr>
        <w:t>škols</w:t>
      </w:r>
      <w:r w:rsidR="00BB5333" w:rsidRPr="00617FF9">
        <w:rPr>
          <w:rFonts w:ascii="Arial" w:hAnsi="Arial" w:cs="Arial"/>
          <w:i/>
          <w:color w:val="000000" w:themeColor="text1"/>
          <w:sz w:val="24"/>
          <w:szCs w:val="24"/>
        </w:rPr>
        <w:t>kom</w:t>
      </w:r>
      <w:proofErr w:type="spellEnd"/>
      <w:r w:rsidR="00BB5333" w:rsidRPr="00617FF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BB5333" w:rsidRPr="00617FF9">
        <w:rPr>
          <w:rFonts w:ascii="Arial" w:hAnsi="Arial" w:cs="Arial"/>
          <w:i/>
          <w:color w:val="000000" w:themeColor="text1"/>
          <w:sz w:val="24"/>
          <w:szCs w:val="24"/>
        </w:rPr>
        <w:t>postignuću</w:t>
      </w:r>
      <w:proofErr w:type="spellEnd"/>
      <w:r w:rsidR="00BB5333" w:rsidRPr="00617FF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BB5333" w:rsidRPr="00617FF9">
        <w:rPr>
          <w:rFonts w:ascii="Arial" w:hAnsi="Arial" w:cs="Arial"/>
          <w:i/>
          <w:color w:val="000000" w:themeColor="text1"/>
          <w:sz w:val="24"/>
          <w:szCs w:val="24"/>
        </w:rPr>
        <w:t>nijesu</w:t>
      </w:r>
      <w:proofErr w:type="spellEnd"/>
      <w:r w:rsidR="00BB5333" w:rsidRPr="00617FF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="00BB5333" w:rsidRPr="00617FF9">
        <w:rPr>
          <w:rFonts w:ascii="Arial" w:hAnsi="Arial" w:cs="Arial"/>
          <w:i/>
          <w:color w:val="000000" w:themeColor="text1"/>
          <w:sz w:val="24"/>
          <w:szCs w:val="24"/>
        </w:rPr>
        <w:t>nađeni</w:t>
      </w:r>
      <w:proofErr w:type="spellEnd"/>
      <w:r w:rsidR="00BB5333" w:rsidRPr="00617FF9">
        <w:rPr>
          <w:rFonts w:ascii="Arial" w:hAnsi="Arial" w:cs="Arial"/>
          <w:i/>
          <w:color w:val="000000" w:themeColor="text1"/>
          <w:sz w:val="24"/>
          <w:szCs w:val="24"/>
        </w:rPr>
        <w:t xml:space="preserve"> u </w:t>
      </w:r>
      <w:proofErr w:type="spellStart"/>
      <w:r w:rsidRPr="00617FF9">
        <w:rPr>
          <w:rFonts w:ascii="Arial" w:hAnsi="Arial" w:cs="Arial"/>
          <w:i/>
          <w:color w:val="000000" w:themeColor="text1"/>
          <w:sz w:val="24"/>
          <w:szCs w:val="24"/>
        </w:rPr>
        <w:t>registru</w:t>
      </w:r>
      <w:proofErr w:type="spellEnd"/>
      <w:r w:rsidRPr="00617FF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617FF9">
        <w:rPr>
          <w:rFonts w:ascii="Arial" w:hAnsi="Arial" w:cs="Arial"/>
          <w:i/>
          <w:color w:val="000000" w:themeColor="text1"/>
          <w:sz w:val="24"/>
          <w:szCs w:val="24"/>
        </w:rPr>
        <w:t>i</w:t>
      </w:r>
      <w:proofErr w:type="spellEnd"/>
      <w:r w:rsidRPr="00617FF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617FF9">
        <w:rPr>
          <w:rFonts w:ascii="Arial" w:hAnsi="Arial" w:cs="Arial"/>
          <w:i/>
          <w:color w:val="000000" w:themeColor="text1"/>
          <w:sz w:val="24"/>
          <w:szCs w:val="24"/>
        </w:rPr>
        <w:t>nije</w:t>
      </w:r>
      <w:proofErr w:type="spellEnd"/>
      <w:r w:rsidRPr="00617FF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617FF9">
        <w:rPr>
          <w:rFonts w:ascii="Arial" w:hAnsi="Arial" w:cs="Arial"/>
          <w:i/>
          <w:color w:val="000000" w:themeColor="text1"/>
          <w:sz w:val="24"/>
          <w:szCs w:val="24"/>
        </w:rPr>
        <w:t>moguće</w:t>
      </w:r>
      <w:proofErr w:type="spellEnd"/>
      <w:r w:rsidRPr="00617FF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617FF9">
        <w:rPr>
          <w:rFonts w:ascii="Arial" w:hAnsi="Arial" w:cs="Arial"/>
          <w:i/>
          <w:color w:val="000000" w:themeColor="text1"/>
          <w:sz w:val="24"/>
          <w:szCs w:val="24"/>
        </w:rPr>
        <w:t>izvršiti</w:t>
      </w:r>
      <w:proofErr w:type="spellEnd"/>
      <w:r w:rsidRPr="00617FF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617FF9">
        <w:rPr>
          <w:rFonts w:ascii="Arial" w:hAnsi="Arial" w:cs="Arial"/>
          <w:i/>
          <w:color w:val="000000" w:themeColor="text1"/>
          <w:sz w:val="24"/>
          <w:szCs w:val="24"/>
        </w:rPr>
        <w:t>prijavu</w:t>
      </w:r>
      <w:proofErr w:type="spellEnd"/>
      <w:r w:rsidRPr="00617FF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617FF9">
        <w:rPr>
          <w:rFonts w:ascii="Arial" w:hAnsi="Arial" w:cs="Arial"/>
          <w:i/>
          <w:color w:val="000000" w:themeColor="text1"/>
          <w:sz w:val="24"/>
          <w:szCs w:val="24"/>
        </w:rPr>
        <w:t>ovim</w:t>
      </w:r>
      <w:proofErr w:type="spellEnd"/>
      <w:r w:rsidRPr="00617FF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617FF9">
        <w:rPr>
          <w:rFonts w:ascii="Arial" w:hAnsi="Arial" w:cs="Arial"/>
          <w:i/>
          <w:color w:val="000000" w:themeColor="text1"/>
          <w:sz w:val="24"/>
          <w:szCs w:val="24"/>
        </w:rPr>
        <w:t>putem</w:t>
      </w:r>
      <w:proofErr w:type="spellEnd"/>
      <w:r w:rsidRPr="00617FF9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1C2D2B" w:rsidRPr="001C2D2B" w:rsidRDefault="001C2D2B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U tom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slučaju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Kandidat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dužan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da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dostavi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prijavu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originale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po</w:t>
      </w:r>
      <w:r w:rsidR="00BB5333">
        <w:rPr>
          <w:rFonts w:ascii="Arial" w:hAnsi="Arial" w:cs="Arial"/>
          <w:color w:val="000000" w:themeColor="text1"/>
          <w:sz w:val="24"/>
          <w:szCs w:val="24"/>
        </w:rPr>
        <w:t>trebnih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dokumenata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studentskoj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službi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organizacione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jedinice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2D2B" w:rsidRPr="001C2D2B" w:rsidRDefault="001C2D2B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Potrebna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dokumenta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upis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1C2D2B" w:rsidRPr="001C2D2B" w:rsidRDefault="001C2D2B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1C2D2B">
        <w:rPr>
          <w:rFonts w:ascii="Arial" w:hAnsi="Arial" w:cs="Arial"/>
          <w:color w:val="000000" w:themeColor="text1"/>
          <w:sz w:val="24"/>
          <w:szCs w:val="24"/>
        </w:rPr>
        <w:t>originalna</w:t>
      </w:r>
      <w:proofErr w:type="spellEnd"/>
      <w:proofErr w:type="gram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diploma o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položenom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eksternom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maturskom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odnosno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stručnom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ispitu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C2D2B" w:rsidRPr="001C2D2B" w:rsidRDefault="001C2D2B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1C2D2B">
        <w:rPr>
          <w:rFonts w:ascii="Arial" w:hAnsi="Arial" w:cs="Arial"/>
          <w:color w:val="000000" w:themeColor="text1"/>
          <w:sz w:val="24"/>
          <w:szCs w:val="24"/>
        </w:rPr>
        <w:t>originalna</w:t>
      </w:r>
      <w:proofErr w:type="spellEnd"/>
      <w:proofErr w:type="gram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svjedočanstva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završenim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pojedinačnim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razredima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srednjeg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obrazovanja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C2D2B" w:rsidRPr="001C2D2B" w:rsidRDefault="001C2D2B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gramStart"/>
      <w:r w:rsidRPr="001C2D2B">
        <w:rPr>
          <w:rFonts w:ascii="Arial" w:hAnsi="Arial" w:cs="Arial"/>
          <w:color w:val="000000" w:themeColor="text1"/>
          <w:sz w:val="24"/>
          <w:szCs w:val="24"/>
        </w:rPr>
        <w:t>diploma</w:t>
      </w:r>
      <w:proofErr w:type="gram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“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Luča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”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ili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ekvivalentna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diploma;</w:t>
      </w:r>
    </w:p>
    <w:p w:rsidR="001C2D2B" w:rsidRPr="001C2D2B" w:rsidRDefault="001C2D2B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1C2D2B">
        <w:rPr>
          <w:rFonts w:ascii="Arial" w:hAnsi="Arial" w:cs="Arial"/>
          <w:color w:val="000000" w:themeColor="text1"/>
          <w:sz w:val="24"/>
          <w:szCs w:val="24"/>
        </w:rPr>
        <w:t>kopija</w:t>
      </w:r>
      <w:proofErr w:type="spellEnd"/>
      <w:proofErr w:type="gram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biometrijske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lične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karte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, a za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strance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odgovarajuća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lična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isprava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koja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izdaje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skladu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posebnim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propisom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C2D2B" w:rsidRPr="001C2D2B" w:rsidRDefault="001C2D2B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gramStart"/>
      <w:r w:rsidRPr="001C2D2B">
        <w:rPr>
          <w:rFonts w:ascii="Arial" w:hAnsi="Arial" w:cs="Arial"/>
          <w:color w:val="000000" w:themeColor="text1"/>
          <w:sz w:val="24"/>
          <w:szCs w:val="24"/>
        </w:rPr>
        <w:t>diploma</w:t>
      </w:r>
      <w:proofErr w:type="gram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ili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ekvivalentni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dokument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) o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osvojenoj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prvoj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ili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drugoj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nagradi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državnom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ili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međunarodnom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takmičenju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su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od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značaja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nastavak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obrazovanja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B5333" w:rsidRDefault="001C2D2B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Stranac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podnosi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dokaz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poznavanju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jezika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C2D2B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proofErr w:type="gram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kome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izvode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stu</w:t>
      </w:r>
      <w:r w:rsidR="00BB5333">
        <w:rPr>
          <w:rFonts w:ascii="Arial" w:hAnsi="Arial" w:cs="Arial"/>
          <w:color w:val="000000" w:themeColor="text1"/>
          <w:sz w:val="24"/>
          <w:szCs w:val="24"/>
        </w:rPr>
        <w:t>dije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izuzev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slučaju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B5333">
        <w:rPr>
          <w:rFonts w:ascii="Arial" w:hAnsi="Arial" w:cs="Arial"/>
          <w:color w:val="000000" w:themeColor="text1"/>
          <w:sz w:val="24"/>
          <w:szCs w:val="24"/>
        </w:rPr>
        <w:t>kada</w:t>
      </w:r>
      <w:proofErr w:type="spellEnd"/>
      <w:r w:rsidR="00BB5333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završio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srednju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školu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jednom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od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jezika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su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službenoj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upotrebi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1C2D2B">
        <w:rPr>
          <w:rFonts w:ascii="Arial" w:hAnsi="Arial" w:cs="Arial"/>
          <w:color w:val="000000" w:themeColor="text1"/>
          <w:sz w:val="24"/>
          <w:szCs w:val="24"/>
        </w:rPr>
        <w:t>Crnoj</w:t>
      </w:r>
      <w:proofErr w:type="spellEnd"/>
      <w:r w:rsidRPr="001C2D2B">
        <w:rPr>
          <w:rFonts w:ascii="Arial" w:hAnsi="Arial" w:cs="Arial"/>
          <w:color w:val="000000" w:themeColor="text1"/>
          <w:sz w:val="24"/>
          <w:szCs w:val="24"/>
        </w:rPr>
        <w:t xml:space="preserve"> Gori.</w:t>
      </w:r>
    </w:p>
    <w:p w:rsidR="00BB5333" w:rsidRDefault="00BB5333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Nakon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podnošenja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elektronske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prijave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Kandidat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dobija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potvrdni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e-mail </w:t>
      </w:r>
      <w:proofErr w:type="spellStart"/>
      <w:proofErr w:type="gramStart"/>
      <w:r w:rsidRPr="00BB5333">
        <w:rPr>
          <w:rFonts w:ascii="Arial" w:hAnsi="Arial" w:cs="Arial"/>
          <w:color w:val="000000" w:themeColor="text1"/>
          <w:sz w:val="24"/>
          <w:szCs w:val="24"/>
        </w:rPr>
        <w:t>sa</w:t>
      </w:r>
      <w:proofErr w:type="spellEnd"/>
      <w:proofErr w:type="gram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sadržajem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da je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elektronska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prijava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uspješno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podnijeta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Takođe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putem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ove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online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platfrome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Kandidat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ima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uvid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podatke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statusu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njegove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prijave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uspjehu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srednjoj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školi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Kandidat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klikom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B5333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proofErr w:type="gram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link </w:t>
      </w:r>
      <w:proofErr w:type="spellStart"/>
      <w:r w:rsidRPr="00BB5333">
        <w:rPr>
          <w:rFonts w:ascii="Arial" w:hAnsi="Arial" w:cs="Arial"/>
          <w:b/>
          <w:color w:val="000000" w:themeColor="text1"/>
          <w:sz w:val="24"/>
          <w:szCs w:val="24"/>
        </w:rPr>
        <w:t>Uspjeh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otvara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stranicu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kojoj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treba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da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izvrši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kontrolu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podataka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povučeni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registra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nadležnog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ministarstva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B5333" w:rsidRDefault="00BB5333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slučaju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da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Kandidat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smatra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da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njegova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prijava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nije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vrednovana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B5333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proofErr w:type="gram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odgovarajući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način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ili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da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podaci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preuzeti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registara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nijesu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potpuni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Kandidat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dužan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da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kontaktira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upisnu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komisiju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organizacione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jedinice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. U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suprotnom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naknadno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podnesena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dokumentacija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neće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uzeti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razmatranje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B49D0" w:rsidRDefault="00BB5333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lastRenderedPageBreak/>
        <w:t>Prijava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B5333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proofErr w:type="gram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konkurs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podnosi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3FBF" w:rsidRPr="003A3055">
        <w:rPr>
          <w:rFonts w:ascii="Arial" w:hAnsi="Arial" w:cs="Arial"/>
          <w:b/>
          <w:color w:val="000000" w:themeColor="text1"/>
          <w:sz w:val="24"/>
          <w:szCs w:val="24"/>
        </w:rPr>
        <w:t>04. i 05</w:t>
      </w:r>
      <w:r w:rsidRPr="003A3055">
        <w:rPr>
          <w:rFonts w:ascii="Arial" w:hAnsi="Arial" w:cs="Arial"/>
          <w:b/>
          <w:color w:val="000000" w:themeColor="text1"/>
          <w:sz w:val="24"/>
          <w:szCs w:val="24"/>
        </w:rPr>
        <w:t xml:space="preserve">.07.2022. </w:t>
      </w:r>
      <w:proofErr w:type="spellStart"/>
      <w:r w:rsidRPr="003A3055">
        <w:rPr>
          <w:rFonts w:ascii="Arial" w:hAnsi="Arial" w:cs="Arial"/>
          <w:b/>
          <w:color w:val="000000" w:themeColor="text1"/>
          <w:sz w:val="24"/>
          <w:szCs w:val="24"/>
        </w:rPr>
        <w:t>godine</w:t>
      </w:r>
      <w:proofErr w:type="spellEnd"/>
      <w:r w:rsidRPr="003A3055">
        <w:rPr>
          <w:rFonts w:ascii="Arial" w:hAnsi="Arial" w:cs="Arial"/>
          <w:b/>
          <w:color w:val="000000" w:themeColor="text1"/>
          <w:sz w:val="24"/>
          <w:szCs w:val="24"/>
        </w:rPr>
        <w:t xml:space="preserve"> do 16 h</w:t>
      </w:r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kada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će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sistem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elektronsku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prijavu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biti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zatvoren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a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ukoliko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prijava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podnosi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neposredno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organizacionoj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jedinici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podnosi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označenih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dana u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okviru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radnog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vremena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studentskih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službi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B5333" w:rsidRDefault="00BB5333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Neblagovremeno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podnijeta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prijava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neće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uzeti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razmatranje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B5333" w:rsidRDefault="00BB5333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Napomena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Kandidat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okviru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roka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prijavu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po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Konkursu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može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odustati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od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podnijete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prijave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određeni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studijski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program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klikom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opciju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b/>
          <w:color w:val="000000" w:themeColor="text1"/>
          <w:sz w:val="24"/>
          <w:szCs w:val="24"/>
        </w:rPr>
        <w:t>Poništi</w:t>
      </w:r>
      <w:proofErr w:type="spellEnd"/>
      <w:r w:rsidRPr="00BB5333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kom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slučaju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može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podnijeti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prijavu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upis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drugi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studijski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program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20B13" w:rsidRDefault="00BB5333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Nakon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prethodno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sprovedenih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radnji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vrši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pregled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pristiglih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prijava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od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strane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upisne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komisije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organizacione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jedinice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uslovno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verifikuje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Prijava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kao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obrađena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o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čemu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kandidat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dobija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obavještenje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920B13" w:rsidRDefault="00BB5333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Testovi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dva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od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značaja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nastavak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obrazovanja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kandidate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nijesu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imali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eksterni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maturski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odnosno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stručni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polažu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r w:rsidR="004B3FBF" w:rsidRPr="003A3055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920B13" w:rsidRPr="003A3055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E7414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20B13" w:rsidRPr="003A3055">
        <w:rPr>
          <w:rFonts w:ascii="Arial" w:hAnsi="Arial" w:cs="Arial"/>
          <w:b/>
          <w:color w:val="000000" w:themeColor="text1"/>
          <w:sz w:val="24"/>
          <w:szCs w:val="24"/>
        </w:rPr>
        <w:t>7.</w:t>
      </w:r>
      <w:r w:rsidR="00E7414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920B13" w:rsidRPr="003A3055">
        <w:rPr>
          <w:rFonts w:ascii="Arial" w:hAnsi="Arial" w:cs="Arial"/>
          <w:b/>
          <w:color w:val="000000" w:themeColor="text1"/>
          <w:sz w:val="24"/>
          <w:szCs w:val="24"/>
        </w:rPr>
        <w:t>2022</w:t>
      </w:r>
      <w:r w:rsidRPr="003A3055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3A3055">
        <w:rPr>
          <w:rFonts w:ascii="Arial" w:hAnsi="Arial" w:cs="Arial"/>
          <w:b/>
          <w:color w:val="000000" w:themeColor="text1"/>
          <w:sz w:val="24"/>
          <w:szCs w:val="24"/>
        </w:rPr>
        <w:t>godine</w:t>
      </w:r>
      <w:proofErr w:type="spellEnd"/>
      <w:proofErr w:type="gram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Raspored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termina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polaganja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biće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istaknuti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B5333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proofErr w:type="gram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internet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stranicama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organizacionih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jedinica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920B13" w:rsidRPr="003A3055" w:rsidRDefault="00BB5333" w:rsidP="001C2D2B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Prijemni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ispiti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fakultete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akademije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ih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organizuju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a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dodatni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uslovi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upis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polažu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prema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rasporedu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B5333">
        <w:rPr>
          <w:rFonts w:ascii="Arial" w:hAnsi="Arial" w:cs="Arial"/>
          <w:color w:val="000000" w:themeColor="text1"/>
          <w:sz w:val="24"/>
          <w:szCs w:val="24"/>
        </w:rPr>
        <w:t>će</w:t>
      </w:r>
      <w:proofErr w:type="spellEnd"/>
      <w:proofErr w:type="gram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biti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istaknuti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internet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stranicama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organizacionih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jedinica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u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periodu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od </w:t>
      </w:r>
      <w:r w:rsidR="00066D88" w:rsidRPr="003A3055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E74149">
        <w:rPr>
          <w:rFonts w:ascii="Arial" w:hAnsi="Arial" w:cs="Arial"/>
          <w:b/>
          <w:color w:val="000000" w:themeColor="text1"/>
          <w:sz w:val="24"/>
          <w:szCs w:val="24"/>
        </w:rPr>
        <w:t xml:space="preserve">. 7. 2022. </w:t>
      </w:r>
      <w:proofErr w:type="gramStart"/>
      <w:r w:rsidR="00E74149">
        <w:rPr>
          <w:rFonts w:ascii="Arial" w:hAnsi="Arial" w:cs="Arial"/>
          <w:b/>
          <w:color w:val="000000" w:themeColor="text1"/>
          <w:sz w:val="24"/>
          <w:szCs w:val="24"/>
        </w:rPr>
        <w:t xml:space="preserve">do  </w:t>
      </w:r>
      <w:r w:rsidR="00920B13" w:rsidRPr="003A3055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proofErr w:type="gramEnd"/>
      <w:r w:rsidR="00920B13" w:rsidRPr="003A3055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E7414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20B13" w:rsidRPr="003A3055">
        <w:rPr>
          <w:rFonts w:ascii="Arial" w:hAnsi="Arial" w:cs="Arial"/>
          <w:b/>
          <w:color w:val="000000" w:themeColor="text1"/>
          <w:sz w:val="24"/>
          <w:szCs w:val="24"/>
        </w:rPr>
        <w:t>7.2022</w:t>
      </w:r>
      <w:r w:rsidRPr="003A3055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3A3055">
        <w:rPr>
          <w:rFonts w:ascii="Arial" w:hAnsi="Arial" w:cs="Arial"/>
          <w:b/>
          <w:color w:val="000000" w:themeColor="text1"/>
          <w:sz w:val="24"/>
          <w:szCs w:val="24"/>
        </w:rPr>
        <w:t>godine</w:t>
      </w:r>
      <w:proofErr w:type="spellEnd"/>
      <w:proofErr w:type="gramEnd"/>
      <w:r w:rsidRPr="003A3055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</w:p>
    <w:p w:rsidR="00920B13" w:rsidRDefault="00BB5333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Napomena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Prijemni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ispiti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organizuju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upis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B5333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proofErr w:type="gram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sljedeće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studijske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programe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Medicina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Stomatologija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Arhitektura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Psihologija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Fizička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kultura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zdravi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stilovi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života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Sportski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novinari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treneri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kao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stručno-umjetničke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studijske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programe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20B13" w:rsidRDefault="00BB5333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Upis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kandidata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izdavanje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uvjerenja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izvršiće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zaključno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B5333">
        <w:rPr>
          <w:rFonts w:ascii="Arial" w:hAnsi="Arial" w:cs="Arial"/>
          <w:color w:val="000000" w:themeColor="text1"/>
          <w:sz w:val="24"/>
          <w:szCs w:val="24"/>
        </w:rPr>
        <w:t>sa</w:t>
      </w:r>
      <w:proofErr w:type="spellEnd"/>
      <w:proofErr w:type="gram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4149">
        <w:rPr>
          <w:rFonts w:ascii="Arial" w:hAnsi="Arial" w:cs="Arial"/>
          <w:b/>
          <w:color w:val="000000" w:themeColor="text1"/>
          <w:sz w:val="24"/>
          <w:szCs w:val="24"/>
        </w:rPr>
        <w:t xml:space="preserve">15. </w:t>
      </w:r>
      <w:r w:rsidRPr="003A3055">
        <w:rPr>
          <w:rFonts w:ascii="Arial" w:hAnsi="Arial" w:cs="Arial"/>
          <w:b/>
          <w:color w:val="000000" w:themeColor="text1"/>
          <w:sz w:val="24"/>
          <w:szCs w:val="24"/>
        </w:rPr>
        <w:t>7.202</w:t>
      </w:r>
      <w:r w:rsidR="00920B13" w:rsidRPr="003A3055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3A3055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3A3055">
        <w:rPr>
          <w:rFonts w:ascii="Arial" w:hAnsi="Arial" w:cs="Arial"/>
          <w:b/>
          <w:color w:val="000000" w:themeColor="text1"/>
          <w:sz w:val="24"/>
          <w:szCs w:val="24"/>
        </w:rPr>
        <w:t>godine</w:t>
      </w:r>
      <w:proofErr w:type="spellEnd"/>
      <w:proofErr w:type="gram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prema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rasporedu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organizacionih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jedinica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20B13" w:rsidRDefault="00BB5333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Upis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studenata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B5333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proofErr w:type="gram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Univerzitet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Crne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Gore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bliže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uređen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Pravilnikom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uslovima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kriterijumima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postupku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upisa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osnovne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studije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Univerziteta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Crne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Gore br. 01-2458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od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17.12.2009. </w:t>
      </w:r>
      <w:proofErr w:type="spellStart"/>
      <w:proofErr w:type="gramStart"/>
      <w:r w:rsidRPr="00BB5333">
        <w:rPr>
          <w:rFonts w:ascii="Arial" w:hAnsi="Arial" w:cs="Arial"/>
          <w:color w:val="000000" w:themeColor="text1"/>
          <w:sz w:val="24"/>
          <w:szCs w:val="24"/>
        </w:rPr>
        <w:t>godine</w:t>
      </w:r>
      <w:proofErr w:type="spellEnd"/>
      <w:proofErr w:type="gram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izmjenama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dopunama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br. 08-463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od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31.03.2011. </w:t>
      </w:r>
      <w:proofErr w:type="spellStart"/>
      <w:proofErr w:type="gramStart"/>
      <w:r w:rsidRPr="00BB5333">
        <w:rPr>
          <w:rFonts w:ascii="Arial" w:hAnsi="Arial" w:cs="Arial"/>
          <w:color w:val="000000" w:themeColor="text1"/>
          <w:sz w:val="24"/>
          <w:szCs w:val="24"/>
        </w:rPr>
        <w:t>godine</w:t>
      </w:r>
      <w:proofErr w:type="spellEnd"/>
      <w:proofErr w:type="gram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br. 08- 463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od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02.06.2011. </w:t>
      </w:r>
      <w:proofErr w:type="spellStart"/>
      <w:proofErr w:type="gramStart"/>
      <w:r w:rsidRPr="00BB5333">
        <w:rPr>
          <w:rFonts w:ascii="Arial" w:hAnsi="Arial" w:cs="Arial"/>
          <w:color w:val="000000" w:themeColor="text1"/>
          <w:sz w:val="24"/>
          <w:szCs w:val="24"/>
        </w:rPr>
        <w:t>godine</w:t>
      </w:r>
      <w:proofErr w:type="spellEnd"/>
      <w:proofErr w:type="gram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br. 08-153/2 od 03.05.2012. </w:t>
      </w:r>
      <w:proofErr w:type="spellStart"/>
      <w:proofErr w:type="gramStart"/>
      <w:r w:rsidRPr="00BB5333">
        <w:rPr>
          <w:rFonts w:ascii="Arial" w:hAnsi="Arial" w:cs="Arial"/>
          <w:color w:val="000000" w:themeColor="text1"/>
          <w:sz w:val="24"/>
          <w:szCs w:val="24"/>
        </w:rPr>
        <w:t>godine</w:t>
      </w:r>
      <w:proofErr w:type="spellEnd"/>
      <w:proofErr w:type="gram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br. 08-793/1 od 23.05.2013. </w:t>
      </w:r>
      <w:proofErr w:type="spellStart"/>
      <w:proofErr w:type="gramStart"/>
      <w:r w:rsidRPr="00BB5333">
        <w:rPr>
          <w:rFonts w:ascii="Arial" w:hAnsi="Arial" w:cs="Arial"/>
          <w:color w:val="000000" w:themeColor="text1"/>
          <w:sz w:val="24"/>
          <w:szCs w:val="24"/>
        </w:rPr>
        <w:t>godine</w:t>
      </w:r>
      <w:proofErr w:type="spellEnd"/>
      <w:proofErr w:type="gram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br. 08-614/1 od 24.04.2014. </w:t>
      </w:r>
      <w:proofErr w:type="spellStart"/>
      <w:proofErr w:type="gramStart"/>
      <w:r w:rsidRPr="00BB5333">
        <w:rPr>
          <w:rFonts w:ascii="Arial" w:hAnsi="Arial" w:cs="Arial"/>
          <w:color w:val="000000" w:themeColor="text1"/>
          <w:sz w:val="24"/>
          <w:szCs w:val="24"/>
        </w:rPr>
        <w:t>godine</w:t>
      </w:r>
      <w:proofErr w:type="spellEnd"/>
      <w:proofErr w:type="gramEnd"/>
      <w:r w:rsidRPr="00BB533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F42CA" w:rsidRDefault="00BB5333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pitanja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koja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nijesu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regulisana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ovim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propisom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B5333">
        <w:rPr>
          <w:rFonts w:ascii="Arial" w:hAnsi="Arial" w:cs="Arial"/>
          <w:color w:val="000000" w:themeColor="text1"/>
          <w:sz w:val="24"/>
          <w:szCs w:val="24"/>
        </w:rPr>
        <w:t>ili</w:t>
      </w:r>
      <w:proofErr w:type="spellEnd"/>
      <w:proofErr w:type="gram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suprotnosti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odredbama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Zakona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visokom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obrazovanju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drugih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relevantnih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propisa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neposredno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će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primjenjivati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odredbe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tih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propisa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B5333" w:rsidRDefault="00BB5333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Pravilnik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objavljen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B5333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proofErr w:type="gram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internet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stranici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Univerziteta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B5333">
        <w:rPr>
          <w:rFonts w:ascii="Arial" w:hAnsi="Arial" w:cs="Arial"/>
          <w:color w:val="000000" w:themeColor="text1"/>
          <w:sz w:val="24"/>
          <w:szCs w:val="24"/>
        </w:rPr>
        <w:t>Crne</w:t>
      </w:r>
      <w:proofErr w:type="spellEnd"/>
      <w:r w:rsidRPr="00BB5333">
        <w:rPr>
          <w:rFonts w:ascii="Arial" w:hAnsi="Arial" w:cs="Arial"/>
          <w:color w:val="000000" w:themeColor="text1"/>
          <w:sz w:val="24"/>
          <w:szCs w:val="24"/>
        </w:rPr>
        <w:t xml:space="preserve"> Gore: </w:t>
      </w:r>
      <w:hyperlink r:id="rId5" w:history="1">
        <w:r w:rsidR="006F42CA" w:rsidRPr="001C3F53">
          <w:rPr>
            <w:rStyle w:val="Hyperlink"/>
            <w:rFonts w:ascii="Arial" w:hAnsi="Arial" w:cs="Arial"/>
            <w:sz w:val="24"/>
            <w:szCs w:val="24"/>
          </w:rPr>
          <w:t>www.ucg.ac.me</w:t>
        </w:r>
      </w:hyperlink>
      <w:r w:rsidRPr="00BB533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F42CA" w:rsidRDefault="006F42CA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F42CA">
        <w:rPr>
          <w:rFonts w:ascii="Arial" w:hAnsi="Arial" w:cs="Arial"/>
          <w:b/>
          <w:color w:val="000000" w:themeColor="text1"/>
          <w:sz w:val="24"/>
          <w:szCs w:val="24"/>
        </w:rPr>
        <w:t>Napomene</w:t>
      </w:r>
      <w:proofErr w:type="spellEnd"/>
      <w:r w:rsidRPr="006F42CA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F42CA" w:rsidRDefault="006F42CA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Lice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koje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podnijelo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zahtjev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priznavanje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inostrane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obrazovne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isprave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, a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postupak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priznavanja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nije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završen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prije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isteka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roka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podnošenje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prijave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upis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može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uslovno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konkurisati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upis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upisati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proofErr w:type="gramStart"/>
      <w:r w:rsidRPr="006F42CA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proofErr w:type="gram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osnovu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potvrde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da je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pokrenut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postupak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priznavanja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kod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nadležnog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organa. U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slučaju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da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po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zahtjevu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priznavanje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inostrane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obrazovne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isprave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ne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bude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okončan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početka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studijske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godine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zahtjev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bude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odbijen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ili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ako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lastRenderedPageBreak/>
        <w:t>inostrana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obrazovna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isprava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ne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daje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pravo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upis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izabrani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studijski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program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Univerziteta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smatraće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se da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upis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nije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ni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izvršen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F42CA" w:rsidRDefault="006F42CA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slučaju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da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kandidat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podnosi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duplikate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umjesto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traženih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originalnih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dokumenata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dužan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je da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potpiše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izjavu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da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originalna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dokumenta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nije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iskoristio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ostvarivanje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prava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F42CA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proofErr w:type="gram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upis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nekom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drugom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studijskom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programu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Kandidat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da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netačnu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izjavu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biće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eliminisan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kvalifikacionog</w:t>
      </w:r>
      <w:proofErr w:type="spellEnd"/>
      <w:r w:rsidRPr="006F4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42CA">
        <w:rPr>
          <w:rFonts w:ascii="Arial" w:hAnsi="Arial" w:cs="Arial"/>
          <w:color w:val="000000" w:themeColor="text1"/>
          <w:sz w:val="24"/>
          <w:szCs w:val="24"/>
        </w:rPr>
        <w:t>postupka</w:t>
      </w:r>
      <w:proofErr w:type="spellEnd"/>
      <w:r w:rsidR="00465A7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65A7F" w:rsidRDefault="00465A7F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65A7F" w:rsidRPr="00465A7F" w:rsidRDefault="00465A7F" w:rsidP="00465A7F">
      <w:pPr>
        <w:spacing w:after="0" w:line="276" w:lineRule="auto"/>
        <w:jc w:val="center"/>
        <w:rPr>
          <w:rFonts w:ascii="Arial" w:hAnsi="Arial" w:cs="Arial"/>
          <w:lang w:val="sr-Latn-ME" w:eastAsia="sr-Latn-ME"/>
        </w:rPr>
      </w:pPr>
      <w:r w:rsidRPr="00465A7F">
        <w:rPr>
          <w:rFonts w:ascii="Arial" w:hAnsi="Arial" w:cs="Arial"/>
          <w:lang w:val="sr-Latn-ME" w:eastAsia="sr-Latn-ME"/>
        </w:rPr>
        <w:t>Broj: 02-</w:t>
      </w:r>
      <w:r w:rsidR="00EC063B">
        <w:rPr>
          <w:rFonts w:ascii="Arial" w:hAnsi="Arial" w:cs="Arial"/>
          <w:lang w:val="sr-Latn-ME" w:eastAsia="sr-Latn-ME"/>
        </w:rPr>
        <w:t>195/3-1</w:t>
      </w:r>
    </w:p>
    <w:p w:rsidR="00465A7F" w:rsidRPr="00465A7F" w:rsidRDefault="00465A7F" w:rsidP="00465A7F">
      <w:pPr>
        <w:spacing w:after="0" w:line="276" w:lineRule="auto"/>
        <w:jc w:val="center"/>
        <w:rPr>
          <w:rFonts w:ascii="Arial" w:hAnsi="Arial" w:cs="Arial"/>
          <w:lang w:val="sr-Latn-ME" w:eastAsia="sr-Latn-ME"/>
        </w:rPr>
      </w:pPr>
      <w:r w:rsidRPr="00465A7F">
        <w:rPr>
          <w:rFonts w:ascii="Arial" w:hAnsi="Arial" w:cs="Arial"/>
          <w:lang w:val="sr-Latn-ME" w:eastAsia="sr-Latn-ME"/>
        </w:rPr>
        <w:t>Podgorica,</w:t>
      </w:r>
      <w:r w:rsidR="00066D88">
        <w:rPr>
          <w:rFonts w:ascii="Arial" w:hAnsi="Arial" w:cs="Arial"/>
          <w:lang w:val="sr-Latn-ME" w:eastAsia="sr-Latn-ME"/>
        </w:rPr>
        <w:t xml:space="preserve"> </w:t>
      </w:r>
      <w:r w:rsidRPr="00465A7F">
        <w:rPr>
          <w:rFonts w:ascii="Arial" w:hAnsi="Arial" w:cs="Arial"/>
          <w:lang w:val="sr-Latn-ME" w:eastAsia="sr-Latn-ME"/>
        </w:rPr>
        <w:t xml:space="preserve"> </w:t>
      </w:r>
      <w:r w:rsidR="003A3055">
        <w:rPr>
          <w:rFonts w:ascii="Arial" w:hAnsi="Arial" w:cs="Arial"/>
          <w:lang w:val="sr-Latn-ME" w:eastAsia="sr-Latn-ME"/>
        </w:rPr>
        <w:t>1.</w:t>
      </w:r>
      <w:r>
        <w:rPr>
          <w:rFonts w:ascii="Arial" w:hAnsi="Arial" w:cs="Arial"/>
          <w:lang w:val="sr-Latn-ME" w:eastAsia="sr-Latn-ME"/>
        </w:rPr>
        <w:t>7</w:t>
      </w:r>
      <w:r w:rsidRPr="00465A7F">
        <w:rPr>
          <w:rFonts w:ascii="Arial" w:hAnsi="Arial" w:cs="Arial"/>
          <w:lang w:val="sr-Latn-ME" w:eastAsia="sr-Latn-ME"/>
        </w:rPr>
        <w:t>.20</w:t>
      </w:r>
      <w:r>
        <w:rPr>
          <w:rFonts w:ascii="Arial" w:hAnsi="Arial" w:cs="Arial"/>
          <w:lang w:val="sr-Latn-ME" w:eastAsia="sr-Latn-ME"/>
        </w:rPr>
        <w:t>22</w:t>
      </w:r>
      <w:r w:rsidRPr="00465A7F">
        <w:rPr>
          <w:rFonts w:ascii="Arial" w:hAnsi="Arial" w:cs="Arial"/>
          <w:lang w:val="sr-Latn-ME" w:eastAsia="sr-Latn-ME"/>
        </w:rPr>
        <w:t>. godine</w:t>
      </w:r>
    </w:p>
    <w:p w:rsidR="00465A7F" w:rsidRPr="00465A7F" w:rsidRDefault="00465A7F" w:rsidP="00465A7F">
      <w:pPr>
        <w:spacing w:after="0" w:line="276" w:lineRule="auto"/>
        <w:jc w:val="center"/>
        <w:rPr>
          <w:rFonts w:ascii="Arial" w:hAnsi="Arial" w:cs="Arial"/>
          <w:lang w:val="sr-Latn-ME" w:eastAsia="sr-Latn-ME"/>
        </w:rPr>
      </w:pPr>
    </w:p>
    <w:p w:rsidR="00465A7F" w:rsidRPr="00465A7F" w:rsidRDefault="00465A7F" w:rsidP="00465A7F">
      <w:pPr>
        <w:spacing w:after="0" w:line="276" w:lineRule="auto"/>
        <w:jc w:val="center"/>
        <w:rPr>
          <w:rFonts w:ascii="Arial" w:hAnsi="Arial" w:cs="Arial"/>
          <w:lang w:val="sr-Latn-ME" w:eastAsia="sr-Latn-ME"/>
        </w:rPr>
      </w:pPr>
      <w:r w:rsidRPr="00465A7F">
        <w:rPr>
          <w:rFonts w:ascii="Arial" w:hAnsi="Arial" w:cs="Arial"/>
          <w:lang w:val="sr-Latn-ME" w:eastAsia="sr-Latn-ME"/>
        </w:rPr>
        <w:t>UPRAVNI ODBOR UNIVERZITETA CRNE GORE</w:t>
      </w:r>
    </w:p>
    <w:p w:rsidR="00465A7F" w:rsidRPr="00465A7F" w:rsidRDefault="00465A7F" w:rsidP="00465A7F">
      <w:pPr>
        <w:spacing w:after="0" w:line="276" w:lineRule="auto"/>
        <w:jc w:val="center"/>
        <w:rPr>
          <w:rFonts w:ascii="Arial" w:hAnsi="Arial" w:cs="Arial"/>
          <w:lang w:val="sr-Latn-ME" w:eastAsia="sr-Latn-ME"/>
        </w:rPr>
      </w:pPr>
      <w:r w:rsidRPr="00465A7F">
        <w:rPr>
          <w:rFonts w:ascii="Arial" w:hAnsi="Arial" w:cs="Arial"/>
          <w:lang w:val="sr-Latn-ME" w:eastAsia="sr-Latn-ME"/>
        </w:rPr>
        <w:t>Predsjednica</w:t>
      </w:r>
    </w:p>
    <w:p w:rsidR="00465A7F" w:rsidRPr="00465A7F" w:rsidRDefault="00465A7F" w:rsidP="00465A7F">
      <w:pPr>
        <w:spacing w:after="0" w:line="276" w:lineRule="auto"/>
        <w:jc w:val="center"/>
        <w:rPr>
          <w:rFonts w:ascii="Arial" w:hAnsi="Arial" w:cs="Arial"/>
          <w:lang w:val="sr-Latn-ME" w:eastAsia="sr-Latn-ME"/>
        </w:rPr>
      </w:pPr>
    </w:p>
    <w:p w:rsidR="00465A7F" w:rsidRPr="00465A7F" w:rsidRDefault="00465A7F" w:rsidP="00465A7F">
      <w:pPr>
        <w:spacing w:after="0" w:line="276" w:lineRule="auto"/>
        <w:jc w:val="center"/>
        <w:rPr>
          <w:rFonts w:ascii="Arial" w:hAnsi="Arial" w:cs="Arial"/>
          <w:lang w:val="sr-Latn-ME" w:eastAsia="sr-Latn-ME"/>
        </w:rPr>
      </w:pPr>
      <w:r w:rsidRPr="00465A7F">
        <w:rPr>
          <w:rFonts w:ascii="Arial" w:hAnsi="Arial" w:cs="Arial"/>
          <w:lang w:val="sr-Latn-ME" w:eastAsia="sr-Latn-ME"/>
        </w:rPr>
        <w:t>Prof.dr Rajka Glušica</w:t>
      </w:r>
    </w:p>
    <w:p w:rsidR="00465A7F" w:rsidRPr="00465A7F" w:rsidRDefault="00465A7F" w:rsidP="00465A7F">
      <w:pPr>
        <w:spacing w:after="0" w:line="240" w:lineRule="auto"/>
        <w:rPr>
          <w:rFonts w:ascii="Calibri" w:hAnsi="Calibri" w:cs="Calibri"/>
        </w:rPr>
      </w:pPr>
    </w:p>
    <w:p w:rsidR="00465A7F" w:rsidRPr="001C2D2B" w:rsidRDefault="00465A7F" w:rsidP="001C2D2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465A7F" w:rsidRPr="001C2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A4"/>
    <w:rsid w:val="00066D88"/>
    <w:rsid w:val="001C2D2B"/>
    <w:rsid w:val="002579A4"/>
    <w:rsid w:val="003A3055"/>
    <w:rsid w:val="003B709D"/>
    <w:rsid w:val="003F76C2"/>
    <w:rsid w:val="00465A7F"/>
    <w:rsid w:val="004B3FBF"/>
    <w:rsid w:val="0058208F"/>
    <w:rsid w:val="00617FF9"/>
    <w:rsid w:val="006C54C7"/>
    <w:rsid w:val="006F42CA"/>
    <w:rsid w:val="00920B13"/>
    <w:rsid w:val="00BB5333"/>
    <w:rsid w:val="00DB49D0"/>
    <w:rsid w:val="00E74149"/>
    <w:rsid w:val="00EC063B"/>
    <w:rsid w:val="00F1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7E524-89AA-4975-BF33-154559E7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9A4"/>
    <w:rPr>
      <w:b/>
      <w:bCs/>
    </w:rPr>
  </w:style>
  <w:style w:type="character" w:styleId="Hyperlink">
    <w:name w:val="Hyperlink"/>
    <w:basedOn w:val="DefaultParagraphFont"/>
    <w:uiPriority w:val="99"/>
    <w:unhideWhenUsed/>
    <w:rsid w:val="006F42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3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hyperlink" Target="http://www.upisi.edu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PC</cp:lastModifiedBy>
  <cp:revision>5</cp:revision>
  <cp:lastPrinted>2022-07-01T08:51:00Z</cp:lastPrinted>
  <dcterms:created xsi:type="dcterms:W3CDTF">2022-06-30T11:49:00Z</dcterms:created>
  <dcterms:modified xsi:type="dcterms:W3CDTF">2022-07-01T10:41:00Z</dcterms:modified>
</cp:coreProperties>
</file>