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E27B" w14:textId="0F5B9865" w:rsidR="00C80AFF" w:rsidRPr="00593418" w:rsidRDefault="009A7E44" w:rsidP="00C80AFF">
      <w:pPr>
        <w:suppressAutoHyphens w:val="0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SMJERNICE </w:t>
      </w:r>
      <w:r w:rsidR="00C80AFF" w:rsidRPr="00593418">
        <w:rPr>
          <w:b/>
          <w:sz w:val="48"/>
          <w:szCs w:val="48"/>
        </w:rPr>
        <w:t>STRATEGIJ</w:t>
      </w:r>
      <w:r>
        <w:rPr>
          <w:b/>
          <w:sz w:val="48"/>
          <w:szCs w:val="48"/>
        </w:rPr>
        <w:t>E</w:t>
      </w:r>
      <w:r w:rsidR="00C80AFF" w:rsidRPr="00593418">
        <w:rPr>
          <w:b/>
          <w:sz w:val="48"/>
          <w:szCs w:val="48"/>
        </w:rPr>
        <w:t xml:space="preserve"> PAMETNE SPECIJALIZACIJE </w:t>
      </w:r>
    </w:p>
    <w:p w14:paraId="705542AD" w14:textId="77777777" w:rsidR="00C80AFF" w:rsidRPr="00593418" w:rsidRDefault="00C80AFF" w:rsidP="00C80AFF">
      <w:pPr>
        <w:suppressAutoHyphens w:val="0"/>
        <w:spacing w:after="0" w:line="240" w:lineRule="auto"/>
        <w:jc w:val="center"/>
        <w:rPr>
          <w:b/>
          <w:sz w:val="48"/>
          <w:szCs w:val="48"/>
        </w:rPr>
      </w:pPr>
      <w:r w:rsidRPr="00593418">
        <w:rPr>
          <w:b/>
          <w:sz w:val="48"/>
          <w:szCs w:val="48"/>
        </w:rPr>
        <w:t>CRNE GORE</w:t>
      </w:r>
    </w:p>
    <w:p w14:paraId="11EBD751" w14:textId="77777777" w:rsidR="00C80AFF" w:rsidRPr="00593418" w:rsidRDefault="00C80AFF" w:rsidP="00C80AFF">
      <w:pPr>
        <w:suppressAutoHyphens w:val="0"/>
        <w:spacing w:after="0" w:line="240" w:lineRule="auto"/>
      </w:pPr>
    </w:p>
    <w:p w14:paraId="1FB00AA1" w14:textId="77777777" w:rsidR="00C80AFF" w:rsidRPr="00593418" w:rsidRDefault="00C80AFF" w:rsidP="00C80AFF">
      <w:pPr>
        <w:suppressAutoHyphens w:val="0"/>
        <w:spacing w:after="0" w:line="240" w:lineRule="auto"/>
      </w:pPr>
    </w:p>
    <w:p w14:paraId="3F9491EA" w14:textId="77777777" w:rsidR="00C80AFF" w:rsidRPr="00593418" w:rsidRDefault="00C80AFF" w:rsidP="00C80AFF">
      <w:pPr>
        <w:suppressAutoHyphens w:val="0"/>
        <w:spacing w:after="0" w:line="240" w:lineRule="auto"/>
        <w:rPr>
          <w:b/>
          <w:sz w:val="48"/>
          <w:szCs w:val="48"/>
        </w:rPr>
      </w:pPr>
    </w:p>
    <w:p w14:paraId="0B0D14F8" w14:textId="77777777" w:rsidR="00FC6533" w:rsidRPr="00593418" w:rsidRDefault="00FC6533" w:rsidP="00C80AFF">
      <w:pPr>
        <w:suppressAutoHyphens w:val="0"/>
        <w:spacing w:after="0" w:line="240" w:lineRule="auto"/>
        <w:rPr>
          <w:b/>
          <w:sz w:val="48"/>
          <w:szCs w:val="48"/>
        </w:rPr>
      </w:pPr>
    </w:p>
    <w:p w14:paraId="0FEA2A1D" w14:textId="77777777" w:rsidR="00FC6533" w:rsidRPr="00593418" w:rsidRDefault="00FC6533" w:rsidP="00C80AFF">
      <w:pPr>
        <w:suppressAutoHyphens w:val="0"/>
        <w:spacing w:after="0" w:line="240" w:lineRule="auto"/>
        <w:rPr>
          <w:b/>
          <w:sz w:val="48"/>
          <w:szCs w:val="48"/>
        </w:rPr>
      </w:pPr>
    </w:p>
    <w:p w14:paraId="41AE862A" w14:textId="77777777" w:rsidR="00C80AFF" w:rsidRPr="00593418" w:rsidRDefault="00C80AFF" w:rsidP="00C80AFF">
      <w:pPr>
        <w:suppressAutoHyphens w:val="0"/>
        <w:spacing w:after="0" w:line="240" w:lineRule="auto"/>
        <w:jc w:val="center"/>
        <w:rPr>
          <w:b/>
          <w:sz w:val="48"/>
          <w:szCs w:val="48"/>
        </w:rPr>
      </w:pPr>
    </w:p>
    <w:p w14:paraId="5F5DD006" w14:textId="7BC5D697" w:rsidR="00F63D43" w:rsidRPr="00593418" w:rsidRDefault="00F63D43" w:rsidP="00F63D43">
      <w:pPr>
        <w:suppressAutoHyphens w:val="0"/>
        <w:spacing w:after="0" w:line="240" w:lineRule="auto"/>
        <w:jc w:val="center"/>
        <w:rPr>
          <w:b/>
          <w:color w:val="C00000"/>
          <w:sz w:val="160"/>
          <w:szCs w:val="160"/>
        </w:rPr>
      </w:pPr>
      <w:r w:rsidRPr="00593418">
        <w:rPr>
          <w:b/>
          <w:noProof/>
          <w:color w:val="C00000"/>
          <w:sz w:val="160"/>
          <w:szCs w:val="160"/>
          <w:lang w:val="en-US"/>
        </w:rPr>
        <w:drawing>
          <wp:inline distT="0" distB="0" distL="0" distR="0" wp14:anchorId="6A6D6798" wp14:editId="022C1D5F">
            <wp:extent cx="522514" cy="82590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70" cy="82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418">
        <w:rPr>
          <w:b/>
          <w:noProof/>
          <w:color w:val="C00000"/>
          <w:sz w:val="160"/>
          <w:szCs w:val="160"/>
        </w:rPr>
        <w:t>.me</w:t>
      </w:r>
    </w:p>
    <w:p w14:paraId="2D025D0F" w14:textId="77777777" w:rsidR="00C80AFF" w:rsidRPr="00593418" w:rsidRDefault="00C80AFF" w:rsidP="00C80AFF">
      <w:pPr>
        <w:suppressAutoHyphens w:val="0"/>
        <w:spacing w:after="0" w:line="240" w:lineRule="auto"/>
        <w:rPr>
          <w:b/>
          <w:sz w:val="48"/>
          <w:szCs w:val="48"/>
        </w:rPr>
      </w:pPr>
    </w:p>
    <w:p w14:paraId="22500AC7" w14:textId="77777777" w:rsidR="00C80AFF" w:rsidRPr="00593418" w:rsidRDefault="00C80AFF" w:rsidP="00C80AFF">
      <w:pPr>
        <w:suppressAutoHyphens w:val="0"/>
        <w:spacing w:after="0" w:line="240" w:lineRule="auto"/>
        <w:rPr>
          <w:b/>
          <w:sz w:val="48"/>
          <w:szCs w:val="48"/>
        </w:rPr>
      </w:pPr>
    </w:p>
    <w:p w14:paraId="7B839006" w14:textId="77777777" w:rsidR="004F6124" w:rsidRPr="00593418" w:rsidRDefault="004F6124" w:rsidP="00C80AFF">
      <w:pPr>
        <w:suppressAutoHyphens w:val="0"/>
        <w:spacing w:after="0" w:line="240" w:lineRule="auto"/>
      </w:pPr>
    </w:p>
    <w:p w14:paraId="73BA36FA" w14:textId="77777777" w:rsidR="00C80AFF" w:rsidRPr="00593418" w:rsidRDefault="00C80AFF" w:rsidP="00C80AFF">
      <w:pPr>
        <w:suppressAutoHyphens w:val="0"/>
        <w:spacing w:after="0" w:line="240" w:lineRule="auto"/>
      </w:pPr>
    </w:p>
    <w:p w14:paraId="49DC07FC" w14:textId="77777777" w:rsidR="00C80AFF" w:rsidRPr="00593418" w:rsidRDefault="00C80AFF" w:rsidP="00C80AFF">
      <w:pPr>
        <w:suppressAutoHyphens w:val="0"/>
        <w:spacing w:after="0" w:line="240" w:lineRule="auto"/>
        <w:jc w:val="center"/>
        <w:rPr>
          <w:sz w:val="48"/>
          <w:szCs w:val="48"/>
        </w:rPr>
      </w:pPr>
    </w:p>
    <w:p w14:paraId="192B2F6F" w14:textId="77777777" w:rsidR="00C80AFF" w:rsidRPr="00593418" w:rsidRDefault="00C80AFF" w:rsidP="00C80AFF">
      <w:pPr>
        <w:suppressAutoHyphens w:val="0"/>
        <w:spacing w:after="0" w:line="240" w:lineRule="auto"/>
        <w:jc w:val="center"/>
        <w:rPr>
          <w:sz w:val="48"/>
          <w:szCs w:val="48"/>
        </w:rPr>
      </w:pPr>
    </w:p>
    <w:p w14:paraId="28C7637B" w14:textId="77777777" w:rsidR="00C80AFF" w:rsidRPr="00593418" w:rsidRDefault="00C80AFF" w:rsidP="00C80AFF">
      <w:pPr>
        <w:suppressAutoHyphens w:val="0"/>
        <w:spacing w:after="0" w:line="240" w:lineRule="auto"/>
        <w:jc w:val="center"/>
        <w:rPr>
          <w:sz w:val="48"/>
          <w:szCs w:val="48"/>
        </w:rPr>
      </w:pPr>
    </w:p>
    <w:p w14:paraId="04403B55" w14:textId="77777777" w:rsidR="00C80AFF" w:rsidRPr="00593418" w:rsidRDefault="00C80AFF" w:rsidP="00C80AFF">
      <w:pPr>
        <w:suppressAutoHyphens w:val="0"/>
        <w:spacing w:after="0" w:line="240" w:lineRule="auto"/>
        <w:jc w:val="center"/>
        <w:rPr>
          <w:sz w:val="48"/>
          <w:szCs w:val="48"/>
        </w:rPr>
      </w:pPr>
    </w:p>
    <w:p w14:paraId="2F30D098" w14:textId="77777777" w:rsidR="00C80AFF" w:rsidRPr="00593418" w:rsidRDefault="00C80AFF" w:rsidP="00C80AFF">
      <w:pPr>
        <w:suppressAutoHyphens w:val="0"/>
        <w:spacing w:after="0" w:line="240" w:lineRule="auto"/>
        <w:jc w:val="center"/>
        <w:rPr>
          <w:sz w:val="48"/>
          <w:szCs w:val="48"/>
        </w:rPr>
      </w:pPr>
    </w:p>
    <w:p w14:paraId="7EBF3134" w14:textId="77777777" w:rsidR="00C80AFF" w:rsidRPr="00593418" w:rsidRDefault="00C80AFF" w:rsidP="00C80AFF">
      <w:pPr>
        <w:suppressAutoHyphens w:val="0"/>
        <w:spacing w:after="0" w:line="240" w:lineRule="auto"/>
        <w:rPr>
          <w:sz w:val="48"/>
          <w:szCs w:val="48"/>
        </w:rPr>
      </w:pPr>
    </w:p>
    <w:p w14:paraId="191F2C1D" w14:textId="77777777" w:rsidR="00FC6533" w:rsidRPr="00593418" w:rsidRDefault="00FC6533" w:rsidP="00C80AFF">
      <w:pPr>
        <w:suppressAutoHyphens w:val="0"/>
        <w:spacing w:after="0" w:line="240" w:lineRule="auto"/>
        <w:jc w:val="center"/>
        <w:rPr>
          <w:b/>
          <w:sz w:val="48"/>
          <w:szCs w:val="48"/>
        </w:rPr>
      </w:pPr>
    </w:p>
    <w:p w14:paraId="5BEC15CC" w14:textId="77777777" w:rsidR="00FC6533" w:rsidRPr="00593418" w:rsidRDefault="00FC6533" w:rsidP="00C80AFF">
      <w:pPr>
        <w:suppressAutoHyphens w:val="0"/>
        <w:spacing w:after="0" w:line="240" w:lineRule="auto"/>
        <w:jc w:val="center"/>
        <w:rPr>
          <w:b/>
          <w:sz w:val="48"/>
          <w:szCs w:val="48"/>
        </w:rPr>
      </w:pPr>
    </w:p>
    <w:p w14:paraId="35448DC1" w14:textId="3AE6A4B1" w:rsidR="00183E2C" w:rsidRDefault="00222BD5" w:rsidP="00FC6533">
      <w:pPr>
        <w:suppressAutoHyphens w:val="0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70474A">
        <w:rPr>
          <w:b/>
          <w:sz w:val="48"/>
          <w:szCs w:val="48"/>
        </w:rPr>
        <w:t>8</w:t>
      </w:r>
      <w:r w:rsidR="004C7AEE">
        <w:rPr>
          <w:b/>
          <w:sz w:val="48"/>
          <w:szCs w:val="48"/>
        </w:rPr>
        <w:t xml:space="preserve"> </w:t>
      </w:r>
      <w:r w:rsidR="00F63D43" w:rsidRPr="00593418">
        <w:rPr>
          <w:b/>
          <w:sz w:val="48"/>
          <w:szCs w:val="48"/>
        </w:rPr>
        <w:t>-</w:t>
      </w:r>
      <w:r w:rsidR="004C7AEE">
        <w:rPr>
          <w:b/>
          <w:sz w:val="48"/>
          <w:szCs w:val="48"/>
        </w:rPr>
        <w:t xml:space="preserve"> </w:t>
      </w:r>
      <w:r w:rsidR="00F63D43" w:rsidRPr="00593418">
        <w:rPr>
          <w:b/>
          <w:sz w:val="48"/>
          <w:szCs w:val="48"/>
        </w:rPr>
        <w:t>2024</w:t>
      </w:r>
    </w:p>
    <w:sdt>
      <w:sdtPr>
        <w:rPr>
          <w:rFonts w:ascii="Calibri" w:eastAsia="Calibri" w:hAnsi="Calibri" w:cs="font332"/>
          <w:b w:val="0"/>
          <w:bCs w:val="0"/>
          <w:caps w:val="0"/>
          <w:color w:val="auto"/>
          <w:kern w:val="1"/>
          <w:sz w:val="22"/>
          <w:szCs w:val="22"/>
          <w:lang w:val="sr-Latn-ME" w:eastAsia="en-US"/>
        </w:rPr>
        <w:id w:val="8447513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2D8B2E" w14:textId="42798D5A" w:rsidR="00A327C7" w:rsidRPr="005E034D" w:rsidRDefault="005E034D" w:rsidP="005E034D">
          <w:pPr>
            <w:pStyle w:val="TOCHeading"/>
            <w:jc w:val="center"/>
            <w:rPr>
              <w:color w:val="auto"/>
            </w:rPr>
          </w:pPr>
          <w:r w:rsidRPr="005E034D">
            <w:rPr>
              <w:caps w:val="0"/>
              <w:color w:val="auto"/>
            </w:rPr>
            <w:t>Sadržaj</w:t>
          </w:r>
        </w:p>
        <w:p w14:paraId="3BF94597" w14:textId="77777777" w:rsidR="005E034D" w:rsidRPr="005E034D" w:rsidRDefault="005E034D" w:rsidP="005E034D">
          <w:pPr>
            <w:rPr>
              <w:lang w:val="en-US" w:eastAsia="ja-JP"/>
            </w:rPr>
          </w:pPr>
        </w:p>
        <w:p w14:paraId="38921119" w14:textId="0E907FD9" w:rsidR="005E034D" w:rsidRPr="005E034D" w:rsidRDefault="005E034D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"1-4"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530143275" w:history="1">
            <w:r w:rsidRPr="005E034D">
              <w:rPr>
                <w:rStyle w:val="Hyperlink"/>
                <w:noProof/>
                <w:sz w:val="22"/>
                <w:szCs w:val="22"/>
              </w:rPr>
              <w:t>I UVOD</w:t>
            </w:r>
            <w:r w:rsidRPr="005E034D">
              <w:rPr>
                <w:noProof/>
                <w:webHidden/>
                <w:sz w:val="22"/>
                <w:szCs w:val="22"/>
              </w:rPr>
              <w:tab/>
            </w:r>
            <w:r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Pr="005E034D">
              <w:rPr>
                <w:noProof/>
                <w:webHidden/>
                <w:sz w:val="22"/>
                <w:szCs w:val="22"/>
              </w:rPr>
              <w:instrText xml:space="preserve"> PAGEREF _Toc530143275 \h </w:instrText>
            </w:r>
            <w:r w:rsidRPr="005E034D">
              <w:rPr>
                <w:noProof/>
                <w:webHidden/>
                <w:sz w:val="22"/>
                <w:szCs w:val="22"/>
              </w:rPr>
            </w:r>
            <w:r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Pr="005E034D">
              <w:rPr>
                <w:noProof/>
                <w:webHidden/>
                <w:sz w:val="22"/>
                <w:szCs w:val="22"/>
              </w:rPr>
              <w:t>3</w:t>
            </w:r>
            <w:r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A6CA91" w14:textId="1A571E53" w:rsidR="005E034D" w:rsidRPr="005E034D" w:rsidRDefault="00647CDE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hyperlink w:anchor="_Toc530143276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II UPRAVLJANJE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_Toc530143276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5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B5F863" w14:textId="47F90694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77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II 1. Proces izrade S3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_Toc530143277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5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06D463" w14:textId="170D42E6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78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II 2. Upravljačka struktura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_Toc530143278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9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0EE5C8" w14:textId="5F697EA9" w:rsidR="005E034D" w:rsidRPr="005E034D" w:rsidRDefault="00647CDE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hyperlink w:anchor="_Toc530143279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III STRATEŠKA VIZIJA RAZVOJA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_Toc530143279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10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920165" w14:textId="2F2F3055" w:rsidR="005E034D" w:rsidRPr="005E034D" w:rsidRDefault="00647CDE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hyperlink w:anchor="_Toc530143280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IV ANALIZA POTENCIJALA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_Toc530143280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12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4C746F" w14:textId="23816CC1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81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IV 1. ANALIZA EKONOMSKOG POTENCIJALA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_Toc530143281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12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1B79A7" w14:textId="0982B8AD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82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IV 2. ANALIZA ISTRAŽIVAČKOG POTENCIJALA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_Toc530143282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18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16BF67" w14:textId="464D5F0D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83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IV 3. ANALIZA INOVACIONOG POTENCIJALA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_Toc530143283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21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B9B40C" w14:textId="33B222D0" w:rsidR="005E034D" w:rsidRPr="005E034D" w:rsidRDefault="00647CDE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hyperlink w:anchor="_Toc530143284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 SWOT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_Toc530143284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24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3D2433" w14:textId="21FE7DF6" w:rsidR="005E034D" w:rsidRPr="005E034D" w:rsidRDefault="00647CDE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hyperlink w:anchor="_Toc530143285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VI STRATEŠKI S3 PRIORITETI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_Toc530143285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25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A28B79" w14:textId="769EB325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86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VI 1. NOVI MATERIJALI I ODRŽIVE TEHNOLOGIJE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_Toc530143286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26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CD7DB8" w14:textId="71E36D68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87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VI 2. ODRŽIVA POLJOPRIVREDA I LANAC VRIJEDNOSTI HRANE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_Toc530143287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28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D5CD0BC" w14:textId="028CC29D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88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VI 3. OBNOVLJIVI IZVORI ENERGIJE I ENERGETSKA EFIKASNOST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_Toc530143288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32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C0B4C9" w14:textId="4D0B2970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89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VI 4. ODRŽIVI I ZDRAVSTVENI TURIZAM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_Toc530143289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35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7E4397F" w14:textId="2A2A31B6" w:rsidR="005E034D" w:rsidRPr="005E034D" w:rsidRDefault="00647CDE">
          <w:pPr>
            <w:pStyle w:val="TOC2"/>
            <w:tabs>
              <w:tab w:val="right" w:leader="dot" w:pos="9017"/>
            </w:tabs>
            <w:rPr>
              <w:rFonts w:eastAsiaTheme="minorEastAsia" w:cstheme="minorBidi"/>
              <w:smallCaps w:val="0"/>
              <w:noProof/>
              <w:kern w:val="0"/>
              <w:sz w:val="22"/>
              <w:szCs w:val="22"/>
              <w:lang w:val="en-US"/>
            </w:rPr>
          </w:pPr>
          <w:hyperlink w:anchor="_Toc530143290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VI 5. INFORMACIONO-KOMUNIKACIONE TEHNOLOGIJE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_Toc530143290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38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7E72A2" w14:textId="4C1A57FB" w:rsidR="005E034D" w:rsidRPr="005E034D" w:rsidRDefault="00647CDE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hyperlink w:anchor="_Toc530143291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VII KOMBINACIJA RAZVOJNIH POLITIKA I FINANSIJSKI OKVIR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_Toc530143291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43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00A538" w14:textId="28D415B1" w:rsidR="005E034D" w:rsidRPr="005E034D" w:rsidRDefault="00647CDE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hyperlink w:anchor="_Toc530143292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VIII MONITORING I EVALUACIJA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_Toc530143292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48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CF0C44" w14:textId="5B515B91" w:rsidR="005E034D" w:rsidRPr="005E034D" w:rsidRDefault="00647CDE">
          <w:pPr>
            <w:pStyle w:val="TOC1"/>
            <w:tabs>
              <w:tab w:val="right" w:leader="dot" w:pos="9017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0"/>
              <w:sz w:val="22"/>
              <w:szCs w:val="22"/>
              <w:lang w:val="en-US"/>
            </w:rPr>
          </w:pPr>
          <w:hyperlink w:anchor="_Toc530143293" w:history="1">
            <w:r w:rsidR="005E034D" w:rsidRPr="005E034D">
              <w:rPr>
                <w:rStyle w:val="Hyperlink"/>
                <w:noProof/>
                <w:sz w:val="22"/>
                <w:szCs w:val="22"/>
              </w:rPr>
              <w:t>IX ANEKS</w:t>
            </w:r>
            <w:r w:rsidR="005E034D" w:rsidRPr="005E034D">
              <w:rPr>
                <w:noProof/>
                <w:webHidden/>
                <w:sz w:val="22"/>
                <w:szCs w:val="22"/>
              </w:rPr>
              <w:tab/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begin"/>
            </w:r>
            <w:r w:rsidR="005E034D" w:rsidRPr="005E034D">
              <w:rPr>
                <w:noProof/>
                <w:webHidden/>
                <w:sz w:val="22"/>
                <w:szCs w:val="22"/>
              </w:rPr>
              <w:instrText xml:space="preserve"> PAGEREF _Toc530143293 \h </w:instrText>
            </w:r>
            <w:r w:rsidR="005E034D" w:rsidRPr="005E034D">
              <w:rPr>
                <w:noProof/>
                <w:webHidden/>
                <w:sz w:val="22"/>
                <w:szCs w:val="22"/>
              </w:rPr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034D" w:rsidRPr="005E034D">
              <w:rPr>
                <w:noProof/>
                <w:webHidden/>
                <w:sz w:val="22"/>
                <w:szCs w:val="22"/>
              </w:rPr>
              <w:t>55</w:t>
            </w:r>
            <w:r w:rsidR="005E034D" w:rsidRPr="005E034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415214" w14:textId="372D9CDF" w:rsidR="00A327C7" w:rsidRDefault="005E034D">
          <w:r>
            <w:rPr>
              <w:rFonts w:asciiTheme="minorHAnsi" w:hAnsiTheme="minorHAnsi" w:cstheme="min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4F8D5D02" w14:textId="0C416905" w:rsidR="00A327C7" w:rsidRPr="00593418" w:rsidRDefault="00A327C7" w:rsidP="00A327C7">
      <w:pPr>
        <w:suppressAutoHyphens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4E8808C" w14:textId="72312EAE" w:rsidR="00A42EC6" w:rsidRDefault="00A42EC6" w:rsidP="00A327C7">
      <w:pPr>
        <w:pStyle w:val="Heading1"/>
      </w:pPr>
      <w:bookmarkStart w:id="0" w:name="_Toc529890080"/>
      <w:bookmarkStart w:id="1" w:name="_Toc530143275"/>
      <w:r w:rsidRPr="00593418">
        <w:lastRenderedPageBreak/>
        <w:t>I UVOD</w:t>
      </w:r>
      <w:bookmarkEnd w:id="0"/>
      <w:bookmarkEnd w:id="1"/>
    </w:p>
    <w:p w14:paraId="23126B96" w14:textId="77777777" w:rsidR="00FD39C0" w:rsidRPr="00FD39C0" w:rsidRDefault="00FD39C0" w:rsidP="00FD39C0"/>
    <w:p w14:paraId="2FD63A56" w14:textId="548BFA8A" w:rsidR="00684F22" w:rsidRPr="00593418" w:rsidRDefault="00C703F7" w:rsidP="00DD3714">
      <w:pPr>
        <w:spacing w:after="120" w:line="240" w:lineRule="auto"/>
        <w:jc w:val="both"/>
        <w:rPr>
          <w:rFonts w:asciiTheme="minorHAnsi" w:hAnsiTheme="minorHAnsi"/>
          <w:noProof/>
          <w:lang w:eastAsia="en-GB"/>
        </w:rPr>
      </w:pPr>
      <w:r>
        <w:rPr>
          <w:rFonts w:asciiTheme="minorHAnsi" w:hAnsiTheme="minorHAnsi"/>
          <w:noProof/>
          <w:lang w:eastAsia="en-GB"/>
        </w:rPr>
        <w:t>Izradom Strategije pametne specijalizacije Crna Gora se priključila inicijativi Evropske unije kojom se potencira novi model ekonomskog razvoja na nacionalnom ili regionalnom nivou zasn</w:t>
      </w:r>
      <w:r w:rsidR="00685D5F">
        <w:rPr>
          <w:rFonts w:asciiTheme="minorHAnsi" w:hAnsiTheme="minorHAnsi"/>
          <w:noProof/>
          <w:lang w:eastAsia="en-GB"/>
        </w:rPr>
        <w:t>ovan</w:t>
      </w:r>
      <w:r>
        <w:rPr>
          <w:rFonts w:asciiTheme="minorHAnsi" w:hAnsiTheme="minorHAnsi"/>
          <w:noProof/>
          <w:lang w:eastAsia="en-GB"/>
        </w:rPr>
        <w:t xml:space="preserve"> na ciljanoj podršci </w:t>
      </w:r>
      <w:r w:rsidR="00934A69">
        <w:rPr>
          <w:rFonts w:asciiTheme="minorHAnsi" w:hAnsiTheme="minorHAnsi"/>
          <w:noProof/>
          <w:lang w:eastAsia="en-GB"/>
        </w:rPr>
        <w:t>naučno-</w:t>
      </w:r>
      <w:r>
        <w:rPr>
          <w:rFonts w:asciiTheme="minorHAnsi" w:hAnsiTheme="minorHAnsi"/>
          <w:noProof/>
          <w:lang w:eastAsia="en-GB"/>
        </w:rPr>
        <w:t>istraživa</w:t>
      </w:r>
      <w:r w:rsidR="00934A69">
        <w:rPr>
          <w:rFonts w:asciiTheme="minorHAnsi" w:hAnsiTheme="minorHAnsi"/>
          <w:noProof/>
          <w:lang w:eastAsia="en-GB"/>
        </w:rPr>
        <w:t xml:space="preserve">čkim </w:t>
      </w:r>
      <w:r w:rsidR="00E8725A">
        <w:rPr>
          <w:rFonts w:asciiTheme="minorHAnsi" w:hAnsiTheme="minorHAnsi"/>
          <w:noProof/>
          <w:lang w:eastAsia="en-GB"/>
        </w:rPr>
        <w:t xml:space="preserve">i inovativnim </w:t>
      </w:r>
      <w:r w:rsidR="00934A69">
        <w:rPr>
          <w:rFonts w:asciiTheme="minorHAnsi" w:hAnsiTheme="minorHAnsi"/>
          <w:noProof/>
          <w:lang w:eastAsia="en-GB"/>
        </w:rPr>
        <w:t xml:space="preserve">aktivnostima. </w:t>
      </w:r>
      <w:r w:rsidR="00684F22" w:rsidRPr="00593418">
        <w:rPr>
          <w:rFonts w:asciiTheme="minorHAnsi" w:hAnsiTheme="minorHAnsi"/>
          <w:noProof/>
          <w:lang w:eastAsia="en-GB"/>
        </w:rPr>
        <w:t>Strategija pametne specijalizacije (S3)</w:t>
      </w:r>
      <w:r w:rsidR="00D722DE" w:rsidRPr="00593418">
        <w:rPr>
          <w:rStyle w:val="FootnoteReference"/>
          <w:rFonts w:asciiTheme="minorHAnsi" w:hAnsiTheme="minorHAnsi"/>
          <w:noProof/>
          <w:lang w:eastAsia="en-GB"/>
        </w:rPr>
        <w:footnoteReference w:id="2"/>
      </w:r>
      <w:r w:rsidR="00684F22" w:rsidRPr="00593418">
        <w:rPr>
          <w:rFonts w:asciiTheme="minorHAnsi" w:hAnsiTheme="minorHAnsi"/>
          <w:noProof/>
          <w:lang w:eastAsia="en-GB"/>
        </w:rPr>
        <w:t xml:space="preserve"> </w:t>
      </w:r>
      <w:r w:rsidR="00684F22" w:rsidRPr="005D08E6">
        <w:rPr>
          <w:rFonts w:asciiTheme="minorHAnsi" w:hAnsiTheme="minorHAnsi"/>
          <w:noProof/>
          <w:lang w:eastAsia="en-GB"/>
        </w:rPr>
        <w:t>je</w:t>
      </w:r>
      <w:r w:rsidR="00934A69" w:rsidRPr="005D08E6">
        <w:rPr>
          <w:rFonts w:asciiTheme="minorHAnsi" w:hAnsiTheme="minorHAnsi"/>
          <w:noProof/>
          <w:lang w:eastAsia="en-GB"/>
        </w:rPr>
        <w:t xml:space="preserve">, dakle, </w:t>
      </w:r>
      <w:r w:rsidR="00684F22" w:rsidRPr="005D08E6">
        <w:rPr>
          <w:rFonts w:asciiTheme="minorHAnsi" w:hAnsiTheme="minorHAnsi"/>
          <w:noProof/>
          <w:lang w:eastAsia="en-GB"/>
        </w:rPr>
        <w:t>nacionalna ili regionalna inovaciona strategija koja utvrđuje prioritete</w:t>
      </w:r>
      <w:r w:rsidR="00685D5F" w:rsidRPr="005D08E6">
        <w:rPr>
          <w:rFonts w:asciiTheme="minorHAnsi" w:hAnsiTheme="minorHAnsi"/>
          <w:noProof/>
          <w:lang w:eastAsia="en-GB"/>
        </w:rPr>
        <w:t xml:space="preserve"> razvoja</w:t>
      </w:r>
      <w:r w:rsidR="00684F22" w:rsidRPr="005D08E6">
        <w:rPr>
          <w:rFonts w:asciiTheme="minorHAnsi" w:hAnsiTheme="minorHAnsi"/>
          <w:noProof/>
          <w:lang w:eastAsia="en-GB"/>
        </w:rPr>
        <w:t xml:space="preserve">, čiji je cilj </w:t>
      </w:r>
      <w:r w:rsidR="00684F22" w:rsidRPr="005D08E6">
        <w:rPr>
          <w:rFonts w:asciiTheme="minorHAnsi" w:hAnsiTheme="minorHAnsi"/>
          <w:i/>
          <w:noProof/>
          <w:lang w:eastAsia="en-GB"/>
        </w:rPr>
        <w:t>izgradnja konkurentske prednosti</w:t>
      </w:r>
      <w:r w:rsidR="00684F22" w:rsidRPr="005D08E6">
        <w:rPr>
          <w:rFonts w:asciiTheme="minorHAnsi" w:hAnsiTheme="minorHAnsi"/>
          <w:noProof/>
          <w:lang w:eastAsia="en-GB"/>
        </w:rPr>
        <w:t xml:space="preserve"> kro</w:t>
      </w:r>
      <w:r w:rsidR="00E8725A" w:rsidRPr="005D08E6">
        <w:rPr>
          <w:rFonts w:asciiTheme="minorHAnsi" w:hAnsiTheme="minorHAnsi"/>
          <w:noProof/>
          <w:lang w:eastAsia="en-GB"/>
        </w:rPr>
        <w:t xml:space="preserve">z </w:t>
      </w:r>
      <w:r w:rsidR="00684F22" w:rsidRPr="005D08E6">
        <w:rPr>
          <w:rFonts w:asciiTheme="minorHAnsi" w:hAnsiTheme="minorHAnsi"/>
          <w:noProof/>
          <w:lang w:eastAsia="en-GB"/>
        </w:rPr>
        <w:t>povezivanje sopstvenih snaga u istraživanju i inovacijama s potrebama privrede, odgovarajući na koherentan način na rastuće mogućnosti i razvoj tržišta, a čime se izbjegava preklapanje i fragmentacija politika</w:t>
      </w:r>
      <w:r w:rsidR="00684F22" w:rsidRPr="005D08E6">
        <w:rPr>
          <w:rStyle w:val="FootnoteReference"/>
          <w:rFonts w:asciiTheme="minorHAnsi" w:hAnsiTheme="minorHAnsi"/>
          <w:noProof/>
          <w:lang w:eastAsia="en-GB"/>
        </w:rPr>
        <w:footnoteReference w:id="3"/>
      </w:r>
      <w:r w:rsidR="00684F22" w:rsidRPr="005D08E6">
        <w:rPr>
          <w:rFonts w:asciiTheme="minorHAnsi" w:hAnsiTheme="minorHAnsi"/>
          <w:noProof/>
          <w:lang w:eastAsia="en-GB"/>
        </w:rPr>
        <w:t xml:space="preserve">. Pametna specijalizacija </w:t>
      </w:r>
      <w:r w:rsidR="00934A69" w:rsidRPr="005D08E6">
        <w:rPr>
          <w:rFonts w:asciiTheme="minorHAnsi" w:hAnsiTheme="minorHAnsi"/>
          <w:noProof/>
          <w:lang w:eastAsia="en-GB"/>
        </w:rPr>
        <w:t xml:space="preserve">kao </w:t>
      </w:r>
      <w:r w:rsidR="00684F22" w:rsidRPr="005D08E6">
        <w:rPr>
          <w:rFonts w:asciiTheme="minorHAnsi" w:hAnsiTheme="minorHAnsi"/>
          <w:noProof/>
          <w:lang w:eastAsia="en-GB"/>
        </w:rPr>
        <w:t>ključni element politike razvoja</w:t>
      </w:r>
      <w:r w:rsidR="00684F22" w:rsidRPr="005D08E6">
        <w:rPr>
          <w:rFonts w:asciiTheme="minorHAnsi" w:hAnsiTheme="minorHAnsi"/>
        </w:rPr>
        <w:t xml:space="preserve"> poveća</w:t>
      </w:r>
      <w:r w:rsidR="005B63B5" w:rsidRPr="005D08E6">
        <w:rPr>
          <w:rFonts w:asciiTheme="minorHAnsi" w:hAnsiTheme="minorHAnsi"/>
        </w:rPr>
        <w:t>va</w:t>
      </w:r>
      <w:r w:rsidR="00684F22" w:rsidRPr="005D08E6">
        <w:rPr>
          <w:rFonts w:asciiTheme="minorHAnsi" w:hAnsiTheme="minorHAnsi"/>
        </w:rPr>
        <w:t xml:space="preserve"> konkurentnost ekonomije</w:t>
      </w:r>
      <w:r w:rsidR="003D1EDE" w:rsidRPr="005D08E6">
        <w:rPr>
          <w:rFonts w:asciiTheme="minorHAnsi" w:hAnsiTheme="minorHAnsi"/>
        </w:rPr>
        <w:t xml:space="preserve"> </w:t>
      </w:r>
      <w:r w:rsidR="00684F22" w:rsidRPr="005D08E6">
        <w:rPr>
          <w:rFonts w:asciiTheme="minorHAnsi" w:hAnsiTheme="minorHAnsi"/>
        </w:rPr>
        <w:t xml:space="preserve">koncentrišući i povezujući </w:t>
      </w:r>
      <w:r w:rsidR="00934A69" w:rsidRPr="005D08E6">
        <w:rPr>
          <w:rFonts w:asciiTheme="minorHAnsi" w:hAnsiTheme="minorHAnsi"/>
        </w:rPr>
        <w:t xml:space="preserve">istraživačko-inovacione resurse </w:t>
      </w:r>
      <w:r w:rsidR="00684F22" w:rsidRPr="005D08E6">
        <w:rPr>
          <w:rFonts w:asciiTheme="minorHAnsi" w:hAnsiTheme="minorHAnsi"/>
        </w:rPr>
        <w:t xml:space="preserve">s ograničenim brojem </w:t>
      </w:r>
      <w:r w:rsidR="000973FC" w:rsidRPr="005D08E6">
        <w:rPr>
          <w:rFonts w:asciiTheme="minorHAnsi" w:hAnsiTheme="minorHAnsi"/>
        </w:rPr>
        <w:t xml:space="preserve">determinisanih </w:t>
      </w:r>
      <w:r w:rsidR="00684F22" w:rsidRPr="005D08E6">
        <w:rPr>
          <w:rFonts w:asciiTheme="minorHAnsi" w:hAnsiTheme="minorHAnsi"/>
        </w:rPr>
        <w:t>prioritet</w:t>
      </w:r>
      <w:r w:rsidR="00934A69" w:rsidRPr="005D08E6">
        <w:rPr>
          <w:rFonts w:asciiTheme="minorHAnsi" w:hAnsiTheme="minorHAnsi"/>
        </w:rPr>
        <w:t>nih privrednih oblasti</w:t>
      </w:r>
      <w:r w:rsidR="00684F22" w:rsidRPr="005D08E6">
        <w:rPr>
          <w:rFonts w:asciiTheme="minorHAnsi" w:hAnsiTheme="minorHAnsi"/>
          <w:noProof/>
          <w:lang w:eastAsia="en-GB"/>
        </w:rPr>
        <w:t xml:space="preserve">. Takođe, </w:t>
      </w:r>
      <w:r w:rsidR="000973FC" w:rsidRPr="005D08E6">
        <w:rPr>
          <w:rFonts w:asciiTheme="minorHAnsi" w:hAnsiTheme="minorHAnsi"/>
          <w:noProof/>
          <w:lang w:eastAsia="en-GB"/>
        </w:rPr>
        <w:t xml:space="preserve">strategija </w:t>
      </w:r>
      <w:r w:rsidR="003D1EDE" w:rsidRPr="005D08E6">
        <w:rPr>
          <w:rFonts w:asciiTheme="minorHAnsi" w:hAnsiTheme="minorHAnsi"/>
          <w:noProof/>
          <w:lang w:eastAsia="en-GB"/>
        </w:rPr>
        <w:t>ovoga tipa</w:t>
      </w:r>
      <w:r w:rsidR="003D1EDE" w:rsidRPr="00593418">
        <w:rPr>
          <w:rFonts w:asciiTheme="minorHAnsi" w:hAnsiTheme="minorHAnsi"/>
          <w:noProof/>
          <w:lang w:eastAsia="en-GB"/>
        </w:rPr>
        <w:t xml:space="preserve"> </w:t>
      </w:r>
      <w:r w:rsidR="000973FC">
        <w:rPr>
          <w:rFonts w:asciiTheme="minorHAnsi" w:hAnsiTheme="minorHAnsi"/>
          <w:noProof/>
          <w:lang w:eastAsia="en-GB"/>
        </w:rPr>
        <w:t xml:space="preserve">treba </w:t>
      </w:r>
      <w:r w:rsidR="00684F22" w:rsidRPr="00593418">
        <w:rPr>
          <w:rFonts w:asciiTheme="minorHAnsi" w:hAnsiTheme="minorHAnsi"/>
          <w:noProof/>
          <w:lang w:eastAsia="en-GB"/>
        </w:rPr>
        <w:t xml:space="preserve">da </w:t>
      </w:r>
      <w:r w:rsidR="003D1EDE" w:rsidRPr="00593418">
        <w:rPr>
          <w:rFonts w:asciiTheme="minorHAnsi" w:hAnsiTheme="minorHAnsi"/>
          <w:noProof/>
          <w:lang w:eastAsia="en-GB"/>
        </w:rPr>
        <w:t xml:space="preserve">maksimalno </w:t>
      </w:r>
      <w:r w:rsidR="000973FC" w:rsidRPr="00593418">
        <w:rPr>
          <w:rFonts w:asciiTheme="minorHAnsi" w:hAnsiTheme="minorHAnsi"/>
          <w:noProof/>
          <w:lang w:eastAsia="en-GB"/>
        </w:rPr>
        <w:t>iskorist</w:t>
      </w:r>
      <w:r w:rsidR="000973FC">
        <w:rPr>
          <w:rFonts w:asciiTheme="minorHAnsi" w:hAnsiTheme="minorHAnsi"/>
          <w:noProof/>
          <w:lang w:eastAsia="en-GB"/>
        </w:rPr>
        <w:t>i</w:t>
      </w:r>
      <w:r w:rsidR="000973FC" w:rsidRPr="00593418">
        <w:rPr>
          <w:rFonts w:asciiTheme="minorHAnsi" w:hAnsiTheme="minorHAnsi"/>
          <w:noProof/>
          <w:lang w:eastAsia="en-GB"/>
        </w:rPr>
        <w:t xml:space="preserve"> </w:t>
      </w:r>
      <w:r w:rsidR="00684F22" w:rsidRPr="00923467">
        <w:rPr>
          <w:rFonts w:asciiTheme="minorHAnsi" w:hAnsiTheme="minorHAnsi"/>
          <w:i/>
          <w:noProof/>
          <w:lang w:eastAsia="en-GB"/>
        </w:rPr>
        <w:t xml:space="preserve">komparativne prednosti </w:t>
      </w:r>
      <w:r w:rsidR="00684F22" w:rsidRPr="00593418">
        <w:rPr>
          <w:rFonts w:asciiTheme="minorHAnsi" w:hAnsiTheme="minorHAnsi"/>
          <w:noProof/>
          <w:lang w:eastAsia="en-GB"/>
        </w:rPr>
        <w:t>zemlj</w:t>
      </w:r>
      <w:r w:rsidR="000973FC">
        <w:rPr>
          <w:rFonts w:asciiTheme="minorHAnsi" w:hAnsiTheme="minorHAnsi"/>
          <w:noProof/>
          <w:lang w:eastAsia="en-GB"/>
        </w:rPr>
        <w:t>e</w:t>
      </w:r>
      <w:r w:rsidR="00684F22" w:rsidRPr="00593418">
        <w:rPr>
          <w:rFonts w:asciiTheme="minorHAnsi" w:hAnsiTheme="minorHAnsi"/>
          <w:noProof/>
          <w:lang w:eastAsia="en-GB"/>
        </w:rPr>
        <w:t xml:space="preserve"> i</w:t>
      </w:r>
      <w:r w:rsidR="000973FC">
        <w:rPr>
          <w:rFonts w:asciiTheme="minorHAnsi" w:hAnsiTheme="minorHAnsi"/>
          <w:noProof/>
          <w:lang w:eastAsia="en-GB"/>
        </w:rPr>
        <w:t>li</w:t>
      </w:r>
      <w:r w:rsidR="00684F22" w:rsidRPr="00593418">
        <w:rPr>
          <w:rFonts w:asciiTheme="minorHAnsi" w:hAnsiTheme="minorHAnsi"/>
          <w:noProof/>
          <w:lang w:eastAsia="en-GB"/>
        </w:rPr>
        <w:t xml:space="preserve"> regiona kroz podsticanje inovacija</w:t>
      </w:r>
      <w:r w:rsidR="000973FC">
        <w:rPr>
          <w:rFonts w:asciiTheme="minorHAnsi" w:hAnsiTheme="minorHAnsi"/>
          <w:noProof/>
          <w:lang w:eastAsia="en-GB"/>
        </w:rPr>
        <w:t xml:space="preserve">, </w:t>
      </w:r>
      <w:r w:rsidR="00684F22" w:rsidRPr="00593418">
        <w:rPr>
          <w:rFonts w:asciiTheme="minorHAnsi" w:hAnsiTheme="minorHAnsi"/>
          <w:noProof/>
          <w:lang w:eastAsia="en-GB"/>
        </w:rPr>
        <w:t xml:space="preserve"> </w:t>
      </w:r>
      <w:r w:rsidR="00D43CB3" w:rsidRPr="00593418">
        <w:rPr>
          <w:rFonts w:asciiTheme="minorHAnsi" w:hAnsiTheme="minorHAnsi"/>
          <w:noProof/>
          <w:lang w:eastAsia="en-GB"/>
        </w:rPr>
        <w:t>n</w:t>
      </w:r>
      <w:r w:rsidR="003D1EDE" w:rsidRPr="00593418">
        <w:rPr>
          <w:rFonts w:asciiTheme="minorHAnsi" w:hAnsiTheme="minorHAnsi"/>
          <w:noProof/>
          <w:lang w:eastAsia="en-GB"/>
        </w:rPr>
        <w:t xml:space="preserve">a taj način </w:t>
      </w:r>
      <w:r w:rsidR="00685D5F">
        <w:rPr>
          <w:rFonts w:asciiTheme="minorHAnsi" w:hAnsiTheme="minorHAnsi"/>
          <w:noProof/>
          <w:lang w:eastAsia="en-GB"/>
        </w:rPr>
        <w:t xml:space="preserve">doprinoseći </w:t>
      </w:r>
      <w:r w:rsidR="000973FC">
        <w:rPr>
          <w:rFonts w:asciiTheme="minorHAnsi" w:hAnsiTheme="minorHAnsi"/>
          <w:noProof/>
          <w:lang w:eastAsia="en-GB"/>
        </w:rPr>
        <w:t xml:space="preserve">ekonomskom </w:t>
      </w:r>
      <w:r w:rsidR="00684F22" w:rsidRPr="00593418">
        <w:rPr>
          <w:rFonts w:asciiTheme="minorHAnsi" w:hAnsiTheme="minorHAnsi"/>
          <w:noProof/>
          <w:lang w:eastAsia="en-GB"/>
        </w:rPr>
        <w:t>rastu i ukupnom napretku</w:t>
      </w:r>
      <w:r w:rsidR="000973FC">
        <w:rPr>
          <w:rFonts w:asciiTheme="minorHAnsi" w:hAnsiTheme="minorHAnsi"/>
          <w:noProof/>
          <w:lang w:eastAsia="en-GB"/>
        </w:rPr>
        <w:t xml:space="preserve"> društva</w:t>
      </w:r>
      <w:r w:rsidR="00684F22" w:rsidRPr="00593418">
        <w:rPr>
          <w:rFonts w:asciiTheme="minorHAnsi" w:hAnsiTheme="minorHAnsi"/>
          <w:noProof/>
          <w:lang w:eastAsia="en-GB"/>
        </w:rPr>
        <w:t xml:space="preserve">. </w:t>
      </w:r>
    </w:p>
    <w:p w14:paraId="0580963A" w14:textId="2E98E601" w:rsidR="00E8725A" w:rsidRPr="00593418" w:rsidRDefault="00882EA4" w:rsidP="00DD3714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>„Unija inovacija”</w:t>
      </w:r>
      <w:r w:rsidR="00684F22" w:rsidRPr="00593418">
        <w:rPr>
          <w:rFonts w:asciiTheme="minorHAnsi" w:hAnsiTheme="minorHAnsi"/>
        </w:rPr>
        <w:t xml:space="preserve"> je jedna od sedam vodećih inicijativa Strategije Evropa 2020 i usmjerena je na</w:t>
      </w:r>
      <w:r w:rsidR="00685D5F">
        <w:rPr>
          <w:rFonts w:asciiTheme="minorHAnsi" w:hAnsiTheme="minorHAnsi"/>
        </w:rPr>
        <w:t xml:space="preserve"> unaprijeđenje</w:t>
      </w:r>
      <w:r w:rsidR="00684F22" w:rsidRPr="00593418">
        <w:rPr>
          <w:rFonts w:asciiTheme="minorHAnsi" w:hAnsiTheme="minorHAnsi"/>
        </w:rPr>
        <w:t xml:space="preserve">  okvirnih uslova i pristupa za finansiranje istraživanja i inovacija</w:t>
      </w:r>
      <w:r w:rsidR="00D43CB3" w:rsidRPr="00593418">
        <w:rPr>
          <w:rFonts w:asciiTheme="minorHAnsi" w:hAnsiTheme="minorHAnsi"/>
        </w:rPr>
        <w:t xml:space="preserve"> ko</w:t>
      </w:r>
      <w:r w:rsidR="00684F22" w:rsidRPr="00593418">
        <w:rPr>
          <w:rFonts w:asciiTheme="minorHAnsi" w:hAnsiTheme="minorHAnsi"/>
        </w:rPr>
        <w:t xml:space="preserve">ji će </w:t>
      </w:r>
      <w:r w:rsidR="00D43CB3" w:rsidRPr="00593418">
        <w:rPr>
          <w:rFonts w:asciiTheme="minorHAnsi" w:hAnsiTheme="minorHAnsi"/>
        </w:rPr>
        <w:t>p</w:t>
      </w:r>
      <w:r w:rsidR="003D1EDE" w:rsidRPr="00593418">
        <w:rPr>
          <w:rFonts w:asciiTheme="minorHAnsi" w:hAnsiTheme="minorHAnsi"/>
        </w:rPr>
        <w:t xml:space="preserve">odsticati </w:t>
      </w:r>
      <w:r w:rsidR="00684F22" w:rsidRPr="00593418">
        <w:rPr>
          <w:rFonts w:asciiTheme="minorHAnsi" w:hAnsiTheme="minorHAnsi"/>
        </w:rPr>
        <w:t xml:space="preserve">rast ekonomije i </w:t>
      </w:r>
      <w:r w:rsidR="003D1EDE" w:rsidRPr="00593418">
        <w:rPr>
          <w:rFonts w:asciiTheme="minorHAnsi" w:hAnsiTheme="minorHAnsi"/>
        </w:rPr>
        <w:t>otvaranje novih radnih mjesta</w:t>
      </w:r>
      <w:r w:rsidR="00D43CB3" w:rsidRPr="00593418">
        <w:rPr>
          <w:rFonts w:asciiTheme="minorHAnsi" w:hAnsiTheme="minorHAnsi"/>
        </w:rPr>
        <w:t>.</w:t>
      </w:r>
    </w:p>
    <w:p w14:paraId="4440A182" w14:textId="470AD455" w:rsidR="00684F22" w:rsidRPr="00593418" w:rsidRDefault="00684F22" w:rsidP="00DD3714">
      <w:pPr>
        <w:spacing w:after="120" w:line="240" w:lineRule="auto"/>
        <w:jc w:val="both"/>
        <w:rPr>
          <w:rFonts w:asciiTheme="minorHAnsi" w:hAnsiTheme="minorHAnsi"/>
          <w:noProof/>
          <w:lang w:eastAsia="en-GB"/>
        </w:rPr>
      </w:pPr>
    </w:p>
    <w:p w14:paraId="7E80C5EC" w14:textId="2F29B14F" w:rsidR="00684F22" w:rsidRPr="00593418" w:rsidRDefault="00684F22" w:rsidP="00DD3714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>U dokumentu Evropske komisije ,,Nacionalne/regionalne strategije inovacija za pametnu specijalizaciju (</w:t>
      </w:r>
      <w:r w:rsidR="00A02200">
        <w:rPr>
          <w:rFonts w:asciiTheme="minorHAnsi" w:hAnsiTheme="minorHAnsi"/>
        </w:rPr>
        <w:t>S3</w:t>
      </w:r>
      <w:r w:rsidRPr="00593418">
        <w:rPr>
          <w:rFonts w:asciiTheme="minorHAnsi" w:hAnsiTheme="minorHAnsi"/>
        </w:rPr>
        <w:t>)</w:t>
      </w:r>
      <w:r w:rsidR="00882EA4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-</w:t>
      </w:r>
      <w:r w:rsidR="00882EA4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Koheziona politika 2014-2020. godine</w:t>
      </w:r>
      <w:r w:rsidR="00C27F9F" w:rsidRPr="00593418">
        <w:rPr>
          <w:rFonts w:asciiTheme="minorHAnsi" w:hAnsiTheme="minorHAnsi"/>
        </w:rPr>
        <w:t>“</w:t>
      </w:r>
      <w:r w:rsidRPr="00593418">
        <w:rPr>
          <w:rFonts w:asciiTheme="minorHAnsi" w:hAnsiTheme="minorHAnsi"/>
        </w:rPr>
        <w:t xml:space="preserve">, strategije pametne specijalizacije definisane su kao integrisane agende ekonomske transformacije </w:t>
      </w:r>
      <w:r w:rsidR="00C27F9F" w:rsidRPr="00593418">
        <w:rPr>
          <w:rFonts w:asciiTheme="minorHAnsi" w:hAnsiTheme="minorHAnsi"/>
        </w:rPr>
        <w:t xml:space="preserve">koje su </w:t>
      </w:r>
      <w:r w:rsidRPr="00593418">
        <w:rPr>
          <w:rFonts w:asciiTheme="minorHAnsi" w:hAnsiTheme="minorHAnsi"/>
        </w:rPr>
        <w:t xml:space="preserve">zasnovane na 5 važnih elemenata: </w:t>
      </w:r>
    </w:p>
    <w:p w14:paraId="2D35FCCD" w14:textId="1219EC12" w:rsidR="00684F22" w:rsidRPr="00593418" w:rsidRDefault="00C27F9F" w:rsidP="00622C4F">
      <w:pPr>
        <w:pStyle w:val="ListParagraph"/>
        <w:numPr>
          <w:ilvl w:val="0"/>
          <w:numId w:val="15"/>
        </w:numPr>
        <w:spacing w:before="0"/>
        <w:rPr>
          <w:lang w:val="sr-Latn-ME"/>
        </w:rPr>
      </w:pPr>
      <w:r w:rsidRPr="00593418">
        <w:rPr>
          <w:lang w:val="sr-Latn-ME"/>
        </w:rPr>
        <w:t xml:space="preserve">S3 </w:t>
      </w:r>
      <w:r w:rsidR="00684F22" w:rsidRPr="00593418">
        <w:rPr>
          <w:lang w:val="sr-Latn-ME"/>
        </w:rPr>
        <w:t xml:space="preserve">usmjeravaju podršku politikama i ulaganjima u okviru ključnih nacionalnih/regionalnih prioriteta, izazova i potreba za razvoj zasnovan na znanju; </w:t>
      </w:r>
    </w:p>
    <w:p w14:paraId="0B3006F0" w14:textId="7F07142A" w:rsidR="00684F22" w:rsidRPr="00593418" w:rsidRDefault="00C27F9F" w:rsidP="00622C4F">
      <w:pPr>
        <w:pStyle w:val="ListParagraph"/>
        <w:numPr>
          <w:ilvl w:val="0"/>
          <w:numId w:val="15"/>
        </w:numPr>
        <w:spacing w:before="0"/>
        <w:rPr>
          <w:lang w:val="sr-Latn-ME"/>
        </w:rPr>
      </w:pPr>
      <w:r w:rsidRPr="00593418">
        <w:rPr>
          <w:lang w:val="sr-Latn-ME"/>
        </w:rPr>
        <w:t xml:space="preserve">S3 se </w:t>
      </w:r>
      <w:r w:rsidR="00684F22" w:rsidRPr="00593418">
        <w:rPr>
          <w:lang w:val="sr-Latn-ME"/>
        </w:rPr>
        <w:t xml:space="preserve">baziraju </w:t>
      </w:r>
      <w:r w:rsidR="00D43CB3" w:rsidRPr="00593418">
        <w:rPr>
          <w:lang w:val="sr-Latn-ME"/>
        </w:rPr>
        <w:t>n</w:t>
      </w:r>
      <w:r w:rsidR="00684F22" w:rsidRPr="00593418">
        <w:rPr>
          <w:lang w:val="sr-Latn-ME"/>
        </w:rPr>
        <w:t xml:space="preserve">a prednostima svake zemlje/regiona, konkurentskim prednostima i potencijalu za izvrsnost; </w:t>
      </w:r>
    </w:p>
    <w:p w14:paraId="4C86DD15" w14:textId="7770D023" w:rsidR="00684F22" w:rsidRPr="00593418" w:rsidRDefault="00C27F9F" w:rsidP="00622C4F">
      <w:pPr>
        <w:pStyle w:val="ListParagraph"/>
        <w:numPr>
          <w:ilvl w:val="0"/>
          <w:numId w:val="15"/>
        </w:numPr>
        <w:spacing w:before="0"/>
        <w:rPr>
          <w:lang w:val="sr-Latn-ME"/>
        </w:rPr>
      </w:pPr>
      <w:r w:rsidRPr="00593418">
        <w:rPr>
          <w:lang w:val="sr-Latn-ME"/>
        </w:rPr>
        <w:t xml:space="preserve">S3 </w:t>
      </w:r>
      <w:r w:rsidR="00684F22" w:rsidRPr="00593418">
        <w:rPr>
          <w:lang w:val="sr-Latn-ME"/>
        </w:rPr>
        <w:t>podržavaju tehnološki razvoj i inovacije</w:t>
      </w:r>
      <w:r w:rsidR="00D43CB3" w:rsidRPr="00593418">
        <w:rPr>
          <w:lang w:val="sr-Latn-ME"/>
        </w:rPr>
        <w:t xml:space="preserve"> </w:t>
      </w:r>
      <w:r w:rsidR="00684F22" w:rsidRPr="00593418">
        <w:rPr>
          <w:lang w:val="sr-Latn-ME"/>
        </w:rPr>
        <w:t>na bazi praktičnih znanja</w:t>
      </w:r>
      <w:r w:rsidR="00D43CB3" w:rsidRPr="00593418">
        <w:rPr>
          <w:lang w:val="sr-Latn-ME"/>
        </w:rPr>
        <w:t xml:space="preserve"> </w:t>
      </w:r>
      <w:r w:rsidR="00684F22" w:rsidRPr="00593418">
        <w:rPr>
          <w:lang w:val="sr-Latn-ME"/>
        </w:rPr>
        <w:t xml:space="preserve">i imaju za cilj da se podstaknu ulaganja privatnog sektora; </w:t>
      </w:r>
    </w:p>
    <w:p w14:paraId="6CDC5BCC" w14:textId="292E64CC" w:rsidR="00684F22" w:rsidRPr="00593418" w:rsidRDefault="00C27F9F" w:rsidP="00622C4F">
      <w:pPr>
        <w:pStyle w:val="ListParagraph"/>
        <w:numPr>
          <w:ilvl w:val="0"/>
          <w:numId w:val="15"/>
        </w:numPr>
        <w:spacing w:before="0"/>
        <w:rPr>
          <w:lang w:val="sr-Latn-ME"/>
        </w:rPr>
      </w:pPr>
      <w:r w:rsidRPr="00593418">
        <w:rPr>
          <w:lang w:val="sr-Latn-ME"/>
        </w:rPr>
        <w:t xml:space="preserve">S3 </w:t>
      </w:r>
      <w:r w:rsidR="00684F22" w:rsidRPr="00593418">
        <w:rPr>
          <w:lang w:val="sr-Latn-ME"/>
        </w:rPr>
        <w:t>u potpunosti uključuju sve relevantne aktere i podstiču inovacije i istraživanja;</w:t>
      </w:r>
    </w:p>
    <w:p w14:paraId="5CBA93E6" w14:textId="7A44F6B9" w:rsidR="00684F22" w:rsidRPr="00593418" w:rsidRDefault="0005293F" w:rsidP="00622C4F">
      <w:pPr>
        <w:pStyle w:val="ListParagraph"/>
        <w:numPr>
          <w:ilvl w:val="0"/>
          <w:numId w:val="15"/>
        </w:numPr>
        <w:spacing w:before="0"/>
        <w:rPr>
          <w:lang w:val="sr-Latn-ME"/>
        </w:rPr>
      </w:pPr>
      <w:r w:rsidRPr="00593418">
        <w:rPr>
          <w:lang w:val="sr-Latn-ME"/>
        </w:rPr>
        <w:t>N</w:t>
      </w:r>
      <w:r w:rsidR="00D43CB3" w:rsidRPr="00593418">
        <w:rPr>
          <w:lang w:val="sr-Latn-ME"/>
        </w:rPr>
        <w:t>j</w:t>
      </w:r>
      <w:r w:rsidRPr="00593418">
        <w:rPr>
          <w:lang w:val="sr-Latn-ME"/>
        </w:rPr>
        <w:t xml:space="preserve">ihovi </w:t>
      </w:r>
      <w:r w:rsidR="004C78CB" w:rsidRPr="00593418">
        <w:rPr>
          <w:lang w:val="sr-Latn-ME"/>
        </w:rPr>
        <w:t xml:space="preserve">prioriteti su zasnovani </w:t>
      </w:r>
      <w:r w:rsidR="00D722DE" w:rsidRPr="00593418">
        <w:rPr>
          <w:lang w:val="sr-Latn-ME"/>
        </w:rPr>
        <w:t xml:space="preserve">na </w:t>
      </w:r>
      <w:r w:rsidR="00684F22" w:rsidRPr="00593418">
        <w:rPr>
          <w:lang w:val="sr-Latn-ME"/>
        </w:rPr>
        <w:t>rezultatima i iskustvu i uključuju sisteme za praćenje i evaluaciju sprovođenja strategije.</w:t>
      </w:r>
    </w:p>
    <w:p w14:paraId="7CC8C2E1" w14:textId="77777777" w:rsidR="00684F22" w:rsidRPr="00593418" w:rsidRDefault="00684F22" w:rsidP="00DD3714">
      <w:pPr>
        <w:pStyle w:val="ListParagraph"/>
        <w:spacing w:before="0"/>
        <w:rPr>
          <w:lang w:val="sr-Latn-ME"/>
        </w:rPr>
      </w:pPr>
    </w:p>
    <w:p w14:paraId="3CE93A42" w14:textId="0EABFB27" w:rsidR="00684F22" w:rsidRPr="00593418" w:rsidRDefault="00684F22" w:rsidP="00DD3714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Kroz partnerski pristup i pristup </w:t>
      </w:r>
      <w:r w:rsidRPr="00593418">
        <w:rPr>
          <w:rFonts w:asciiTheme="minorHAnsi" w:hAnsiTheme="minorHAnsi"/>
          <w:i/>
        </w:rPr>
        <w:t>odozdo prema gore</w:t>
      </w:r>
      <w:r w:rsidRPr="00593418">
        <w:rPr>
          <w:rFonts w:asciiTheme="minorHAnsi" w:hAnsiTheme="minorHAnsi"/>
        </w:rPr>
        <w:t>, pametna specijalizacija okuplja lokalne</w:t>
      </w:r>
      <w:r w:rsidRPr="00593418">
        <w:rPr>
          <w:rFonts w:asciiTheme="minorHAnsi" w:hAnsiTheme="minorHAnsi"/>
        </w:rPr>
        <w:br/>
        <w:t xml:space="preserve">donosioce odluka, akademsku </w:t>
      </w:r>
      <w:r w:rsidR="00503D94" w:rsidRPr="00593418">
        <w:rPr>
          <w:rFonts w:asciiTheme="minorHAnsi" w:hAnsiTheme="minorHAnsi"/>
        </w:rPr>
        <w:t xml:space="preserve">i biznis </w:t>
      </w:r>
      <w:r w:rsidRPr="00593418">
        <w:rPr>
          <w:rFonts w:asciiTheme="minorHAnsi" w:hAnsiTheme="minorHAnsi"/>
        </w:rPr>
        <w:t xml:space="preserve">zajednicu, </w:t>
      </w:r>
      <w:r w:rsidR="0037458D" w:rsidRPr="00593418">
        <w:rPr>
          <w:rFonts w:asciiTheme="minorHAnsi" w:hAnsiTheme="minorHAnsi"/>
        </w:rPr>
        <w:t>c</w:t>
      </w:r>
      <w:r w:rsidRPr="00593418">
        <w:rPr>
          <w:rFonts w:asciiTheme="minorHAnsi" w:hAnsiTheme="minorHAnsi"/>
        </w:rPr>
        <w:t>ivilno društvo</w:t>
      </w:r>
      <w:r w:rsidR="00503D94" w:rsidRPr="00593418">
        <w:rPr>
          <w:rFonts w:asciiTheme="minorHAnsi" w:hAnsiTheme="minorHAnsi"/>
        </w:rPr>
        <w:t xml:space="preserve"> i druge </w:t>
      </w:r>
      <w:r w:rsidR="00685D5F">
        <w:rPr>
          <w:rFonts w:asciiTheme="minorHAnsi" w:hAnsiTheme="minorHAnsi"/>
        </w:rPr>
        <w:t xml:space="preserve">socijalne </w:t>
      </w:r>
      <w:r w:rsidR="00C72310">
        <w:rPr>
          <w:rFonts w:asciiTheme="minorHAnsi" w:hAnsiTheme="minorHAnsi"/>
        </w:rPr>
        <w:t>aktere</w:t>
      </w:r>
      <w:r w:rsidR="00C72310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koji rade na implementaciji</w:t>
      </w:r>
      <w:r w:rsidR="0037458D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dugoročne strategije rasta</w:t>
      </w:r>
      <w:r w:rsidR="005B63B5">
        <w:rPr>
          <w:rFonts w:asciiTheme="minorHAnsi" w:hAnsiTheme="minorHAnsi"/>
        </w:rPr>
        <w:t>.</w:t>
      </w:r>
      <w:r w:rsidRPr="00593418">
        <w:rPr>
          <w:rFonts w:asciiTheme="minorHAnsi" w:hAnsiTheme="minorHAnsi"/>
        </w:rPr>
        <w:t xml:space="preserve">  </w:t>
      </w:r>
      <w:r w:rsidR="005B63B5">
        <w:rPr>
          <w:rFonts w:asciiTheme="minorHAnsi" w:hAnsiTheme="minorHAnsi"/>
        </w:rPr>
        <w:t xml:space="preserve">Sama </w:t>
      </w:r>
      <w:r w:rsidRPr="00593418">
        <w:rPr>
          <w:rFonts w:asciiTheme="minorHAnsi" w:hAnsiTheme="minorHAnsi"/>
        </w:rPr>
        <w:t xml:space="preserve">Strategija S3 omogućava stvaranje sinergije između evropskih politika i </w:t>
      </w:r>
      <w:r w:rsidR="00685D5F">
        <w:rPr>
          <w:rFonts w:asciiTheme="minorHAnsi" w:hAnsiTheme="minorHAnsi"/>
        </w:rPr>
        <w:t xml:space="preserve">izvora </w:t>
      </w:r>
      <w:r w:rsidRPr="00593418">
        <w:rPr>
          <w:rFonts w:asciiTheme="minorHAnsi" w:hAnsiTheme="minorHAnsi"/>
        </w:rPr>
        <w:t xml:space="preserve">finansiranja, na taj način dopunjujući nacionalne i regionalne programe i privatna ulaganja. Usmjeravajući se na ono što pojedinim </w:t>
      </w:r>
      <w:r w:rsidR="00647A18">
        <w:rPr>
          <w:rFonts w:asciiTheme="minorHAnsi" w:hAnsiTheme="minorHAnsi"/>
        </w:rPr>
        <w:t xml:space="preserve">regionima </w:t>
      </w:r>
      <w:r w:rsidRPr="00593418">
        <w:rPr>
          <w:rFonts w:asciiTheme="minorHAnsi" w:hAnsiTheme="minorHAnsi"/>
        </w:rPr>
        <w:t xml:space="preserve">daje najveći konkurentski potencijal, pametna specijalizacija </w:t>
      </w:r>
      <w:r w:rsidR="00685D5F">
        <w:rPr>
          <w:rFonts w:asciiTheme="minorHAnsi" w:hAnsiTheme="minorHAnsi"/>
        </w:rPr>
        <w:t xml:space="preserve">im </w:t>
      </w:r>
      <w:r w:rsidRPr="00593418">
        <w:rPr>
          <w:rFonts w:asciiTheme="minorHAnsi" w:hAnsiTheme="minorHAnsi"/>
        </w:rPr>
        <w:t>pomaže</w:t>
      </w:r>
      <w:r w:rsidR="00647A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da pronađu mjesto na određenim globalnim tržištima i u međunarodnim lancima vrijednosti.</w:t>
      </w:r>
    </w:p>
    <w:p w14:paraId="5A6CCE04" w14:textId="76EDE0C8" w:rsidR="00684F22" w:rsidRPr="00593418" w:rsidRDefault="00684F22" w:rsidP="00DD3714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Evropska komisija, od 2011. godine, pruža savjete regionalnim i nacionalnim donosiocima odluka za uspostavljanje i implementaciju svojih strategija pametne specijalizacije, preko mehanizma ,,Platforma pametne specijalizacije". Platforma olakšava zajedničko učenje, prikupljanje podataka, analize i mogućnosti umrežavanja za oko </w:t>
      </w:r>
      <w:r w:rsidRPr="006308F8">
        <w:rPr>
          <w:rFonts w:asciiTheme="minorHAnsi" w:hAnsiTheme="minorHAnsi"/>
        </w:rPr>
        <w:t>180 EU regiona</w:t>
      </w:r>
      <w:r w:rsidRPr="00593418">
        <w:rPr>
          <w:rFonts w:asciiTheme="minorHAnsi" w:hAnsiTheme="minorHAnsi"/>
        </w:rPr>
        <w:t xml:space="preserve"> i 2</w:t>
      </w:r>
      <w:r w:rsidR="00E8725A">
        <w:rPr>
          <w:rFonts w:asciiTheme="minorHAnsi" w:hAnsiTheme="minorHAnsi"/>
        </w:rPr>
        <w:t>4</w:t>
      </w:r>
      <w:r w:rsidRPr="00593418">
        <w:rPr>
          <w:rFonts w:asciiTheme="minorHAnsi" w:hAnsiTheme="minorHAnsi"/>
        </w:rPr>
        <w:t xml:space="preserve"> nacionalne vlade. </w:t>
      </w:r>
    </w:p>
    <w:p w14:paraId="3540DAD6" w14:textId="76745EBF" w:rsidR="00636BBF" w:rsidRDefault="00636BBF" w:rsidP="00DD3714">
      <w:p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Crna Gora je, </w:t>
      </w:r>
      <w:r w:rsidRPr="00593418">
        <w:rPr>
          <w:rFonts w:asciiTheme="minorHAnsi" w:hAnsiTheme="minorHAnsi"/>
        </w:rPr>
        <w:t>u skladu sa Regulativom Evropske komisije 1059/2003, definisana kao jedan NUTS</w:t>
      </w:r>
      <w:r>
        <w:rPr>
          <w:rStyle w:val="FootnoteReference"/>
          <w:rFonts w:asciiTheme="minorHAnsi" w:hAnsiTheme="minorHAnsi"/>
        </w:rPr>
        <w:footnoteReference w:id="4"/>
      </w:r>
      <w:r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region</w:t>
      </w:r>
      <w:r>
        <w:rPr>
          <w:rFonts w:asciiTheme="minorHAnsi" w:hAnsiTheme="minorHAnsi"/>
        </w:rPr>
        <w:t xml:space="preserve">, s obzirom da </w:t>
      </w:r>
      <w:r w:rsidRPr="00593418">
        <w:rPr>
          <w:rFonts w:asciiTheme="minorHAnsi" w:hAnsiTheme="minorHAnsi"/>
        </w:rPr>
        <w:t>na površini od 13</w:t>
      </w:r>
      <w:r>
        <w:rPr>
          <w:rFonts w:asciiTheme="minorHAnsi" w:hAnsiTheme="minorHAnsi"/>
        </w:rPr>
        <w:t>.</w:t>
      </w:r>
      <w:r w:rsidRPr="00593418">
        <w:rPr>
          <w:rFonts w:asciiTheme="minorHAnsi" w:hAnsiTheme="minorHAnsi"/>
        </w:rPr>
        <w:t xml:space="preserve">812 km² </w:t>
      </w:r>
      <w:r>
        <w:rPr>
          <w:rFonts w:asciiTheme="minorHAnsi" w:hAnsiTheme="minorHAnsi"/>
        </w:rPr>
        <w:t xml:space="preserve">ima populaciju od </w:t>
      </w:r>
      <w:r w:rsidRPr="00593418">
        <w:rPr>
          <w:rFonts w:asciiTheme="minorHAnsi" w:hAnsiTheme="minorHAnsi"/>
        </w:rPr>
        <w:t>620.029 stanovnika</w:t>
      </w:r>
      <w:r w:rsidR="00C019C5">
        <w:rPr>
          <w:rFonts w:asciiTheme="minorHAnsi" w:hAnsiTheme="minorHAnsi"/>
        </w:rPr>
        <w:t xml:space="preserve">  nastanjenu u </w:t>
      </w:r>
      <w:r w:rsidRPr="00593418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 xml:space="preserve">4 </w:t>
      </w:r>
      <w:r w:rsidRPr="00593418">
        <w:rPr>
          <w:rFonts w:asciiTheme="minorHAnsi" w:hAnsiTheme="minorHAnsi"/>
        </w:rPr>
        <w:t xml:space="preserve">opštine </w:t>
      </w:r>
      <w:r w:rsidR="00C019C5">
        <w:rPr>
          <w:rFonts w:asciiTheme="minorHAnsi" w:hAnsiTheme="minorHAnsi"/>
        </w:rPr>
        <w:t>sa</w:t>
      </w:r>
      <w:r w:rsidRPr="00593418">
        <w:rPr>
          <w:rFonts w:asciiTheme="minorHAnsi" w:hAnsiTheme="minorHAnsi"/>
        </w:rPr>
        <w:t xml:space="preserve"> 1.307 naselja</w:t>
      </w:r>
      <w:r w:rsidR="00C019C5">
        <w:rPr>
          <w:rStyle w:val="FootnoteReference"/>
          <w:rFonts w:asciiTheme="minorHAnsi" w:hAnsiTheme="minorHAnsi"/>
        </w:rPr>
        <w:footnoteReference w:id="5"/>
      </w:r>
      <w:r w:rsidR="00C019C5">
        <w:rPr>
          <w:rFonts w:asciiTheme="minorHAnsi" w:hAnsiTheme="minorHAnsi"/>
        </w:rPr>
        <w:t xml:space="preserve">. Po tom osnovu, </w:t>
      </w:r>
      <w:r w:rsidR="00FE1D72">
        <w:rPr>
          <w:rFonts w:asciiTheme="minorHAnsi" w:hAnsiTheme="minorHAnsi"/>
        </w:rPr>
        <w:t xml:space="preserve">kada </w:t>
      </w:r>
      <w:r w:rsidR="006308F8">
        <w:rPr>
          <w:rFonts w:asciiTheme="minorHAnsi" w:hAnsiTheme="minorHAnsi"/>
        </w:rPr>
        <w:t>su</w:t>
      </w:r>
      <w:r w:rsidR="00FD39C0">
        <w:rPr>
          <w:rFonts w:asciiTheme="minorHAnsi" w:hAnsiTheme="minorHAnsi"/>
        </w:rPr>
        <w:t xml:space="preserve"> u </w:t>
      </w:r>
      <w:r w:rsidR="00FE1D72">
        <w:rPr>
          <w:rFonts w:asciiTheme="minorHAnsi" w:hAnsiTheme="minorHAnsi"/>
        </w:rPr>
        <w:t>pitanju</w:t>
      </w:r>
      <w:r w:rsidR="00FD39C0">
        <w:rPr>
          <w:rFonts w:asciiTheme="minorHAnsi" w:hAnsiTheme="minorHAnsi"/>
        </w:rPr>
        <w:t xml:space="preserve"> izrada </w:t>
      </w:r>
      <w:r w:rsidR="006308F8">
        <w:rPr>
          <w:rFonts w:asciiTheme="minorHAnsi" w:hAnsiTheme="minorHAnsi"/>
        </w:rPr>
        <w:t xml:space="preserve">Strategije pamente specijalizacije i ekonomski razvoj zasnovan na znanju, zemlja se takođe tretira kao jedan region, koji </w:t>
      </w:r>
      <w:r w:rsidR="00C019C5">
        <w:rPr>
          <w:rFonts w:asciiTheme="minorHAnsi" w:hAnsiTheme="minorHAnsi"/>
        </w:rPr>
        <w:t xml:space="preserve">treba da nađe svoje pravo mjesto među </w:t>
      </w:r>
      <w:r w:rsidR="00C019C5" w:rsidRPr="00666272">
        <w:t>ukupno</w:t>
      </w:r>
      <w:r w:rsidR="00C019C5" w:rsidRPr="00E31764">
        <w:t xml:space="preserve"> </w:t>
      </w:r>
      <w:r w:rsidR="00C019C5" w:rsidRPr="006308F8">
        <w:t>272 NUTS</w:t>
      </w:r>
      <w:r w:rsidR="00C019C5" w:rsidRPr="00B242CC">
        <w:t xml:space="preserve"> II</w:t>
      </w:r>
      <w:r w:rsidR="00C019C5" w:rsidRPr="00E31764">
        <w:t xml:space="preserve"> </w:t>
      </w:r>
      <w:r w:rsidR="00C019C5" w:rsidRPr="00666272">
        <w:t>regiona</w:t>
      </w:r>
      <w:r w:rsidR="00C019C5" w:rsidRPr="00E31764">
        <w:t xml:space="preserve"> </w:t>
      </w:r>
      <w:r w:rsidR="00C019C5" w:rsidRPr="00666272">
        <w:t>u</w:t>
      </w:r>
      <w:r w:rsidR="00C019C5" w:rsidRPr="00E31764">
        <w:t xml:space="preserve"> </w:t>
      </w:r>
      <w:r w:rsidR="00C019C5" w:rsidRPr="00666272">
        <w:t>okviru</w:t>
      </w:r>
      <w:r w:rsidR="00C019C5" w:rsidRPr="00E31764">
        <w:t xml:space="preserve"> </w:t>
      </w:r>
      <w:r w:rsidR="00C019C5" w:rsidRPr="00666272">
        <w:t>EU</w:t>
      </w:r>
      <w:r w:rsidR="00C019C5" w:rsidRPr="00E31764">
        <w:t>-28</w:t>
      </w:r>
      <w:r w:rsidR="00C019C5">
        <w:t>.</w:t>
      </w:r>
    </w:p>
    <w:p w14:paraId="76061798" w14:textId="032EBCC2" w:rsidR="00684F22" w:rsidRPr="00593418" w:rsidRDefault="0037458D" w:rsidP="00DD3714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Sprovođenje </w:t>
      </w:r>
      <w:r w:rsidR="003C4AA8">
        <w:rPr>
          <w:rFonts w:asciiTheme="minorHAnsi" w:hAnsiTheme="minorHAnsi"/>
        </w:rPr>
        <w:t>S</w:t>
      </w:r>
      <w:r w:rsidR="00503D94" w:rsidRPr="00593418">
        <w:rPr>
          <w:rFonts w:asciiTheme="minorHAnsi" w:hAnsiTheme="minorHAnsi"/>
        </w:rPr>
        <w:t xml:space="preserve">trategije </w:t>
      </w:r>
      <w:r w:rsidR="00FE1D72">
        <w:rPr>
          <w:rFonts w:asciiTheme="minorHAnsi" w:hAnsiTheme="minorHAnsi"/>
        </w:rPr>
        <w:t xml:space="preserve">pametne specijalizacije </w:t>
      </w:r>
      <w:r w:rsidR="00503D94" w:rsidRPr="00593418">
        <w:rPr>
          <w:rFonts w:asciiTheme="minorHAnsi" w:hAnsiTheme="minorHAnsi"/>
        </w:rPr>
        <w:t xml:space="preserve">ima veliki strateški značaj za Crnu Goru jer može </w:t>
      </w:r>
      <w:r w:rsidR="00684F22" w:rsidRPr="00593418">
        <w:rPr>
          <w:rFonts w:asciiTheme="minorHAnsi" w:hAnsiTheme="minorHAnsi"/>
        </w:rPr>
        <w:t xml:space="preserve">podstaći javna i privatna ulaganja u istraživanje, tehnološki razvoj i inovacije. </w:t>
      </w:r>
      <w:r w:rsidR="00503D94" w:rsidRPr="00593418">
        <w:rPr>
          <w:rFonts w:asciiTheme="minorHAnsi" w:hAnsiTheme="minorHAnsi"/>
        </w:rPr>
        <w:t xml:space="preserve">Adekvatna identifikacija </w:t>
      </w:r>
      <w:r w:rsidR="00FE1D72">
        <w:rPr>
          <w:rFonts w:asciiTheme="minorHAnsi" w:hAnsiTheme="minorHAnsi"/>
        </w:rPr>
        <w:t xml:space="preserve">razvojnih </w:t>
      </w:r>
      <w:r w:rsidR="00503D94" w:rsidRPr="00593418">
        <w:rPr>
          <w:rFonts w:asciiTheme="minorHAnsi" w:hAnsiTheme="minorHAnsi"/>
        </w:rPr>
        <w:t xml:space="preserve">prioriteta u S3 </w:t>
      </w:r>
      <w:r w:rsidR="000C175A" w:rsidRPr="00593418">
        <w:rPr>
          <w:rFonts w:asciiTheme="minorHAnsi" w:hAnsiTheme="minorHAnsi"/>
        </w:rPr>
        <w:t>može omogućiti</w:t>
      </w:r>
      <w:r w:rsidRPr="00593418">
        <w:rPr>
          <w:rFonts w:asciiTheme="minorHAnsi" w:hAnsiTheme="minorHAnsi"/>
        </w:rPr>
        <w:t xml:space="preserve"> obj</w:t>
      </w:r>
      <w:r w:rsidR="00684F22" w:rsidRPr="00593418">
        <w:rPr>
          <w:rFonts w:asciiTheme="minorHAnsi" w:hAnsiTheme="minorHAnsi"/>
        </w:rPr>
        <w:t>edinjavanje istraživač</w:t>
      </w:r>
      <w:r w:rsidR="00B9791C" w:rsidRPr="00593418">
        <w:rPr>
          <w:rFonts w:asciiTheme="minorHAnsi" w:hAnsiTheme="minorHAnsi"/>
        </w:rPr>
        <w:t>kih kapaciteta i infrastrukture,</w:t>
      </w:r>
      <w:r w:rsidRPr="00593418">
        <w:rPr>
          <w:rFonts w:asciiTheme="minorHAnsi" w:hAnsiTheme="minorHAnsi"/>
        </w:rPr>
        <w:t xml:space="preserve"> </w:t>
      </w:r>
      <w:r w:rsidR="00684F22" w:rsidRPr="00593418">
        <w:rPr>
          <w:rFonts w:asciiTheme="minorHAnsi" w:hAnsiTheme="minorHAnsi"/>
        </w:rPr>
        <w:t>okup</w:t>
      </w:r>
      <w:r w:rsidR="003C4AA8">
        <w:rPr>
          <w:rFonts w:asciiTheme="minorHAnsi" w:hAnsiTheme="minorHAnsi"/>
        </w:rPr>
        <w:t>ljajući</w:t>
      </w:r>
      <w:r w:rsidR="00684F22" w:rsidRPr="00593418">
        <w:rPr>
          <w:rFonts w:asciiTheme="minorHAnsi" w:hAnsiTheme="minorHAnsi"/>
        </w:rPr>
        <w:t xml:space="preserve"> kritičnu masu istraživača i inovatora</w:t>
      </w:r>
      <w:r w:rsidR="003C4AA8">
        <w:rPr>
          <w:rFonts w:asciiTheme="minorHAnsi" w:hAnsiTheme="minorHAnsi"/>
        </w:rPr>
        <w:t>,</w:t>
      </w:r>
      <w:r w:rsidRPr="00593418">
        <w:rPr>
          <w:rFonts w:asciiTheme="minorHAnsi" w:hAnsiTheme="minorHAnsi"/>
        </w:rPr>
        <w:t xml:space="preserve"> </w:t>
      </w:r>
      <w:r w:rsidR="00684F22" w:rsidRPr="00593418">
        <w:rPr>
          <w:rFonts w:asciiTheme="minorHAnsi" w:hAnsiTheme="minorHAnsi"/>
        </w:rPr>
        <w:t>koji će zajednički raditi na temama istraživanja i razvoja</w:t>
      </w:r>
      <w:r w:rsidR="00AD1922">
        <w:rPr>
          <w:rFonts w:asciiTheme="minorHAnsi" w:hAnsiTheme="minorHAnsi"/>
        </w:rPr>
        <w:t xml:space="preserve"> od strateškog značaja</w:t>
      </w:r>
      <w:r w:rsidR="00684F22" w:rsidRPr="00593418">
        <w:rPr>
          <w:rFonts w:asciiTheme="minorHAnsi" w:hAnsiTheme="minorHAnsi"/>
        </w:rPr>
        <w:t>, s ciljem post</w:t>
      </w:r>
      <w:r w:rsidR="006E45C3" w:rsidRPr="00593418">
        <w:rPr>
          <w:rFonts w:asciiTheme="minorHAnsi" w:hAnsiTheme="minorHAnsi"/>
        </w:rPr>
        <w:t>izanja istraživačke izvrsnosti</w:t>
      </w:r>
      <w:r w:rsidR="003C4AA8">
        <w:rPr>
          <w:rFonts w:asciiTheme="minorHAnsi" w:hAnsiTheme="minorHAnsi"/>
        </w:rPr>
        <w:t xml:space="preserve"> i</w:t>
      </w:r>
      <w:r w:rsidR="00684F22" w:rsidRPr="00593418">
        <w:rPr>
          <w:rFonts w:asciiTheme="minorHAnsi" w:hAnsiTheme="minorHAnsi"/>
        </w:rPr>
        <w:t xml:space="preserve"> jačanja potencijala </w:t>
      </w:r>
      <w:r w:rsidR="00FE1D72">
        <w:rPr>
          <w:rFonts w:asciiTheme="minorHAnsi" w:hAnsiTheme="minorHAnsi"/>
        </w:rPr>
        <w:t xml:space="preserve">domaćih proizvoda </w:t>
      </w:r>
      <w:r w:rsidR="00684F22" w:rsidRPr="00593418">
        <w:rPr>
          <w:rFonts w:asciiTheme="minorHAnsi" w:hAnsiTheme="minorHAnsi"/>
        </w:rPr>
        <w:t xml:space="preserve">za komercijalizaciju. S3 </w:t>
      </w:r>
      <w:r w:rsidR="000C175A" w:rsidRPr="00593418">
        <w:rPr>
          <w:rFonts w:asciiTheme="minorHAnsi" w:hAnsiTheme="minorHAnsi"/>
        </w:rPr>
        <w:t>takođe može podstaći</w:t>
      </w:r>
      <w:r w:rsidRPr="00593418">
        <w:rPr>
          <w:rFonts w:asciiTheme="minorHAnsi" w:hAnsiTheme="minorHAnsi"/>
        </w:rPr>
        <w:t xml:space="preserve"> i</w:t>
      </w:r>
      <w:r w:rsidR="00684F22" w:rsidRPr="00593418">
        <w:rPr>
          <w:rFonts w:asciiTheme="minorHAnsi" w:hAnsiTheme="minorHAnsi"/>
        </w:rPr>
        <w:t xml:space="preserve"> razvoj novih </w:t>
      </w:r>
      <w:r w:rsidR="005754CC">
        <w:rPr>
          <w:rFonts w:asciiTheme="minorHAnsi" w:hAnsiTheme="minorHAnsi"/>
        </w:rPr>
        <w:t>privrednih grana</w:t>
      </w:r>
      <w:r w:rsidR="00684F22" w:rsidRPr="00593418">
        <w:rPr>
          <w:rFonts w:asciiTheme="minorHAnsi" w:hAnsiTheme="minorHAnsi"/>
        </w:rPr>
        <w:t xml:space="preserve"> investiranjem u istraživanje i inovacije u oblastima koje </w:t>
      </w:r>
      <w:r w:rsidR="005B63B5">
        <w:rPr>
          <w:rFonts w:asciiTheme="minorHAnsi" w:hAnsiTheme="minorHAnsi"/>
        </w:rPr>
        <w:t>u nacionalnim okvirima</w:t>
      </w:r>
      <w:r w:rsidR="005B63B5" w:rsidRPr="00593418" w:rsidDel="005754CC">
        <w:rPr>
          <w:rFonts w:asciiTheme="minorHAnsi" w:hAnsiTheme="minorHAnsi"/>
        </w:rPr>
        <w:t xml:space="preserve"> </w:t>
      </w:r>
      <w:r w:rsidR="005754CC">
        <w:rPr>
          <w:rFonts w:asciiTheme="minorHAnsi" w:hAnsiTheme="minorHAnsi"/>
        </w:rPr>
        <w:t xml:space="preserve">imaju </w:t>
      </w:r>
      <w:r w:rsidR="00684F22" w:rsidRPr="00593418">
        <w:rPr>
          <w:rFonts w:asciiTheme="minorHAnsi" w:hAnsiTheme="minorHAnsi"/>
        </w:rPr>
        <w:t>strateški potencijal.</w:t>
      </w:r>
    </w:p>
    <w:p w14:paraId="62DE11E0" w14:textId="7C0972D6" w:rsidR="00BC4828" w:rsidRPr="00593418" w:rsidRDefault="00BC4828" w:rsidP="00BC4828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042D8FBE" w14:textId="77777777" w:rsidR="00457CE4" w:rsidRPr="00593418" w:rsidRDefault="00457CE4" w:rsidP="00B7375E">
      <w:pPr>
        <w:jc w:val="both"/>
        <w:rPr>
          <w:rFonts w:asciiTheme="minorHAnsi" w:hAnsiTheme="minorHAnsi"/>
        </w:rPr>
      </w:pPr>
    </w:p>
    <w:p w14:paraId="31068266" w14:textId="77777777" w:rsidR="00457CE4" w:rsidRPr="00593418" w:rsidRDefault="00457CE4" w:rsidP="00B7375E">
      <w:pPr>
        <w:jc w:val="both"/>
        <w:rPr>
          <w:rFonts w:asciiTheme="minorHAnsi" w:hAnsiTheme="minorHAnsi"/>
        </w:rPr>
      </w:pPr>
    </w:p>
    <w:p w14:paraId="61C543B7" w14:textId="77777777" w:rsidR="00457CE4" w:rsidRPr="00593418" w:rsidRDefault="00457CE4" w:rsidP="00B7375E">
      <w:pPr>
        <w:jc w:val="both"/>
        <w:rPr>
          <w:rFonts w:asciiTheme="minorHAnsi" w:hAnsiTheme="minorHAnsi"/>
        </w:rPr>
      </w:pPr>
    </w:p>
    <w:p w14:paraId="6830AFF1" w14:textId="5B80C581" w:rsidR="00457CE4" w:rsidRPr="00593418" w:rsidRDefault="0037458D" w:rsidP="0037458D">
      <w:pPr>
        <w:suppressAutoHyphens w:val="0"/>
        <w:spacing w:after="0" w:line="240" w:lineRule="auto"/>
        <w:rPr>
          <w:rFonts w:asciiTheme="minorHAnsi" w:hAnsiTheme="minorHAnsi"/>
        </w:rPr>
      </w:pPr>
      <w:r w:rsidRPr="00593418">
        <w:rPr>
          <w:rFonts w:asciiTheme="minorHAnsi" w:hAnsiTheme="minorHAnsi"/>
        </w:rPr>
        <w:br w:type="page"/>
      </w:r>
    </w:p>
    <w:p w14:paraId="7D3D7B61" w14:textId="6B387552" w:rsidR="00493E8D" w:rsidRPr="00A327C7" w:rsidRDefault="00A42EC6" w:rsidP="00A327C7">
      <w:pPr>
        <w:pStyle w:val="Heading1"/>
      </w:pPr>
      <w:bookmarkStart w:id="2" w:name="_Toc529890081"/>
      <w:bookmarkStart w:id="3" w:name="_Toc530143276"/>
      <w:r w:rsidRPr="00A327C7">
        <w:lastRenderedPageBreak/>
        <w:t xml:space="preserve">II </w:t>
      </w:r>
      <w:bookmarkStart w:id="4" w:name="_Toc526154400"/>
      <w:r w:rsidR="00493E8D" w:rsidRPr="00A327C7">
        <w:t>UPRAVLJANJE</w:t>
      </w:r>
      <w:bookmarkEnd w:id="2"/>
      <w:bookmarkEnd w:id="3"/>
      <w:bookmarkEnd w:id="4"/>
    </w:p>
    <w:p w14:paraId="243F725B" w14:textId="77777777" w:rsidR="001F072B" w:rsidRDefault="001F072B" w:rsidP="001F072B"/>
    <w:p w14:paraId="6ECBA6C5" w14:textId="50DD80FB" w:rsidR="00FD39C0" w:rsidRPr="00A327C7" w:rsidRDefault="001F072B" w:rsidP="00A327C7">
      <w:pPr>
        <w:pStyle w:val="Heading2"/>
      </w:pPr>
      <w:bookmarkStart w:id="5" w:name="_Toc529890082"/>
      <w:bookmarkStart w:id="6" w:name="_Toc530143277"/>
      <w:r w:rsidRPr="00A327C7">
        <w:t xml:space="preserve">II 1. Proces izrade </w:t>
      </w:r>
      <w:r w:rsidR="00AE5710" w:rsidRPr="00A327C7">
        <w:t>S3</w:t>
      </w:r>
      <w:bookmarkEnd w:id="5"/>
      <w:bookmarkEnd w:id="6"/>
    </w:p>
    <w:p w14:paraId="5CAA0482" w14:textId="77777777" w:rsidR="00FD39C0" w:rsidRPr="00FD39C0" w:rsidRDefault="00FD39C0" w:rsidP="00FD39C0">
      <w:pPr>
        <w:rPr>
          <w:lang w:eastAsia="en-GB"/>
        </w:rPr>
      </w:pPr>
    </w:p>
    <w:p w14:paraId="629598AB" w14:textId="57E3E4E6" w:rsidR="00C14108" w:rsidRPr="00593418" w:rsidRDefault="00C14108" w:rsidP="00736A1F">
      <w:pPr>
        <w:spacing w:after="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Crna Gora je početkom novog milenijuma započela izgradnju tržišne ekonomije zasnovane na vladavini prava i stabilnim institucijama. Uz navedeno, </w:t>
      </w:r>
      <w:r w:rsidR="000025A6" w:rsidRPr="00923467">
        <w:rPr>
          <w:rFonts w:asciiTheme="minorHAnsi" w:hAnsiTheme="minorHAnsi"/>
          <w:i/>
        </w:rPr>
        <w:t>P</w:t>
      </w:r>
      <w:r w:rsidRPr="00923467">
        <w:rPr>
          <w:rFonts w:asciiTheme="minorHAnsi" w:hAnsiTheme="minorHAnsi"/>
          <w:i/>
        </w:rPr>
        <w:t>roces stabilizacije i pridruživanja</w:t>
      </w:r>
      <w:r w:rsidRPr="00593418">
        <w:rPr>
          <w:rFonts w:asciiTheme="minorHAnsi" w:hAnsiTheme="minorHAnsi"/>
        </w:rPr>
        <w:t xml:space="preserve"> dodatno je učvrstio političku stabilnost i stvorio pretpostavke za povećanje eko</w:t>
      </w:r>
      <w:r w:rsidR="00F212B8" w:rsidRPr="00593418">
        <w:rPr>
          <w:rFonts w:asciiTheme="minorHAnsi" w:hAnsiTheme="minorHAnsi"/>
        </w:rPr>
        <w:t>nomske aktivnosti. Sve navedeno</w:t>
      </w:r>
      <w:r w:rsidRPr="00593418">
        <w:rPr>
          <w:rFonts w:asciiTheme="minorHAnsi" w:hAnsiTheme="minorHAnsi"/>
        </w:rPr>
        <w:t xml:space="preserve"> uticalo je na dinamičan ekonomski rast i povećanje nivoa konkurentnosti nacionalne ekonomije. </w:t>
      </w:r>
      <w:r w:rsidR="001D5919">
        <w:rPr>
          <w:rFonts w:asciiTheme="minorHAnsi" w:hAnsiTheme="minorHAnsi"/>
        </w:rPr>
        <w:t xml:space="preserve">Strategija pametne specijalizacije treba da unaprijedi navedeni </w:t>
      </w:r>
      <w:r w:rsidR="005B63B5">
        <w:rPr>
          <w:rFonts w:asciiTheme="minorHAnsi" w:hAnsiTheme="minorHAnsi"/>
        </w:rPr>
        <w:t xml:space="preserve">razvojni trend </w:t>
      </w:r>
      <w:r w:rsidR="001D5919">
        <w:rPr>
          <w:rFonts w:asciiTheme="minorHAnsi" w:hAnsiTheme="minorHAnsi"/>
        </w:rPr>
        <w:t xml:space="preserve">upotpunjavanjem do sada realizovanih strateških opredjeljenja. </w:t>
      </w:r>
    </w:p>
    <w:p w14:paraId="722C553D" w14:textId="77777777" w:rsidR="00C14108" w:rsidRPr="00593418" w:rsidRDefault="00C14108" w:rsidP="00736A1F">
      <w:pPr>
        <w:spacing w:after="0" w:line="240" w:lineRule="auto"/>
        <w:jc w:val="both"/>
        <w:rPr>
          <w:rFonts w:asciiTheme="minorHAnsi" w:hAnsiTheme="minorHAnsi"/>
        </w:rPr>
      </w:pPr>
    </w:p>
    <w:p w14:paraId="70963F64" w14:textId="3E35CC94" w:rsidR="001D44C8" w:rsidRPr="00593418" w:rsidRDefault="000C175A" w:rsidP="00A327C7">
      <w:pPr>
        <w:spacing w:after="0" w:line="240" w:lineRule="auto"/>
        <w:jc w:val="center"/>
        <w:rPr>
          <w:rFonts w:asciiTheme="minorHAnsi" w:hAnsiTheme="minorHAnsi"/>
        </w:rPr>
      </w:pPr>
      <w:r w:rsidRPr="00593418">
        <w:rPr>
          <w:rFonts w:asciiTheme="minorHAnsi" w:hAnsiTheme="minorHAnsi"/>
        </w:rPr>
        <w:t>Rad na Strate</w:t>
      </w:r>
      <w:r w:rsidR="00C14108" w:rsidRPr="00593418">
        <w:rPr>
          <w:rFonts w:asciiTheme="minorHAnsi" w:hAnsiTheme="minorHAnsi"/>
        </w:rPr>
        <w:t>g</w:t>
      </w:r>
      <w:r w:rsidRPr="00593418">
        <w:rPr>
          <w:rFonts w:asciiTheme="minorHAnsi" w:hAnsiTheme="minorHAnsi"/>
        </w:rPr>
        <w:t xml:space="preserve">iji pametne specijalizacije u Crnoj Gori </w:t>
      </w:r>
      <w:r w:rsidR="0009447F" w:rsidRPr="00593418">
        <w:rPr>
          <w:rFonts w:asciiTheme="minorHAnsi" w:hAnsiTheme="minorHAnsi"/>
        </w:rPr>
        <w:t>je pokrenut početkom</w:t>
      </w:r>
      <w:r w:rsidR="00B9791C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2017. godine</w:t>
      </w:r>
      <w:r w:rsidR="001D5919">
        <w:rPr>
          <w:rFonts w:asciiTheme="minorHAnsi" w:hAnsiTheme="minorHAnsi"/>
        </w:rPr>
        <w:t xml:space="preserve">. </w:t>
      </w:r>
      <w:r w:rsidR="001D44C8" w:rsidRPr="00593418">
        <w:rPr>
          <w:rFonts w:asciiTheme="minorHAnsi" w:hAnsiTheme="minorHAnsi"/>
        </w:rPr>
        <w:t xml:space="preserve">Strategija je proizvod kolaborativnog procesa </w:t>
      </w:r>
      <w:r w:rsidR="001D5919" w:rsidRPr="00593418">
        <w:rPr>
          <w:rFonts w:asciiTheme="minorHAnsi" w:hAnsiTheme="minorHAnsi"/>
        </w:rPr>
        <w:t>koj</w:t>
      </w:r>
      <w:r w:rsidR="001D5919">
        <w:rPr>
          <w:rFonts w:asciiTheme="minorHAnsi" w:hAnsiTheme="minorHAnsi"/>
        </w:rPr>
        <w:t>im je</w:t>
      </w:r>
      <w:r w:rsidR="001D44C8" w:rsidRPr="00593418">
        <w:rPr>
          <w:rFonts w:asciiTheme="minorHAnsi" w:hAnsiTheme="minorHAnsi"/>
        </w:rPr>
        <w:t xml:space="preserve"> različitim akterima </w:t>
      </w:r>
      <w:r w:rsidR="001D5919" w:rsidRPr="00593418">
        <w:rPr>
          <w:rFonts w:asciiTheme="minorHAnsi" w:hAnsiTheme="minorHAnsi"/>
        </w:rPr>
        <w:t>omoguć</w:t>
      </w:r>
      <w:r w:rsidR="001D5919">
        <w:rPr>
          <w:rFonts w:asciiTheme="minorHAnsi" w:hAnsiTheme="minorHAnsi"/>
        </w:rPr>
        <w:t>eno</w:t>
      </w:r>
      <w:r w:rsidR="001D5919" w:rsidRPr="00593418">
        <w:rPr>
          <w:rFonts w:asciiTheme="minorHAnsi" w:hAnsiTheme="minorHAnsi"/>
        </w:rPr>
        <w:t xml:space="preserve"> </w:t>
      </w:r>
      <w:r w:rsidR="001D44C8" w:rsidRPr="00593418">
        <w:rPr>
          <w:rFonts w:asciiTheme="minorHAnsi" w:hAnsiTheme="minorHAnsi"/>
        </w:rPr>
        <w:t xml:space="preserve">da učestvuju u svakoj fazi </w:t>
      </w:r>
      <w:r w:rsidR="00C579F4" w:rsidRPr="00593418">
        <w:rPr>
          <w:rFonts w:asciiTheme="minorHAnsi" w:hAnsiTheme="minorHAnsi"/>
        </w:rPr>
        <w:t xml:space="preserve">izrade </w:t>
      </w:r>
      <w:r w:rsidR="000025A6">
        <w:rPr>
          <w:rFonts w:asciiTheme="minorHAnsi" w:hAnsiTheme="minorHAnsi"/>
        </w:rPr>
        <w:t>S</w:t>
      </w:r>
      <w:r w:rsidR="001D44C8" w:rsidRPr="00593418">
        <w:rPr>
          <w:rFonts w:asciiTheme="minorHAnsi" w:hAnsiTheme="minorHAnsi"/>
        </w:rPr>
        <w:t xml:space="preserve">trategije, </w:t>
      </w:r>
      <w:r w:rsidR="000025A6">
        <w:rPr>
          <w:rFonts w:asciiTheme="minorHAnsi" w:hAnsiTheme="minorHAnsi"/>
        </w:rPr>
        <w:t>kako bi</w:t>
      </w:r>
      <w:r w:rsidR="001D44C8" w:rsidRPr="00593418">
        <w:rPr>
          <w:rFonts w:asciiTheme="minorHAnsi" w:hAnsiTheme="minorHAnsi"/>
        </w:rPr>
        <w:t xml:space="preserve"> na kraju ovaj proces bio otvoren za sve građane putem javnih konsultacija.</w:t>
      </w:r>
    </w:p>
    <w:p w14:paraId="606C8CB7" w14:textId="77777777" w:rsidR="00736A1F" w:rsidRPr="00593418" w:rsidRDefault="00736A1F" w:rsidP="00736A1F">
      <w:pPr>
        <w:spacing w:after="0" w:line="240" w:lineRule="auto"/>
        <w:jc w:val="both"/>
        <w:rPr>
          <w:rFonts w:asciiTheme="minorHAnsi" w:hAnsiTheme="minorHAnsi"/>
        </w:rPr>
      </w:pPr>
    </w:p>
    <w:p w14:paraId="7E3ACC5F" w14:textId="69EE6010" w:rsidR="00F267E0" w:rsidRDefault="00DA05D8" w:rsidP="00736A1F">
      <w:pPr>
        <w:spacing w:after="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>Ministarstvo nauke</w:t>
      </w:r>
      <w:r w:rsidR="004C78CB" w:rsidRPr="00593418">
        <w:rPr>
          <w:rFonts w:asciiTheme="minorHAnsi" w:hAnsiTheme="minorHAnsi"/>
        </w:rPr>
        <w:t xml:space="preserve"> (MNA)</w:t>
      </w:r>
      <w:r w:rsidRPr="00593418">
        <w:rPr>
          <w:rFonts w:asciiTheme="minorHAnsi" w:hAnsiTheme="minorHAnsi"/>
        </w:rPr>
        <w:t xml:space="preserve">, uz </w:t>
      </w:r>
      <w:r w:rsidR="00AB4BAF">
        <w:rPr>
          <w:rFonts w:asciiTheme="minorHAnsi" w:hAnsiTheme="minorHAnsi"/>
        </w:rPr>
        <w:t>podršku</w:t>
      </w:r>
      <w:r w:rsidR="00AB4BAF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 xml:space="preserve">Ministarstva ekonomije (MEK), </w:t>
      </w:r>
      <w:r w:rsidR="001D5919">
        <w:rPr>
          <w:rFonts w:asciiTheme="minorHAnsi" w:hAnsiTheme="minorHAnsi"/>
        </w:rPr>
        <w:t xml:space="preserve">je </w:t>
      </w:r>
      <w:r w:rsidRPr="00593418">
        <w:rPr>
          <w:rFonts w:asciiTheme="minorHAnsi" w:hAnsiTheme="minorHAnsi"/>
        </w:rPr>
        <w:t>koordinira</w:t>
      </w:r>
      <w:r w:rsidR="001D5919">
        <w:rPr>
          <w:rFonts w:asciiTheme="minorHAnsi" w:hAnsiTheme="minorHAnsi"/>
        </w:rPr>
        <w:t>lo</w:t>
      </w:r>
      <w:r w:rsidRPr="00593418">
        <w:rPr>
          <w:rFonts w:asciiTheme="minorHAnsi" w:hAnsiTheme="minorHAnsi"/>
        </w:rPr>
        <w:t xml:space="preserve"> procesom izrade Strategije pametne specijalizacije za Crnu Goru, </w:t>
      </w:r>
      <w:r w:rsidR="00312666" w:rsidRPr="00593418">
        <w:rPr>
          <w:rFonts w:asciiTheme="minorHAnsi" w:hAnsiTheme="minorHAnsi"/>
        </w:rPr>
        <w:t xml:space="preserve">intenzivno </w:t>
      </w:r>
      <w:r w:rsidRPr="00593418">
        <w:rPr>
          <w:rFonts w:asciiTheme="minorHAnsi" w:hAnsiTheme="minorHAnsi"/>
        </w:rPr>
        <w:t>sarađujući</w:t>
      </w:r>
      <w:r w:rsidR="00542E97" w:rsidRPr="00593418">
        <w:rPr>
          <w:rFonts w:asciiTheme="minorHAnsi" w:hAnsiTheme="minorHAnsi"/>
        </w:rPr>
        <w:t xml:space="preserve"> s</w:t>
      </w:r>
      <w:r w:rsidRPr="00593418">
        <w:rPr>
          <w:rFonts w:asciiTheme="minorHAnsi" w:hAnsiTheme="minorHAnsi"/>
        </w:rPr>
        <w:t xml:space="preserve"> drugim nadležnim institucijama iz javnog, poslovnog, akademskog i nevladinog sektora</w:t>
      </w:r>
      <w:r w:rsidR="007D34B9" w:rsidRPr="00593418">
        <w:rPr>
          <w:rFonts w:asciiTheme="minorHAnsi" w:hAnsiTheme="minorHAnsi"/>
        </w:rPr>
        <w:t xml:space="preserve"> po </w:t>
      </w:r>
      <w:r w:rsidR="007F54A5">
        <w:t>četvorostrukom</w:t>
      </w:r>
      <w:r w:rsidR="007D34B9" w:rsidRPr="00593418">
        <w:rPr>
          <w:rFonts w:asciiTheme="minorHAnsi" w:hAnsiTheme="minorHAnsi"/>
        </w:rPr>
        <w:t xml:space="preserve"> heliks upravljačkom modelu</w:t>
      </w:r>
      <w:r w:rsidR="007643DB" w:rsidRPr="00593418">
        <w:rPr>
          <w:rFonts w:asciiTheme="minorHAnsi" w:hAnsiTheme="minorHAnsi"/>
        </w:rPr>
        <w:t>, uz sistematsku pomoć eksperata iz Evropske komisije</w:t>
      </w:r>
      <w:r w:rsidR="00F212B8" w:rsidRPr="00593418">
        <w:rPr>
          <w:rFonts w:asciiTheme="minorHAnsi" w:hAnsiTheme="minorHAnsi"/>
        </w:rPr>
        <w:t xml:space="preserve"> (Slika 1</w:t>
      </w:r>
      <w:r w:rsidR="00A00614">
        <w:rPr>
          <w:rFonts w:asciiTheme="minorHAnsi" w:hAnsiTheme="minorHAnsi"/>
        </w:rPr>
        <w:t>.</w:t>
      </w:r>
      <w:r w:rsidR="001426E6" w:rsidRPr="00593418">
        <w:rPr>
          <w:rFonts w:asciiTheme="minorHAnsi" w:hAnsiTheme="minorHAnsi"/>
        </w:rPr>
        <w:t>)</w:t>
      </w:r>
      <w:r w:rsidR="000025A6">
        <w:rPr>
          <w:rFonts w:asciiTheme="minorHAnsi" w:hAnsiTheme="minorHAnsi"/>
        </w:rPr>
        <w:t>.</w:t>
      </w:r>
    </w:p>
    <w:p w14:paraId="736660E6" w14:textId="77777777" w:rsidR="001D4DE1" w:rsidRDefault="001D4DE1" w:rsidP="00736A1F">
      <w:pPr>
        <w:spacing w:after="0" w:line="240" w:lineRule="auto"/>
        <w:jc w:val="both"/>
        <w:rPr>
          <w:rFonts w:asciiTheme="minorHAnsi" w:hAnsiTheme="minorHAnsi"/>
        </w:rPr>
      </w:pPr>
    </w:p>
    <w:p w14:paraId="39A04D1E" w14:textId="55BB5196" w:rsidR="001D4DE1" w:rsidRPr="00593418" w:rsidRDefault="001D4DE1" w:rsidP="001D4DE1">
      <w:pPr>
        <w:spacing w:after="0" w:line="240" w:lineRule="auto"/>
        <w:jc w:val="center"/>
        <w:rPr>
          <w:rFonts w:asciiTheme="minorHAnsi" w:hAnsiTheme="minorHAnsi"/>
        </w:rPr>
      </w:pPr>
      <w:r w:rsidRPr="00593418">
        <w:rPr>
          <w:rFonts w:asciiTheme="minorHAnsi" w:eastAsia="Times New Roman" w:hAnsiTheme="minorHAnsi" w:cs="Times New Roman"/>
          <w:b/>
          <w:noProof/>
          <w:sz w:val="20"/>
          <w:szCs w:val="20"/>
          <w:lang w:eastAsia="en-GB"/>
        </w:rPr>
        <w:t xml:space="preserve">Slika 1. </w:t>
      </w:r>
      <w:r>
        <w:rPr>
          <w:rFonts w:asciiTheme="minorHAnsi" w:hAnsiTheme="minorHAnsi"/>
          <w:b/>
          <w:sz w:val="20"/>
        </w:rPr>
        <w:t>Četvorostruki</w:t>
      </w:r>
      <w:r w:rsidRPr="00593418">
        <w:rPr>
          <w:rFonts w:asciiTheme="minorHAnsi" w:eastAsia="Times New Roman" w:hAnsiTheme="minorHAnsi" w:cs="Times New Roman"/>
          <w:b/>
          <w:noProof/>
          <w:sz w:val="20"/>
          <w:szCs w:val="20"/>
          <w:lang w:eastAsia="en-GB"/>
        </w:rPr>
        <w:t xml:space="preserve"> heliks upravljački model</w:t>
      </w:r>
    </w:p>
    <w:p w14:paraId="3E843D2F" w14:textId="78E82FD5" w:rsidR="00D93418" w:rsidRDefault="00D93418" w:rsidP="00BD302D">
      <w:pPr>
        <w:ind w:left="432"/>
        <w:jc w:val="center"/>
        <w:rPr>
          <w:rFonts w:asciiTheme="minorHAnsi" w:eastAsia="Times New Roman" w:hAnsiTheme="minorHAnsi" w:cs="Times New Roman"/>
          <w:b/>
          <w:noProof/>
          <w:sz w:val="20"/>
          <w:szCs w:val="20"/>
          <w:lang w:eastAsia="en-GB"/>
        </w:rPr>
      </w:pPr>
    </w:p>
    <w:p w14:paraId="3556F1D9" w14:textId="33EF0382" w:rsidR="00BA39CC" w:rsidRPr="00593418" w:rsidRDefault="006301A6" w:rsidP="00BD302D">
      <w:pPr>
        <w:ind w:left="432"/>
        <w:jc w:val="center"/>
        <w:rPr>
          <w:rFonts w:asciiTheme="minorHAnsi" w:hAnsiTheme="minorHAnsi"/>
        </w:rPr>
      </w:pPr>
      <w:r w:rsidRPr="00593418">
        <w:rPr>
          <w:rFonts w:asciiTheme="minorHAnsi" w:hAnsiTheme="minorHAnsi"/>
          <w:noProof/>
          <w:lang w:val="en-US"/>
        </w:rPr>
        <w:drawing>
          <wp:inline distT="0" distB="0" distL="0" distR="0" wp14:anchorId="716F6F3E" wp14:editId="7BE85F50">
            <wp:extent cx="5905500" cy="35337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388F496" w14:textId="77777777" w:rsidR="00F267E0" w:rsidRPr="00593418" w:rsidRDefault="00F267E0" w:rsidP="00457CE4">
      <w:pPr>
        <w:jc w:val="both"/>
        <w:rPr>
          <w:rFonts w:asciiTheme="minorHAnsi" w:hAnsiTheme="minorHAnsi"/>
        </w:rPr>
      </w:pPr>
    </w:p>
    <w:p w14:paraId="7897AAC3" w14:textId="21B16074" w:rsidR="00BD302D" w:rsidRPr="00593418" w:rsidRDefault="00BD302D" w:rsidP="00BD302D">
      <w:pPr>
        <w:spacing w:after="0"/>
        <w:jc w:val="both"/>
      </w:pPr>
      <w:r w:rsidRPr="00593418">
        <w:t xml:space="preserve">Ovaj model </w:t>
      </w:r>
      <w:r w:rsidR="001D5919">
        <w:t xml:space="preserve">je </w:t>
      </w:r>
      <w:r w:rsidRPr="00593418">
        <w:t>omoguć</w:t>
      </w:r>
      <w:r w:rsidR="001D5919">
        <w:t>io</w:t>
      </w:r>
      <w:r w:rsidRPr="00593418">
        <w:t xml:space="preserve"> </w:t>
      </w:r>
      <w:r w:rsidR="00F6242E">
        <w:t>V</w:t>
      </w:r>
      <w:r w:rsidRPr="00593418">
        <w:t xml:space="preserve">ladi da uključi sve relevantne aktere prilikom kreiranja </w:t>
      </w:r>
      <w:r w:rsidR="00F6242E">
        <w:t>S</w:t>
      </w:r>
      <w:r w:rsidRPr="00593418">
        <w:t>trategije</w:t>
      </w:r>
      <w:r w:rsidR="00F212B8" w:rsidRPr="00593418">
        <w:t>,</w:t>
      </w:r>
      <w:r w:rsidRPr="00593418">
        <w:t xml:space="preserve"> pri </w:t>
      </w:r>
      <w:r w:rsidR="00D05F82">
        <w:t>tome</w:t>
      </w:r>
      <w:r w:rsidR="00D05F82" w:rsidRPr="00593418">
        <w:t xml:space="preserve"> </w:t>
      </w:r>
      <w:r w:rsidRPr="00593418">
        <w:t>zadržava</w:t>
      </w:r>
      <w:r w:rsidR="00D05F82">
        <w:t>jući</w:t>
      </w:r>
      <w:r w:rsidRPr="00593418">
        <w:t xml:space="preserve"> ulogu organizovanja i upravljanja kolaborativnim aktivnostima na izradi </w:t>
      </w:r>
      <w:r w:rsidR="00F6242E">
        <w:t>S</w:t>
      </w:r>
      <w:r w:rsidRPr="00593418">
        <w:t xml:space="preserve">trategije. Na Slici </w:t>
      </w:r>
      <w:r w:rsidRPr="00593418">
        <w:lastRenderedPageBreak/>
        <w:t xml:space="preserve">2. prikazana je organizaciona šema na kojoj je predstavljen okvir za dijalog između glavnih aktera u procesu izrade </w:t>
      </w:r>
      <w:r w:rsidR="00A02200">
        <w:t>S3</w:t>
      </w:r>
      <w:r w:rsidRPr="00593418">
        <w:t xml:space="preserve">. </w:t>
      </w:r>
    </w:p>
    <w:p w14:paraId="6BEA62F3" w14:textId="77777777" w:rsidR="004C78CB" w:rsidRPr="00593418" w:rsidRDefault="004C78CB" w:rsidP="00BD302D">
      <w:pPr>
        <w:spacing w:after="0"/>
        <w:jc w:val="both"/>
      </w:pPr>
    </w:p>
    <w:p w14:paraId="6D7EF6D8" w14:textId="3913BAEB" w:rsidR="00BD302D" w:rsidRPr="00593418" w:rsidRDefault="00A02200" w:rsidP="00BD302D">
      <w:pPr>
        <w:spacing w:after="0"/>
        <w:jc w:val="both"/>
      </w:pPr>
      <w:bookmarkStart w:id="7" w:name="_Hlk526583012"/>
      <w:r>
        <w:t>S3</w:t>
      </w:r>
      <w:r w:rsidR="00BD302D" w:rsidRPr="00593418">
        <w:t xml:space="preserve"> operativni tim sastavljen je od predstavnika MNA i MEK, dok se u proširenom operativnom timu nalaze predstavnici svih univerziteta u Crnoj Gori. Glavne aktivnosti </w:t>
      </w:r>
      <w:r>
        <w:t>S3</w:t>
      </w:r>
      <w:r w:rsidR="00BD302D" w:rsidRPr="00593418">
        <w:t xml:space="preserve"> operativnog tima su </w:t>
      </w:r>
      <w:r w:rsidR="00D05F82">
        <w:t xml:space="preserve">bile </w:t>
      </w:r>
      <w:r w:rsidR="00BD302D" w:rsidRPr="00593418">
        <w:t xml:space="preserve">usmjerene na organizaciju i upravljanje procesom izrade </w:t>
      </w:r>
      <w:r w:rsidR="00F6242E">
        <w:t>S</w:t>
      </w:r>
      <w:r w:rsidR="00BD302D" w:rsidRPr="00593418">
        <w:t xml:space="preserve">trategije. Aktivnosti </w:t>
      </w:r>
      <w:r w:rsidR="00D05F82">
        <w:t xml:space="preserve">su </w:t>
      </w:r>
      <w:r w:rsidR="00D05F82" w:rsidRPr="00593418">
        <w:t>uključ</w:t>
      </w:r>
      <w:r w:rsidR="00D05F82">
        <w:t>ivale</w:t>
      </w:r>
      <w:r w:rsidR="00D05F82" w:rsidRPr="00593418">
        <w:t xml:space="preserve"> </w:t>
      </w:r>
      <w:r w:rsidR="00BD302D" w:rsidRPr="00593418">
        <w:t xml:space="preserve">i podizanje institucionalnih kapaciteta za izradu i sprovođenje </w:t>
      </w:r>
      <w:r>
        <w:t>S3</w:t>
      </w:r>
      <w:r w:rsidR="00BD302D" w:rsidRPr="00593418">
        <w:t xml:space="preserve"> na nacionalnom nivou</w:t>
      </w:r>
      <w:r w:rsidR="00F212B8" w:rsidRPr="00593418">
        <w:t>,</w:t>
      </w:r>
      <w:r w:rsidR="00BD302D" w:rsidRPr="00593418">
        <w:t xml:space="preserve"> kao i njenu promociju. Takođe, </w:t>
      </w:r>
      <w:r>
        <w:t>S3</w:t>
      </w:r>
      <w:r w:rsidR="00BD302D" w:rsidRPr="00593418">
        <w:t xml:space="preserve"> operativni tim je </w:t>
      </w:r>
      <w:r w:rsidR="00D05F82">
        <w:t xml:space="preserve">bio </w:t>
      </w:r>
      <w:r w:rsidR="00BD302D" w:rsidRPr="00593418">
        <w:t>za</w:t>
      </w:r>
      <w:r w:rsidR="00F212B8" w:rsidRPr="00593418">
        <w:t xml:space="preserve">dužen za komunikaciju sa </w:t>
      </w:r>
      <w:r w:rsidR="002E4D1A" w:rsidRPr="00593418">
        <w:rPr>
          <w:rFonts w:asciiTheme="minorHAnsi" w:hAnsiTheme="minorHAnsi"/>
        </w:rPr>
        <w:t>Udružen</w:t>
      </w:r>
      <w:r w:rsidR="002E4D1A">
        <w:rPr>
          <w:rFonts w:asciiTheme="minorHAnsi" w:hAnsiTheme="minorHAnsi"/>
        </w:rPr>
        <w:t xml:space="preserve">im </w:t>
      </w:r>
      <w:r w:rsidR="002E4D1A" w:rsidRPr="00593418">
        <w:rPr>
          <w:rFonts w:asciiTheme="minorHAnsi" w:hAnsiTheme="minorHAnsi"/>
        </w:rPr>
        <w:t>istraživačk</w:t>
      </w:r>
      <w:r w:rsidR="002E4D1A">
        <w:rPr>
          <w:rFonts w:asciiTheme="minorHAnsi" w:hAnsiTheme="minorHAnsi"/>
        </w:rPr>
        <w:t>im</w:t>
      </w:r>
      <w:r w:rsidR="002E4D1A" w:rsidRPr="00593418">
        <w:rPr>
          <w:rFonts w:asciiTheme="minorHAnsi" w:hAnsiTheme="minorHAnsi"/>
        </w:rPr>
        <w:t xml:space="preserve"> centr</w:t>
      </w:r>
      <w:r w:rsidR="002E4D1A">
        <w:rPr>
          <w:rFonts w:asciiTheme="minorHAnsi" w:hAnsiTheme="minorHAnsi"/>
        </w:rPr>
        <w:t xml:space="preserve">om </w:t>
      </w:r>
      <w:r w:rsidR="002E4D1A" w:rsidRPr="00593418">
        <w:rPr>
          <w:rFonts w:asciiTheme="minorHAnsi" w:hAnsiTheme="minorHAnsi"/>
        </w:rPr>
        <w:t>(JRC</w:t>
      </w:r>
      <w:r w:rsidR="002E4D1A">
        <w:rPr>
          <w:rStyle w:val="FootnoteReference"/>
          <w:rFonts w:asciiTheme="minorHAnsi" w:hAnsiTheme="minorHAnsi"/>
        </w:rPr>
        <w:footnoteReference w:id="6"/>
      </w:r>
      <w:r w:rsidR="002E4D1A" w:rsidRPr="00593418">
        <w:rPr>
          <w:rFonts w:asciiTheme="minorHAnsi" w:hAnsiTheme="minorHAnsi"/>
        </w:rPr>
        <w:t>)</w:t>
      </w:r>
      <w:r w:rsidR="002E4D1A">
        <w:rPr>
          <w:rFonts w:asciiTheme="minorHAnsi" w:hAnsiTheme="minorHAnsi"/>
        </w:rPr>
        <w:t xml:space="preserve"> </w:t>
      </w:r>
      <w:r w:rsidR="00BD302D" w:rsidRPr="00593418">
        <w:t xml:space="preserve">kao i sa spoljnim ekspertima koji su uključeni u proces izrade </w:t>
      </w:r>
      <w:r w:rsidR="00E71C9A">
        <w:t>S</w:t>
      </w:r>
      <w:r w:rsidR="00BD302D" w:rsidRPr="00593418">
        <w:t xml:space="preserve">trategije. </w:t>
      </w:r>
    </w:p>
    <w:p w14:paraId="4ABAF914" w14:textId="77777777" w:rsidR="00FD39C0" w:rsidRDefault="00FD39C0">
      <w:pPr>
        <w:suppressAutoHyphens w:val="0"/>
        <w:spacing w:after="0" w:line="240" w:lineRule="auto"/>
      </w:pPr>
      <w:r>
        <w:br w:type="page"/>
      </w:r>
    </w:p>
    <w:p w14:paraId="5EBFE6D3" w14:textId="7C88AB2F" w:rsidR="001D4DE1" w:rsidRDefault="001D4DE1" w:rsidP="00FD39C0">
      <w:pPr>
        <w:spacing w:after="0"/>
        <w:jc w:val="center"/>
        <w:rPr>
          <w:rFonts w:asciiTheme="minorHAnsi" w:eastAsia="Times New Roman" w:hAnsiTheme="minorHAnsi" w:cs="Times New Roman"/>
          <w:b/>
          <w:noProof/>
          <w:sz w:val="20"/>
          <w:szCs w:val="20"/>
          <w:lang w:eastAsia="en-GB"/>
        </w:rPr>
      </w:pPr>
      <w:r>
        <w:rPr>
          <w:rFonts w:asciiTheme="minorHAnsi" w:eastAsia="Times New Roman" w:hAnsiTheme="minorHAnsi" w:cs="Times New Roman"/>
          <w:b/>
          <w:noProof/>
          <w:sz w:val="20"/>
          <w:szCs w:val="20"/>
          <w:lang w:eastAsia="en-GB"/>
        </w:rPr>
        <w:lastRenderedPageBreak/>
        <w:t xml:space="preserve">Slika 2. </w:t>
      </w:r>
      <w:r w:rsidRPr="00593418">
        <w:rPr>
          <w:rFonts w:asciiTheme="minorHAnsi" w:eastAsia="Times New Roman" w:hAnsiTheme="minorHAnsi" w:cs="Times New Roman"/>
          <w:b/>
          <w:noProof/>
          <w:sz w:val="20"/>
          <w:szCs w:val="20"/>
          <w:lang w:eastAsia="en-GB"/>
        </w:rPr>
        <w:t>Organizaciona šema</w:t>
      </w:r>
    </w:p>
    <w:p w14:paraId="221C227C" w14:textId="77777777" w:rsidR="00FD39C0" w:rsidRPr="00593418" w:rsidRDefault="00FD39C0" w:rsidP="00FD39C0">
      <w:pPr>
        <w:spacing w:after="0"/>
        <w:jc w:val="center"/>
      </w:pPr>
    </w:p>
    <w:p w14:paraId="3AD0ADFC" w14:textId="40625019" w:rsidR="00BD302D" w:rsidRPr="00593418" w:rsidRDefault="00BD302D" w:rsidP="00BD302D">
      <w:pPr>
        <w:jc w:val="both"/>
        <w:rPr>
          <w:rFonts w:cs="Calibri"/>
          <w:bCs/>
          <w:sz w:val="24"/>
          <w:szCs w:val="24"/>
        </w:rPr>
      </w:pPr>
      <w:r w:rsidRPr="00593418">
        <w:rPr>
          <w:rFonts w:cs="Calibri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717938" wp14:editId="09444D43">
                <wp:simplePos x="0" y="0"/>
                <wp:positionH relativeFrom="column">
                  <wp:posOffset>1401445</wp:posOffset>
                </wp:positionH>
                <wp:positionV relativeFrom="paragraph">
                  <wp:posOffset>3028315</wp:posOffset>
                </wp:positionV>
                <wp:extent cx="12858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B06A7" id="Straight Connector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238.45pt" to="211.6pt,2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bPvgEAAGADAAAOAAAAZHJzL2Uyb0RvYy54bWysU02PEzEMvSPxH6Lc6bRly5ZRp3toVS4I&#10;Ki38ADeTmYmUL9mh0/57nHS2LHBDXDJ27Dz7PXs2TxdnxVkjmeAbuZjNpdBehdb4vpHfvx3eraWg&#10;BL4FG7xu5FWTfNq+fbMZY62XYQi21SgYxFM9xkYOKcW6qkgN2gHNQtSeg11AB4ld7KsWYWR0Z6vl&#10;fP6hGgO2EYPSRHy7vwXltuB3nVbpa9eRTsI2kntL5cRynvJZbTdQ9whxMGpqA/6hCwfGc9E71B4S&#10;iB9o/oJyRmGg0KWZCq4KXWeULhyYzWL+B5vnAaIuXFgcineZ6P/Bqi/nIwrTNnL5XgoPjmf0nBBM&#10;PySxC96zggEFB1mpMVLND3b+iJNH8YiZ9qVDl79MSFyKute7uvqShOLLxXK9Wj+upFAvserXw4iU&#10;PungRDYaaY3PxKGG82dKXIxTX1LytQ8HY20ZnvVi5O5XD3OerwLeoc5CYtNFZkW+lwJsz8upEhZI&#10;Cta0+XkGIuxPO4viDLwgi8PDx8d9ZsrlfkvLtfdAwy2vhKY06zOMLqs2tZplugmTrVNor0WvKns8&#10;xoI+rVzek9c+269/jO1PAAAA//8DAFBLAwQUAAYACAAAACEAoiv+Vd0AAAALAQAADwAAAGRycy9k&#10;b3ducmV2LnhtbEyPwW7CMAyG75N4h8hIu0wjITC6dU3RtIndBxvn0HhtReNUSYDy9gQJaTva/vT7&#10;+4vlYDt2RB9aRwqmEwEMqXKmpVrB92b1+AwsRE1Gd45QwRkDLMvRXaFz4070hcd1rFkKoZBrBU2M&#10;fc55qBq0Okxcj5Ruv85bHdPoa268PqVw23EpxIJb3VL60Oge3xus9uuDVZCtwkM7iG2kD3J+/3P+&#10;fNpMt0rdj4e3V2ARh/gHw1U/qUOZnHbuQCawToGUIkuognm2eAGWiLmcSWC724aXBf/fobwAAAD/&#10;/wMAUEsBAi0AFAAGAAgAAAAhALaDOJL+AAAA4QEAABMAAAAAAAAAAAAAAAAAAAAAAFtDb250ZW50&#10;X1R5cGVzXS54bWxQSwECLQAUAAYACAAAACEAOP0h/9YAAACUAQAACwAAAAAAAAAAAAAAAAAvAQAA&#10;X3JlbHMvLnJlbHNQSwECLQAUAAYACAAAACEASNGmz74BAABgAwAADgAAAAAAAAAAAAAAAAAuAgAA&#10;ZHJzL2Uyb0RvYy54bWxQSwECLQAUAAYACAAAACEAoiv+Vd0AAAALAQAADwAAAAAAAAAAAAAAAAAY&#10;BAAAZHJzL2Rvd25yZXYueG1sUEsFBgAAAAAEAAQA8wAAACIFAAAAAA==&#10;" strokecolor="#1f497d" strokeweight="2pt"/>
            </w:pict>
          </mc:Fallback>
        </mc:AlternateContent>
      </w:r>
      <w:r w:rsidRPr="00593418">
        <w:rPr>
          <w:rFonts w:cs="Calibri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4B6BE" wp14:editId="78F361B9">
                <wp:simplePos x="0" y="0"/>
                <wp:positionH relativeFrom="column">
                  <wp:posOffset>1408119</wp:posOffset>
                </wp:positionH>
                <wp:positionV relativeFrom="paragraph">
                  <wp:posOffset>2876011</wp:posOffset>
                </wp:positionV>
                <wp:extent cx="3175" cy="152400"/>
                <wp:effectExtent l="0" t="0" r="349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52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12503" id="Straight Connector 2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pt,226.45pt" to="111.15pt,2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QpvwEAAGIDAAAOAAAAZHJzL2Uyb0RvYy54bWysU12v0zAMfUfiP0R5Z13HHReqdfdh03hB&#10;MOnCD/DStI2UL9lh3f49TlbGBd4QL6kd28c+J+7m6eKsOGskE3wr68VSCu1V6IwfWvnt6+HNeyko&#10;ge/ABq9bedUkn7avX22m2OhVGIPtNAoG8dRMsZVjSrGpKlKjdkCLELXnYB/QQWIXh6pDmBjd2Wq1&#10;XL6rpoBdxKA0Ed/ub0G5Lfh9r1X60vekk7Ct5NlSObGcp3xW2w00A0IcjZrHgH+YwoHx3PQOtYcE&#10;4juav6CcURgo9GmhgqtC3xulCwdmUy//YPM8QtSFC4tD8S4T/T9Y9fl8RGG6Vq5qKTw4fqPnhGCG&#10;MYld8J4VDCg4yEpNkRou2Pkjzh7FI2balx5d/jIhcSnqXu/q6ksSii/f1o9rKRQH6vXqYVm0r36V&#10;RqT0UQcnstFKa3ymDg2cP1Hidpz6MyVf+3Aw1pbns15MPP86YwoFvEW9hcSmi8yL/CAF2IHXUyUs&#10;kBSs6XJ5BiIcTjuL4gy8IvXh4cPjPnPldr+l5d57oPGWV0JzmvUZRpdlm0fNQt2kydYpdNeiWJU9&#10;fsiCPi9d3pSXPtsvf43tDwAAAP//AwBQSwMEFAAGAAgAAAAhAKOIZFLeAAAACwEAAA8AAABkcnMv&#10;ZG93bnJldi54bWxMj8FOwzAQRO9I/IO1SFwQdWJoS0OcCoHaOy307MZLEjVeR7bbpn/P9gTHnR3N&#10;vCmXo+vFCUPsPGnIJxkIpNrbjhoNX9vV4wuImAxZ03tCDReMsKxub0pTWH+mTzxtUiM4hGJhNLQp&#10;DYWUsW7RmTjxAxL/fnxwJvEZGmmDOXO466XKspl0piNuaM2A7y3Wh83RaZiv4kM3ZrtEH+TD4fuy&#10;nm7zndb3d+PbK4iEY/ozwxWf0aFipr0/ko2i16BUzuhJw/NULUCwQyn1BGLPyny2AFmV8v+G6hcA&#10;AP//AwBQSwECLQAUAAYACAAAACEAtoM4kv4AAADhAQAAEwAAAAAAAAAAAAAAAAAAAAAAW0NvbnRl&#10;bnRfVHlwZXNdLnhtbFBLAQItABQABgAIAAAAIQA4/SH/1gAAAJQBAAALAAAAAAAAAAAAAAAAAC8B&#10;AABfcmVscy8ucmVsc1BLAQItABQABgAIAAAAIQBrQ1QpvwEAAGIDAAAOAAAAAAAAAAAAAAAAAC4C&#10;AABkcnMvZTJvRG9jLnhtbFBLAQItABQABgAIAAAAIQCjiGRS3gAAAAsBAAAPAAAAAAAAAAAAAAAA&#10;ABkEAABkcnMvZG93bnJldi54bWxQSwUGAAAAAAQABADzAAAAJAUAAAAA&#10;" strokecolor="#1f497d" strokeweight="2pt"/>
            </w:pict>
          </mc:Fallback>
        </mc:AlternateContent>
      </w:r>
      <w:r w:rsidRPr="00593418">
        <w:rPr>
          <w:rFonts w:eastAsia="Times New Roman" w:cs="Times New Roman"/>
          <w:noProof/>
          <w:sz w:val="24"/>
          <w:szCs w:val="24"/>
          <w:lang w:val="en-US"/>
        </w:rPr>
        <w:drawing>
          <wp:inline distT="0" distB="0" distL="0" distR="0" wp14:anchorId="2BF8FA15" wp14:editId="65C2CF77">
            <wp:extent cx="5029200" cy="6181725"/>
            <wp:effectExtent l="0" t="0" r="0" b="952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A19F475" w14:textId="38569857" w:rsidR="004C78CB" w:rsidRPr="00593418" w:rsidRDefault="004C78CB" w:rsidP="001D4DE1">
      <w:pPr>
        <w:pStyle w:val="Caption"/>
      </w:pPr>
      <w:r w:rsidRPr="00593418">
        <w:rPr>
          <w:rFonts w:asciiTheme="minorHAnsi" w:eastAsia="Times New Roman" w:hAnsiTheme="minorHAnsi" w:cs="Times New Roman"/>
          <w:noProof/>
          <w:sz w:val="20"/>
          <w:szCs w:val="20"/>
          <w:lang w:eastAsia="en-GB"/>
        </w:rPr>
        <w:t xml:space="preserve">                                                                     </w:t>
      </w:r>
      <w:bookmarkEnd w:id="7"/>
    </w:p>
    <w:p w14:paraId="59658D6A" w14:textId="6D2067CB" w:rsidR="00BD302D" w:rsidRPr="00593418" w:rsidRDefault="00BD302D" w:rsidP="004C78CB">
      <w:pPr>
        <w:spacing w:after="120"/>
        <w:jc w:val="both"/>
      </w:pPr>
      <w:r w:rsidRPr="00593418">
        <w:t>Uključivanjem akademskog sektora na operativnom nivou</w:t>
      </w:r>
      <w:r w:rsidR="009B5C0F">
        <w:t>,</w:t>
      </w:r>
      <w:r w:rsidRPr="00593418">
        <w:t xml:space="preserve"> </w:t>
      </w:r>
      <w:r w:rsidR="00D05F82" w:rsidRPr="00593418">
        <w:t>obezbjeđ</w:t>
      </w:r>
      <w:r w:rsidR="00D05F82">
        <w:t>eno je</w:t>
      </w:r>
      <w:r w:rsidR="00B9791C" w:rsidRPr="00593418">
        <w:t xml:space="preserve"> fokus</w:t>
      </w:r>
      <w:r w:rsidR="00D05F82">
        <w:t>iranje</w:t>
      </w:r>
      <w:r w:rsidR="00B9791C" w:rsidRPr="00593418">
        <w:t xml:space="preserve"> </w:t>
      </w:r>
      <w:r w:rsidR="009B5C0F">
        <w:t>S</w:t>
      </w:r>
      <w:r w:rsidRPr="00593418">
        <w:t>trategije na istraživanja i inovacije</w:t>
      </w:r>
      <w:r w:rsidR="00F81AC8" w:rsidRPr="00593418">
        <w:t>,</w:t>
      </w:r>
      <w:r w:rsidRPr="00593418">
        <w:t xml:space="preserve"> što omogućava efikasnije i kvalitetnije prepoznavanje ključnih aktera za realizaciju procesa preduzetničkog otkrivanja i izradu same </w:t>
      </w:r>
      <w:r w:rsidR="009B5C0F">
        <w:t>S</w:t>
      </w:r>
      <w:r w:rsidRPr="00593418">
        <w:t>trategije.</w:t>
      </w:r>
    </w:p>
    <w:p w14:paraId="27EF0DB3" w14:textId="42B4FB79" w:rsidR="00BD302D" w:rsidRPr="00593418" w:rsidRDefault="00A02200" w:rsidP="00BD302D">
      <w:pPr>
        <w:jc w:val="both"/>
      </w:pPr>
      <w:r>
        <w:t>S3</w:t>
      </w:r>
      <w:r w:rsidR="00BD302D" w:rsidRPr="00593418">
        <w:t xml:space="preserve"> operativni tim </w:t>
      </w:r>
      <w:r w:rsidR="00D05F82">
        <w:t xml:space="preserve">je </w:t>
      </w:r>
      <w:r w:rsidR="00BD302D" w:rsidRPr="00593418">
        <w:t>dob</w:t>
      </w:r>
      <w:r w:rsidR="002D6D0A">
        <w:t>i</w:t>
      </w:r>
      <w:r w:rsidR="00D05F82">
        <w:t>o</w:t>
      </w:r>
      <w:r w:rsidR="00BD302D" w:rsidRPr="00593418">
        <w:t xml:space="preserve"> stručnu pomoć od </w:t>
      </w:r>
      <w:r>
        <w:t>S3</w:t>
      </w:r>
      <w:r w:rsidR="00BD302D" w:rsidRPr="00593418">
        <w:t xml:space="preserve"> fokusnih grupa koje su spe</w:t>
      </w:r>
      <w:r w:rsidR="00F81AC8" w:rsidRPr="00593418">
        <w:t>ci</w:t>
      </w:r>
      <w:r w:rsidR="00BD302D" w:rsidRPr="00593418">
        <w:t xml:space="preserve">jalizovane za tematske prioritete prepoznate kroz proces kvantitativne i kvalitativne analize za </w:t>
      </w:r>
      <w:r>
        <w:t>S3</w:t>
      </w:r>
      <w:r w:rsidR="00BD302D" w:rsidRPr="00593418">
        <w:t>.</w:t>
      </w:r>
      <w:r w:rsidR="0009447F" w:rsidRPr="00593418">
        <w:t xml:space="preserve"> </w:t>
      </w:r>
      <w:r>
        <w:t>S3</w:t>
      </w:r>
      <w:r w:rsidR="00BD302D" w:rsidRPr="00593418">
        <w:t xml:space="preserve"> fokusne grupe </w:t>
      </w:r>
      <w:r w:rsidR="00D05F82">
        <w:t xml:space="preserve">bile su </w:t>
      </w:r>
      <w:r w:rsidR="00BD302D" w:rsidRPr="00593418">
        <w:t>sastavljene od predstavnika</w:t>
      </w:r>
      <w:r w:rsidR="006C6E85">
        <w:t xml:space="preserve"> privrednog, </w:t>
      </w:r>
      <w:r w:rsidR="00BD302D" w:rsidRPr="00593418">
        <w:t>javnog, akademskog i civilnog sektora (</w:t>
      </w:r>
      <w:r w:rsidR="007F54A5">
        <w:t>četvorostruki</w:t>
      </w:r>
      <w:r w:rsidR="00BD302D" w:rsidRPr="00593418">
        <w:t xml:space="preserve"> heliks model</w:t>
      </w:r>
      <w:r w:rsidR="00F81AC8" w:rsidRPr="00593418">
        <w:t>, Slika 1</w:t>
      </w:r>
      <w:r w:rsidR="009B5C0F">
        <w:t>.</w:t>
      </w:r>
      <w:r w:rsidR="00BD302D" w:rsidRPr="00593418">
        <w:t xml:space="preserve">) </w:t>
      </w:r>
      <w:r w:rsidR="00A53E91">
        <w:t xml:space="preserve">djelujući kao baza za sakupljanje informacija i </w:t>
      </w:r>
      <w:r w:rsidR="00916719">
        <w:t xml:space="preserve">ideja kroz </w:t>
      </w:r>
      <w:r w:rsidR="00A53E91">
        <w:t xml:space="preserve"> </w:t>
      </w:r>
      <w:r w:rsidR="009B5C0F">
        <w:t>P</w:t>
      </w:r>
      <w:r w:rsidR="00BD302D" w:rsidRPr="00593418">
        <w:t>roces preduzetničkog otkrivanja</w:t>
      </w:r>
      <w:r w:rsidR="00540A07">
        <w:t xml:space="preserve"> </w:t>
      </w:r>
      <w:r w:rsidR="00A00614" w:rsidRPr="00593418">
        <w:t>(</w:t>
      </w:r>
      <w:r w:rsidR="00A00614">
        <w:t>‚‚</w:t>
      </w:r>
      <w:r w:rsidR="00A00614" w:rsidRPr="00864878">
        <w:t>Entrepreneurial Discovery Process</w:t>
      </w:r>
      <w:r w:rsidR="00A00614">
        <w:t xml:space="preserve"> -</w:t>
      </w:r>
      <w:r w:rsidR="00D05F82">
        <w:t xml:space="preserve"> </w:t>
      </w:r>
      <w:r w:rsidR="00A00614" w:rsidRPr="00593418">
        <w:t>EDP</w:t>
      </w:r>
      <w:r w:rsidR="00A00614">
        <w:t>“)</w:t>
      </w:r>
      <w:r w:rsidR="00BD302D" w:rsidRPr="00593418">
        <w:t>.</w:t>
      </w:r>
    </w:p>
    <w:p w14:paraId="18ED5EFA" w14:textId="165A101D" w:rsidR="00BD302D" w:rsidRPr="00593418" w:rsidRDefault="00916719" w:rsidP="00BD302D">
      <w:pPr>
        <w:jc w:val="both"/>
      </w:pPr>
      <w:r>
        <w:lastRenderedPageBreak/>
        <w:t xml:space="preserve">Pored toga, bila je konstituisana </w:t>
      </w:r>
      <w:r w:rsidR="005C5D5B">
        <w:t xml:space="preserve">posebna </w:t>
      </w:r>
      <w:r w:rsidR="00BD302D" w:rsidRPr="00593418">
        <w:t>Interresorna radna grupa od predstavnika</w:t>
      </w:r>
      <w:r w:rsidR="006C6E85" w:rsidRPr="006C6E85">
        <w:t xml:space="preserve"> </w:t>
      </w:r>
      <w:r w:rsidR="006C6E85">
        <w:t>privrednog,</w:t>
      </w:r>
      <w:r w:rsidR="002D6D0A">
        <w:t xml:space="preserve"> </w:t>
      </w:r>
      <w:r w:rsidR="00BD302D" w:rsidRPr="00593418">
        <w:t xml:space="preserve">javnog, </w:t>
      </w:r>
      <w:r w:rsidR="006C6E85" w:rsidRPr="00593418">
        <w:t>akademskog</w:t>
      </w:r>
      <w:r w:rsidR="006C6E85">
        <w:t xml:space="preserve"> i civilnog </w:t>
      </w:r>
      <w:r w:rsidR="00BD302D" w:rsidRPr="00593418">
        <w:t xml:space="preserve">sektora </w:t>
      </w:r>
      <w:r>
        <w:t>sa</w:t>
      </w:r>
      <w:r w:rsidR="00BD302D" w:rsidRPr="00593418">
        <w:t xml:space="preserve"> ulog</w:t>
      </w:r>
      <w:r>
        <w:t>om</w:t>
      </w:r>
      <w:r w:rsidR="00BD302D" w:rsidRPr="00593418">
        <w:t xml:space="preserve"> </w:t>
      </w:r>
      <w:r w:rsidRPr="00593418">
        <w:t>upravlja</w:t>
      </w:r>
      <w:r>
        <w:t>nja</w:t>
      </w:r>
      <w:r w:rsidRPr="00593418">
        <w:t xml:space="preserve"> </w:t>
      </w:r>
      <w:r>
        <w:t>procesom izrade S3</w:t>
      </w:r>
      <w:r w:rsidR="00BD302D" w:rsidRPr="00593418">
        <w:t xml:space="preserve">. Ona </w:t>
      </w:r>
      <w:r>
        <w:t xml:space="preserve">je </w:t>
      </w:r>
      <w:r w:rsidR="00BD302D" w:rsidRPr="00593418">
        <w:t>nadgleda</w:t>
      </w:r>
      <w:r>
        <w:t>la</w:t>
      </w:r>
      <w:r w:rsidR="00BD302D" w:rsidRPr="00593418">
        <w:t>, savjet</w:t>
      </w:r>
      <w:r>
        <w:t>ovala</w:t>
      </w:r>
      <w:r w:rsidR="00BD302D" w:rsidRPr="00593418">
        <w:t xml:space="preserve"> i omoguć</w:t>
      </w:r>
      <w:r>
        <w:t>avala</w:t>
      </w:r>
      <w:r w:rsidR="00BD302D" w:rsidRPr="00593418">
        <w:t xml:space="preserve"> transpar</w:t>
      </w:r>
      <w:r w:rsidR="004C78CB" w:rsidRPr="00593418">
        <w:t xml:space="preserve">entnost procesa izrade </w:t>
      </w:r>
      <w:r w:rsidR="00A02200">
        <w:t>S</w:t>
      </w:r>
      <w:r>
        <w:t>trategije</w:t>
      </w:r>
      <w:r w:rsidR="004C78CB" w:rsidRPr="00593418">
        <w:t xml:space="preserve">, </w:t>
      </w:r>
      <w:r w:rsidR="003E4546" w:rsidRPr="00593418">
        <w:t>po</w:t>
      </w:r>
      <w:r w:rsidR="003E4546">
        <w:t>dstičući</w:t>
      </w:r>
      <w:r w:rsidR="003E4546" w:rsidRPr="00593418">
        <w:t xml:space="preserve"> </w:t>
      </w:r>
      <w:r w:rsidR="00BD302D" w:rsidRPr="00593418">
        <w:t>kolaboraciju i participaciju različitih segmen</w:t>
      </w:r>
      <w:r w:rsidR="00F81AC8" w:rsidRPr="00593418">
        <w:t>ata društva.</w:t>
      </w:r>
      <w:r w:rsidR="00BD302D" w:rsidRPr="00593418">
        <w:t xml:space="preserve"> </w:t>
      </w:r>
      <w:r w:rsidR="00622C4F">
        <w:t xml:space="preserve">Ova </w:t>
      </w:r>
      <w:r w:rsidR="00BD302D" w:rsidRPr="00593418">
        <w:t>grupa ima</w:t>
      </w:r>
      <w:r>
        <w:t>la je</w:t>
      </w:r>
      <w:r w:rsidR="00BD302D" w:rsidRPr="00593418">
        <w:t xml:space="preserve"> </w:t>
      </w:r>
      <w:r w:rsidR="005C5D5B">
        <w:t xml:space="preserve">naročito </w:t>
      </w:r>
      <w:r w:rsidR="00BD302D" w:rsidRPr="00593418">
        <w:t>važnu ulogu u rješavanju horizontalnih pitanja koj</w:t>
      </w:r>
      <w:r w:rsidR="00F81AC8" w:rsidRPr="00593418">
        <w:t>a</w:t>
      </w:r>
      <w:r w:rsidR="00BD302D" w:rsidRPr="00593418">
        <w:t xml:space="preserve"> se tiču svih tematskih oblasti</w:t>
      </w:r>
      <w:r w:rsidR="005C5D5B">
        <w:t>.</w:t>
      </w:r>
      <w:r w:rsidR="002D6D0A">
        <w:t xml:space="preserve"> </w:t>
      </w:r>
      <w:r w:rsidR="005C5D5B">
        <w:t>Takođe</w:t>
      </w:r>
      <w:r w:rsidR="00F81AC8" w:rsidRPr="00593418">
        <w:t>,</w:t>
      </w:r>
      <w:r w:rsidR="00BD302D" w:rsidRPr="00593418">
        <w:t xml:space="preserve"> </w:t>
      </w:r>
      <w:r w:rsidR="005C5D5B" w:rsidRPr="00593418">
        <w:t>pomo</w:t>
      </w:r>
      <w:r w:rsidR="005C5D5B">
        <w:t xml:space="preserve">gla je </w:t>
      </w:r>
      <w:r w:rsidR="00BD302D" w:rsidRPr="00593418">
        <w:t xml:space="preserve">u realizaciji i </w:t>
      </w:r>
      <w:r w:rsidR="005C5D5B">
        <w:t xml:space="preserve">obezbjeđivanju </w:t>
      </w:r>
      <w:r w:rsidR="00BD302D" w:rsidRPr="00593418">
        <w:t>kontinuitet</w:t>
      </w:r>
      <w:r w:rsidR="005C5D5B">
        <w:t>a</w:t>
      </w:r>
      <w:r w:rsidR="00BD302D" w:rsidRPr="00593418">
        <w:t xml:space="preserve"> </w:t>
      </w:r>
      <w:r w:rsidR="00E71C9A">
        <w:t>P</w:t>
      </w:r>
      <w:r w:rsidR="00BD302D" w:rsidRPr="00593418">
        <w:t>rocesa preduzetničkog otkrivanja</w:t>
      </w:r>
      <w:r w:rsidR="00FE6845">
        <w:t xml:space="preserve"> (EDP)</w:t>
      </w:r>
      <w:r w:rsidR="00BD302D" w:rsidRPr="00593418">
        <w:t>.</w:t>
      </w:r>
    </w:p>
    <w:p w14:paraId="171364FF" w14:textId="726593C8" w:rsidR="00BD302D" w:rsidRPr="00593418" w:rsidRDefault="00BD302D" w:rsidP="00BD302D">
      <w:pPr>
        <w:jc w:val="both"/>
      </w:pPr>
      <w:r w:rsidRPr="00593418">
        <w:t xml:space="preserve">Jedan od važnih koraka u kreiranju </w:t>
      </w:r>
      <w:r w:rsidR="00A02200">
        <w:t>S3</w:t>
      </w:r>
      <w:r w:rsidRPr="00593418">
        <w:t xml:space="preserve">, završen u martu 2018. godine, je proces mapiranja ekonomskog, naučnog i </w:t>
      </w:r>
      <w:r w:rsidR="00813CAB">
        <w:t>inovacionog</w:t>
      </w:r>
      <w:r w:rsidRPr="00593418">
        <w:t xml:space="preserve"> potencijala Crne Gore. Završni izvještaj </w:t>
      </w:r>
      <w:r w:rsidR="00952A15">
        <w:t>„</w:t>
      </w:r>
      <w:r w:rsidR="002B71BE">
        <w:t>Mapiranje ekonomskog, naučnog i inovacionog potencijala u Crnoj Gori“</w:t>
      </w:r>
      <w:r w:rsidRPr="00593418">
        <w:t xml:space="preserve">  poslužio</w:t>
      </w:r>
      <w:r w:rsidR="002B71BE">
        <w:t xml:space="preserve"> je</w:t>
      </w:r>
      <w:r w:rsidRPr="00593418">
        <w:t xml:space="preserve"> kao osnova za </w:t>
      </w:r>
      <w:r w:rsidR="00850CA3">
        <w:t xml:space="preserve">kreiranje dokumenta </w:t>
      </w:r>
      <w:r w:rsidR="00850CA3" w:rsidRPr="00850CA3">
        <w:t>Analiza prioritetnih oblasti za Strategiju pametne specijalizacije Crne Gore</w:t>
      </w:r>
      <w:r w:rsidR="00850CA3">
        <w:t xml:space="preserve"> (kvantitativna i kvalitativna analiza) što je bio preduslov za početak </w:t>
      </w:r>
      <w:r w:rsidR="002B71BE">
        <w:t>P</w:t>
      </w:r>
      <w:r w:rsidRPr="00593418">
        <w:t>roces</w:t>
      </w:r>
      <w:r w:rsidR="00850CA3">
        <w:t>a</w:t>
      </w:r>
      <w:r w:rsidRPr="00593418">
        <w:t xml:space="preserve"> preduzetničkog otkrivanja</w:t>
      </w:r>
      <w:r w:rsidR="00813CAB">
        <w:t xml:space="preserve">. </w:t>
      </w:r>
    </w:p>
    <w:p w14:paraId="16AA2C97" w14:textId="2B29CC0F" w:rsidR="00BD302D" w:rsidRPr="00593418" w:rsidRDefault="00813CAB" w:rsidP="00BD302D">
      <w:pPr>
        <w:jc w:val="both"/>
      </w:pPr>
      <w:r w:rsidRPr="00813CAB">
        <w:t>Proces preduzetničkog otkrivanja</w:t>
      </w:r>
      <w:r w:rsidRPr="00813CAB" w:rsidDel="00813CAB">
        <w:t xml:space="preserve"> </w:t>
      </w:r>
      <w:r w:rsidR="006C6E85">
        <w:t xml:space="preserve">EDP </w:t>
      </w:r>
      <w:r>
        <w:t xml:space="preserve">započeo je </w:t>
      </w:r>
      <w:r w:rsidR="00BD302D" w:rsidRPr="00593418">
        <w:t>organizovan</w:t>
      </w:r>
      <w:r>
        <w:t>jem</w:t>
      </w:r>
      <w:r w:rsidR="00BD302D" w:rsidRPr="00593418">
        <w:t xml:space="preserve"> Konferencij</w:t>
      </w:r>
      <w:r>
        <w:t>e</w:t>
      </w:r>
      <w:r w:rsidR="00BD302D" w:rsidRPr="00593418">
        <w:t xml:space="preserve"> S3.me –</w:t>
      </w:r>
      <w:r w:rsidR="00F81AC8" w:rsidRPr="00593418">
        <w:t xml:space="preserve"> </w:t>
      </w:r>
      <w:r w:rsidR="00952A15">
        <w:t>P</w:t>
      </w:r>
      <w:r w:rsidR="00BD302D" w:rsidRPr="00593418">
        <w:t>ametna specijalizacija, inovacije, preduzetništvo i konkurentnost, 11. maja 2018.</w:t>
      </w:r>
      <w:r w:rsidR="00E759AC" w:rsidRPr="00593418">
        <w:t xml:space="preserve"> godine, koja je okupila oko 200</w:t>
      </w:r>
      <w:r w:rsidR="00BD302D" w:rsidRPr="00593418">
        <w:t xml:space="preserve"> učesnika iz </w:t>
      </w:r>
      <w:r w:rsidR="006C6E85" w:rsidRPr="00593418">
        <w:t>privrednog</w:t>
      </w:r>
      <w:r w:rsidR="00BD302D" w:rsidRPr="00593418">
        <w:t xml:space="preserve">, </w:t>
      </w:r>
      <w:r w:rsidR="006C6E85">
        <w:t xml:space="preserve">javnog, </w:t>
      </w:r>
      <w:r w:rsidR="00BD302D" w:rsidRPr="00593418">
        <w:t>akademskog</w:t>
      </w:r>
      <w:r w:rsidR="006C6E85">
        <w:t xml:space="preserve"> </w:t>
      </w:r>
      <w:r w:rsidR="00BD302D" w:rsidRPr="00593418">
        <w:t xml:space="preserve"> i civilnog sektora. </w:t>
      </w:r>
      <w:r w:rsidR="002D6D0A">
        <w:t xml:space="preserve">Nakon toga je odrzano oko 50 radionica </w:t>
      </w:r>
      <w:r w:rsidR="002D6D0A" w:rsidRPr="00593418">
        <w:t>kako po prioritetnim oblastima tako i interdisciplinarno.</w:t>
      </w:r>
      <w:r w:rsidR="002D6D0A">
        <w:t xml:space="preserve"> Rad ovih fokusnih grupa je kontinuirano pracen od strane </w:t>
      </w:r>
      <w:r w:rsidR="00BD302D" w:rsidRPr="00593418">
        <w:t>JRC eksperata iz Slovenije</w:t>
      </w:r>
      <w:r w:rsidR="002D6D0A">
        <w:t xml:space="preserve"> (direktne posjete i online pracenje). </w:t>
      </w:r>
      <w:r w:rsidR="00E851C2">
        <w:t xml:space="preserve"> </w:t>
      </w:r>
      <w:r w:rsidR="00BD302D" w:rsidRPr="00593418">
        <w:t>Takođe, organizovani su sastanci sektorsk</w:t>
      </w:r>
      <w:r w:rsidR="00F81AC8" w:rsidRPr="00593418">
        <w:t xml:space="preserve">ih radnih </w:t>
      </w:r>
      <w:r w:rsidR="006C6E85">
        <w:t xml:space="preserve">fokus </w:t>
      </w:r>
      <w:r w:rsidR="00F81AC8" w:rsidRPr="00593418">
        <w:t>grupa, na kojima su</w:t>
      </w:r>
      <w:r w:rsidR="00BD302D" w:rsidRPr="00593418">
        <w:t xml:space="preserve"> detaljnije definisa</w:t>
      </w:r>
      <w:r w:rsidR="00F81AC8" w:rsidRPr="00593418">
        <w:t>ne</w:t>
      </w:r>
      <w:r w:rsidR="00BD302D" w:rsidRPr="00593418">
        <w:t xml:space="preserve"> uže oblasti razvoja u okviru sektora i potencijali za budući razvoj Crne Gore.</w:t>
      </w:r>
      <w:r w:rsidR="00C047DA" w:rsidRPr="00593418">
        <w:t xml:space="preserve"> </w:t>
      </w:r>
      <w:r w:rsidR="00BD302D" w:rsidRPr="00593418">
        <w:t>U okviru utvrđenih prioriteta, na sastancima su identifikovana fokusna područja, utvrđena</w:t>
      </w:r>
      <w:r w:rsidR="005154F3">
        <w:t xml:space="preserve"> je</w:t>
      </w:r>
      <w:r w:rsidR="00BD302D" w:rsidRPr="00593418">
        <w:t xml:space="preserve"> vizija koja eksplicitno odražava svaki sektor/prioritet</w:t>
      </w:r>
      <w:r w:rsidR="006C6E85">
        <w:t xml:space="preserve"> i </w:t>
      </w:r>
      <w:r w:rsidR="00BD302D" w:rsidRPr="00593418">
        <w:t xml:space="preserve"> postavljeni</w:t>
      </w:r>
      <w:r w:rsidR="005154F3">
        <w:t xml:space="preserve"> su</w:t>
      </w:r>
      <w:r w:rsidR="00BD302D" w:rsidRPr="00593418">
        <w:t xml:space="preserve"> ciljevi sa konkretnim indikatorima i mjerama u skladu sa kojima</w:t>
      </w:r>
      <w:r w:rsidR="00E759AC" w:rsidRPr="00593418">
        <w:t xml:space="preserve"> će se sprovoditi </w:t>
      </w:r>
      <w:r w:rsidR="005154F3">
        <w:t>S</w:t>
      </w:r>
      <w:r w:rsidR="00E759AC" w:rsidRPr="00593418">
        <w:t>trategija</w:t>
      </w:r>
      <w:r w:rsidR="00BD302D" w:rsidRPr="00593418">
        <w:t>.</w:t>
      </w:r>
    </w:p>
    <w:p w14:paraId="6782AF64" w14:textId="7D862C71" w:rsidR="00813CAB" w:rsidRDefault="00813CAB" w:rsidP="00BD302D">
      <w:pPr>
        <w:jc w:val="both"/>
      </w:pPr>
      <w:r>
        <w:t>S</w:t>
      </w:r>
      <w:r w:rsidRPr="00813CAB">
        <w:t xml:space="preserve">vi zainteresovani akteri za proces izrade S3 imali su mogućnost da se uključe u EDP proces popunjavanjem veb upitnika, koji je bio otvoren od 25. </w:t>
      </w:r>
      <w:r>
        <w:t xml:space="preserve">juna </w:t>
      </w:r>
      <w:r w:rsidRPr="00813CAB">
        <w:t xml:space="preserve">2018. do 31. </w:t>
      </w:r>
      <w:r>
        <w:t xml:space="preserve">avgusta </w:t>
      </w:r>
      <w:r w:rsidRPr="00813CAB">
        <w:t xml:space="preserve">2018. </w:t>
      </w:r>
      <w:r w:rsidR="006C6E85">
        <w:t xml:space="preserve">godine </w:t>
      </w:r>
      <w:r w:rsidRPr="00813CAB">
        <w:t xml:space="preserve">na </w:t>
      </w:r>
      <w:r w:rsidR="006C6E85">
        <w:t>zajedničkoj</w:t>
      </w:r>
      <w:r w:rsidRPr="00813CAB">
        <w:t xml:space="preserve"> platformi </w:t>
      </w:r>
      <w:r w:rsidR="006C6E85">
        <w:t xml:space="preserve">nacionalne </w:t>
      </w:r>
      <w:r w:rsidRPr="00813CAB">
        <w:t>e-uprave.</w:t>
      </w:r>
    </w:p>
    <w:p w14:paraId="27323DB5" w14:textId="1163DE6C" w:rsidR="00BD302D" w:rsidRPr="00593418" w:rsidRDefault="00BD302D" w:rsidP="00BD302D">
      <w:pPr>
        <w:jc w:val="both"/>
      </w:pPr>
      <w:r w:rsidRPr="00593418">
        <w:t>Završna konferencija S3.me - Pametna specijalizacija, inovacije, preduzetništvo i konkurentnost,</w:t>
      </w:r>
      <w:r w:rsidR="00C047DA" w:rsidRPr="00593418">
        <w:t xml:space="preserve"> </w:t>
      </w:r>
      <w:r w:rsidRPr="00593418">
        <w:t xml:space="preserve">održana je 18. septembra 2018. godine i na njoj su predstavljeni rezultati </w:t>
      </w:r>
      <w:r w:rsidR="002D6D0A">
        <w:t xml:space="preserve">intenzivnog rada u okviru </w:t>
      </w:r>
      <w:r w:rsidR="00961521">
        <w:t>P</w:t>
      </w:r>
      <w:r w:rsidRPr="00593418">
        <w:t xml:space="preserve">rocesa preduzetničkog otkrivanja. </w:t>
      </w:r>
      <w:r w:rsidR="002D6D0A">
        <w:t>I završna konferencija</w:t>
      </w:r>
      <w:r w:rsidRPr="00593418">
        <w:t xml:space="preserve"> je </w:t>
      </w:r>
      <w:r w:rsidR="002D6D0A">
        <w:t xml:space="preserve">bila dinamicna i na njoj je </w:t>
      </w:r>
      <w:r w:rsidRPr="00593418">
        <w:t xml:space="preserve">učestvovalo oko 150 učesnika iz </w:t>
      </w:r>
      <w:r w:rsidR="00E02330">
        <w:t xml:space="preserve">razlicitih </w:t>
      </w:r>
      <w:r w:rsidRPr="00593418">
        <w:t xml:space="preserve">sektora. </w:t>
      </w:r>
    </w:p>
    <w:p w14:paraId="4D76134F" w14:textId="799D25D8" w:rsidR="00BD302D" w:rsidRPr="00593418" w:rsidRDefault="00961521" w:rsidP="00BD302D">
      <w:pPr>
        <w:jc w:val="both"/>
      </w:pPr>
      <w:r>
        <w:t>P</w:t>
      </w:r>
      <w:r w:rsidR="00E02330">
        <w:t>roces</w:t>
      </w:r>
      <w:r w:rsidR="00BD302D" w:rsidRPr="00593418">
        <w:t xml:space="preserve"> preduzetničkog otkrivanja</w:t>
      </w:r>
      <w:r w:rsidR="00E02330">
        <w:t>, tokom kojeg je  učestvovalo</w:t>
      </w:r>
      <w:r w:rsidR="00BD302D" w:rsidRPr="00593418">
        <w:t xml:space="preserve"> </w:t>
      </w:r>
      <w:r w:rsidR="00F81AC8" w:rsidRPr="00593418">
        <w:t>skoro</w:t>
      </w:r>
      <w:r w:rsidR="00BD302D" w:rsidRPr="00593418">
        <w:t xml:space="preserve"> 300 predstavnika privrednog, javnog i </w:t>
      </w:r>
      <w:r w:rsidR="0044706D">
        <w:t>akademskog</w:t>
      </w:r>
      <w:r w:rsidR="0044706D" w:rsidRPr="00593418">
        <w:t xml:space="preserve"> </w:t>
      </w:r>
      <w:r w:rsidR="00BD302D" w:rsidRPr="00593418">
        <w:t>sektora</w:t>
      </w:r>
      <w:r w:rsidR="00E02330">
        <w:t xml:space="preserve"> (</w:t>
      </w:r>
      <w:r w:rsidR="00BD302D" w:rsidRPr="00593418">
        <w:t xml:space="preserve">od čega je </w:t>
      </w:r>
      <w:r w:rsidR="00254F5B" w:rsidRPr="00593418">
        <w:t>više od polovine</w:t>
      </w:r>
      <w:r w:rsidR="00BD302D" w:rsidRPr="00593418">
        <w:t xml:space="preserve"> iz privatnog sektora</w:t>
      </w:r>
      <w:r w:rsidR="00E02330">
        <w:t>),</w:t>
      </w:r>
      <w:r w:rsidR="00254F5B" w:rsidRPr="00593418">
        <w:t xml:space="preserve"> </w:t>
      </w:r>
      <w:r w:rsidR="00E02330">
        <w:t xml:space="preserve">je </w:t>
      </w:r>
      <w:r w:rsidR="00254F5B" w:rsidRPr="00593418">
        <w:t>putem otvorenog dija</w:t>
      </w:r>
      <w:r w:rsidR="00BD302D" w:rsidRPr="00593418">
        <w:t>loga doveo do identifikacije prioriteta i njihove sinergije na osnovu snaga i potencijala za istraživanje, razvoj i inovacije, s naglaskom na praktičnu primjenu i tržišnu or</w:t>
      </w:r>
      <w:r w:rsidR="00F81AC8" w:rsidRPr="00593418">
        <w:t>i</w:t>
      </w:r>
      <w:r w:rsidR="00BD302D" w:rsidRPr="00593418">
        <w:t>jentisanost.</w:t>
      </w:r>
    </w:p>
    <w:p w14:paraId="45CF8D46" w14:textId="7069C496" w:rsidR="00BD302D" w:rsidRPr="00593418" w:rsidRDefault="00254F5B" w:rsidP="00BD302D">
      <w:pPr>
        <w:jc w:val="both"/>
      </w:pPr>
      <w:r w:rsidRPr="00593418">
        <w:t xml:space="preserve">Imajući u vidu da je </w:t>
      </w:r>
      <w:r w:rsidR="00624C64">
        <w:t>P</w:t>
      </w:r>
      <w:r w:rsidRPr="00593418">
        <w:t>roces preduzetničkog otkrivanja kontinuiran</w:t>
      </w:r>
      <w:r w:rsidR="00F81AC8" w:rsidRPr="00593418">
        <w:t>,</w:t>
      </w:r>
      <w:r w:rsidRPr="00593418">
        <w:t xml:space="preserve"> </w:t>
      </w:r>
      <w:r w:rsidR="00BD302D" w:rsidRPr="00593418">
        <w:t xml:space="preserve">Ministarstvo nauke je nastavilo sa aktivnostima koje podržavaju ovaj </w:t>
      </w:r>
      <w:r w:rsidR="00624C64">
        <w:t>P</w:t>
      </w:r>
      <w:r w:rsidR="00BD302D" w:rsidRPr="00593418">
        <w:t>roces</w:t>
      </w:r>
      <w:r w:rsidR="0044706D">
        <w:t>. Zbog toga su u izradi Strategije iskorištene i informacije koje su sakupljene nakon završne konferencije S3.me</w:t>
      </w:r>
      <w:r w:rsidR="00BD302D" w:rsidRPr="00593418">
        <w:t xml:space="preserve"> </w:t>
      </w:r>
      <w:r w:rsidR="0044706D">
        <w:t xml:space="preserve">kroz aktivnosti koje predstavljaju dopunu i nastavak EDP-a. Ove aktivnosti se odnose na </w:t>
      </w:r>
      <w:r w:rsidR="00EE6AB7">
        <w:t>analizu</w:t>
      </w:r>
      <w:r w:rsidR="0044706D">
        <w:t xml:space="preserve"> podataka sakupljenih obrađivanjem prijava na </w:t>
      </w:r>
      <w:r w:rsidR="00BD302D" w:rsidRPr="00593418">
        <w:t xml:space="preserve">poziv </w:t>
      </w:r>
      <w:r w:rsidR="00EE6AB7">
        <w:t>M</w:t>
      </w:r>
      <w:r w:rsidR="0044706D">
        <w:t xml:space="preserve">inistarstva nauke </w:t>
      </w:r>
      <w:r w:rsidR="00BD302D" w:rsidRPr="00593418">
        <w:t xml:space="preserve">za </w:t>
      </w:r>
      <w:r w:rsidR="0044706D">
        <w:t xml:space="preserve">dodjelu grantova za </w:t>
      </w:r>
      <w:r w:rsidR="00BD302D" w:rsidRPr="00593418">
        <w:t>inovativne projekte</w:t>
      </w:r>
      <w:r w:rsidR="003A63A7">
        <w:t xml:space="preserve">  </w:t>
      </w:r>
      <w:r w:rsidR="00EE6AB7">
        <w:t xml:space="preserve">objavljen sredinom godine, a </w:t>
      </w:r>
      <w:r w:rsidR="003A63A7">
        <w:t xml:space="preserve">koji je upravo bio orjentisan na tematske prioritete definisane S3 strategijom. </w:t>
      </w:r>
      <w:r w:rsidR="00BD302D" w:rsidRPr="00593418">
        <w:t>Takođe</w:t>
      </w:r>
      <w:r w:rsidRPr="00593418">
        <w:t>,</w:t>
      </w:r>
      <w:r w:rsidR="00BD302D" w:rsidRPr="00593418">
        <w:t xml:space="preserve"> </w:t>
      </w:r>
      <w:r w:rsidR="0011193A">
        <w:t>12</w:t>
      </w:r>
      <w:r w:rsidR="008E3156">
        <w:t>.</w:t>
      </w:r>
      <w:r w:rsidR="00BD302D" w:rsidRPr="00593418">
        <w:t xml:space="preserve"> oktobra</w:t>
      </w:r>
      <w:r w:rsidR="0011193A">
        <w:t xml:space="preserve"> 2018. godine</w:t>
      </w:r>
      <w:r w:rsidR="00C162F4" w:rsidRPr="00593418">
        <w:t>,</w:t>
      </w:r>
      <w:r w:rsidR="00BD302D" w:rsidRPr="00593418">
        <w:t xml:space="preserve"> na tradicionalnoj manifestaciji </w:t>
      </w:r>
      <w:r w:rsidR="008E3156">
        <w:t>„</w:t>
      </w:r>
      <w:r w:rsidR="00BD302D" w:rsidRPr="00593418">
        <w:t>Otvoreni dani nauke</w:t>
      </w:r>
      <w:r w:rsidR="008E3156">
        <w:t>“</w:t>
      </w:r>
      <w:r w:rsidR="00BD302D" w:rsidRPr="00593418">
        <w:t xml:space="preserve"> organizovan</w:t>
      </w:r>
      <w:r w:rsidR="00952A15">
        <w:t>a</w:t>
      </w:r>
      <w:r w:rsidR="00BD302D" w:rsidRPr="00593418">
        <w:t xml:space="preserve"> je </w:t>
      </w:r>
      <w:r w:rsidR="00952A15">
        <w:t>„</w:t>
      </w:r>
      <w:r w:rsidR="00BD302D" w:rsidRPr="00593418">
        <w:t>Berza perspektivnih ideja za Crnu Goru</w:t>
      </w:r>
      <w:r w:rsidR="00952A15">
        <w:t>“</w:t>
      </w:r>
      <w:r w:rsidR="00BD302D" w:rsidRPr="00593418">
        <w:t xml:space="preserve"> </w:t>
      </w:r>
      <w:r w:rsidR="00952A15">
        <w:t xml:space="preserve">na </w:t>
      </w:r>
      <w:r w:rsidR="00BD302D" w:rsidRPr="00952A15">
        <w:t>kojo</w:t>
      </w:r>
      <w:r w:rsidR="00952A15">
        <w:t>j</w:t>
      </w:r>
      <w:r w:rsidR="00BD302D" w:rsidRPr="00593418">
        <w:t xml:space="preserve"> su identifikova</w:t>
      </w:r>
      <w:r w:rsidR="00C162F4" w:rsidRPr="00593418">
        <w:t>n</w:t>
      </w:r>
      <w:r w:rsidR="00BD302D" w:rsidRPr="00593418">
        <w:t>e perspektivne razvojne ideje bazirane na istraživanjima i inovacijama</w:t>
      </w:r>
      <w:r w:rsidR="003B553E">
        <w:t>.</w:t>
      </w:r>
      <w:r w:rsidR="0044706D">
        <w:t xml:space="preserve"> </w:t>
      </w:r>
    </w:p>
    <w:p w14:paraId="2DAD90B6" w14:textId="24A7A781" w:rsidR="00E759AC" w:rsidRPr="00593418" w:rsidRDefault="00EE6AB7" w:rsidP="00C1410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Pored navedenog, </w:t>
      </w:r>
      <w:r w:rsidR="00C14108" w:rsidRPr="00593418">
        <w:rPr>
          <w:rFonts w:asciiTheme="minorHAnsi" w:hAnsiTheme="minorHAnsi"/>
        </w:rPr>
        <w:t>Strategija pametne specijalizacije Crne Gore zasnovana je na državnim strateškim dokumentima</w:t>
      </w:r>
      <w:r w:rsidR="00D05DE3" w:rsidRPr="00593418">
        <w:rPr>
          <w:rFonts w:asciiTheme="minorHAnsi" w:hAnsiTheme="minorHAnsi"/>
        </w:rPr>
        <w:t>.</w:t>
      </w:r>
      <w:r w:rsidR="002004BC" w:rsidRPr="00593418">
        <w:rPr>
          <w:rFonts w:asciiTheme="minorHAnsi" w:hAnsiTheme="minorHAnsi"/>
        </w:rPr>
        <w:t xml:space="preserve"> </w:t>
      </w:r>
      <w:r w:rsidR="00C162F4" w:rsidRPr="00593418">
        <w:rPr>
          <w:rFonts w:asciiTheme="minorHAnsi" w:hAnsiTheme="minorHAnsi"/>
        </w:rPr>
        <w:t>Tokom</w:t>
      </w:r>
      <w:r w:rsidR="002004BC" w:rsidRPr="00593418">
        <w:rPr>
          <w:rFonts w:asciiTheme="minorHAnsi" w:hAnsiTheme="minorHAnsi"/>
        </w:rPr>
        <w:t xml:space="preserve"> </w:t>
      </w:r>
      <w:r w:rsidR="00C162F4" w:rsidRPr="00593418">
        <w:rPr>
          <w:rFonts w:asciiTheme="minorHAnsi" w:hAnsiTheme="minorHAnsi"/>
        </w:rPr>
        <w:t xml:space="preserve">njene </w:t>
      </w:r>
      <w:r w:rsidR="002004BC" w:rsidRPr="00593418">
        <w:rPr>
          <w:rFonts w:asciiTheme="minorHAnsi" w:hAnsiTheme="minorHAnsi"/>
        </w:rPr>
        <w:t xml:space="preserve">izrade konsultovana su i relevantna </w:t>
      </w:r>
      <w:r w:rsidR="00C14108" w:rsidRPr="00593418">
        <w:rPr>
          <w:rFonts w:asciiTheme="minorHAnsi" w:hAnsiTheme="minorHAnsi"/>
        </w:rPr>
        <w:t>EU dokument</w:t>
      </w:r>
      <w:r w:rsidR="002004BC" w:rsidRPr="00593418">
        <w:rPr>
          <w:rFonts w:asciiTheme="minorHAnsi" w:hAnsiTheme="minorHAnsi"/>
        </w:rPr>
        <w:t>a koja se bave pomenutom pr</w:t>
      </w:r>
      <w:r w:rsidR="00C047DA" w:rsidRPr="00593418">
        <w:rPr>
          <w:rFonts w:asciiTheme="minorHAnsi" w:hAnsiTheme="minorHAnsi"/>
        </w:rPr>
        <w:t>oblematikom</w:t>
      </w:r>
      <w:r>
        <w:rPr>
          <w:rFonts w:asciiTheme="minorHAnsi" w:hAnsiTheme="minorHAnsi"/>
        </w:rPr>
        <w:t>, a</w:t>
      </w:r>
      <w:r w:rsidR="00C047DA" w:rsidRPr="00593418">
        <w:rPr>
          <w:rFonts w:asciiTheme="minorHAnsi" w:hAnsiTheme="minorHAnsi"/>
        </w:rPr>
        <w:t xml:space="preserve">  primijenjena je </w:t>
      </w:r>
      <w:r w:rsidR="002004BC" w:rsidRPr="00593418">
        <w:rPr>
          <w:rFonts w:asciiTheme="minorHAnsi" w:hAnsiTheme="minorHAnsi"/>
        </w:rPr>
        <w:t>metodologija</w:t>
      </w:r>
      <w:r w:rsidR="00C14108" w:rsidRPr="00593418">
        <w:rPr>
          <w:rFonts w:asciiTheme="minorHAnsi" w:hAnsiTheme="minorHAnsi"/>
        </w:rPr>
        <w:t xml:space="preserve"> </w:t>
      </w:r>
      <w:r w:rsidR="002004BC" w:rsidRPr="00593418">
        <w:rPr>
          <w:rFonts w:asciiTheme="minorHAnsi" w:hAnsiTheme="minorHAnsi"/>
        </w:rPr>
        <w:t>JRC</w:t>
      </w:r>
      <w:r w:rsidR="00624C64">
        <w:rPr>
          <w:rFonts w:asciiTheme="minorHAnsi" w:hAnsiTheme="minorHAnsi"/>
        </w:rPr>
        <w:t>-a</w:t>
      </w:r>
      <w:r w:rsidR="002004BC" w:rsidRPr="00593418">
        <w:rPr>
          <w:rFonts w:asciiTheme="minorHAnsi" w:hAnsiTheme="minorHAnsi"/>
        </w:rPr>
        <w:t xml:space="preserve">. </w:t>
      </w:r>
    </w:p>
    <w:p w14:paraId="4FB14C54" w14:textId="6ABF18CC" w:rsidR="00C14108" w:rsidRPr="00593418" w:rsidRDefault="0009447F" w:rsidP="00C14108">
      <w:pPr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Koristeći referentnu evropsku metodologiju izrade </w:t>
      </w:r>
      <w:r w:rsidR="00A02200">
        <w:rPr>
          <w:rFonts w:asciiTheme="minorHAnsi" w:hAnsiTheme="minorHAnsi"/>
        </w:rPr>
        <w:t>S3</w:t>
      </w:r>
      <w:r w:rsidR="00CF4241">
        <w:rPr>
          <w:rFonts w:asciiTheme="minorHAnsi" w:hAnsiTheme="minorHAnsi"/>
        </w:rPr>
        <w:t>,</w:t>
      </w:r>
      <w:r w:rsidRPr="00593418">
        <w:rPr>
          <w:rFonts w:asciiTheme="minorHAnsi" w:hAnsiTheme="minorHAnsi"/>
        </w:rPr>
        <w:t xml:space="preserve"> </w:t>
      </w:r>
      <w:r w:rsidR="002004BC" w:rsidRPr="00593418">
        <w:rPr>
          <w:rFonts w:asciiTheme="minorHAnsi" w:hAnsiTheme="minorHAnsi"/>
        </w:rPr>
        <w:t>uz aktivno učešće velikog broja aktera iz</w:t>
      </w:r>
      <w:r w:rsidR="00B242CC">
        <w:rPr>
          <w:rFonts w:asciiTheme="minorHAnsi" w:hAnsiTheme="minorHAnsi"/>
        </w:rPr>
        <w:t xml:space="preserve"> p</w:t>
      </w:r>
      <w:r w:rsidR="00EE6AB7">
        <w:rPr>
          <w:rFonts w:asciiTheme="minorHAnsi" w:hAnsiTheme="minorHAnsi"/>
        </w:rPr>
        <w:t>rivredn</w:t>
      </w:r>
      <w:r w:rsidR="00B242CC">
        <w:rPr>
          <w:rFonts w:asciiTheme="minorHAnsi" w:hAnsiTheme="minorHAnsi"/>
        </w:rPr>
        <w:t>o</w:t>
      </w:r>
      <w:r w:rsidR="00EE6AB7">
        <w:rPr>
          <w:rFonts w:asciiTheme="minorHAnsi" w:hAnsiTheme="minorHAnsi"/>
        </w:rPr>
        <w:t xml:space="preserve">g, </w:t>
      </w:r>
      <w:r w:rsidR="002004BC" w:rsidRPr="00593418">
        <w:rPr>
          <w:rFonts w:asciiTheme="minorHAnsi" w:hAnsiTheme="minorHAnsi"/>
        </w:rPr>
        <w:t xml:space="preserve">javnog, akademskog i </w:t>
      </w:r>
      <w:r w:rsidR="00EE6AB7">
        <w:rPr>
          <w:rFonts w:asciiTheme="minorHAnsi" w:hAnsiTheme="minorHAnsi"/>
        </w:rPr>
        <w:t>civilnog</w:t>
      </w:r>
      <w:r w:rsidR="00EE6AB7" w:rsidRPr="00593418">
        <w:rPr>
          <w:rFonts w:asciiTheme="minorHAnsi" w:hAnsiTheme="minorHAnsi"/>
        </w:rPr>
        <w:t xml:space="preserve"> </w:t>
      </w:r>
      <w:r w:rsidR="002004BC" w:rsidRPr="00593418">
        <w:rPr>
          <w:rFonts w:asciiTheme="minorHAnsi" w:hAnsiTheme="minorHAnsi"/>
        </w:rPr>
        <w:t>sektora</w:t>
      </w:r>
      <w:r w:rsidR="00C162F4" w:rsidRPr="00593418">
        <w:rPr>
          <w:rFonts w:asciiTheme="minorHAnsi" w:hAnsiTheme="minorHAnsi"/>
        </w:rPr>
        <w:t>,</w:t>
      </w:r>
      <w:r w:rsidR="002004BC" w:rsidRPr="00593418">
        <w:rPr>
          <w:rFonts w:asciiTheme="minorHAnsi" w:hAnsiTheme="minorHAnsi"/>
        </w:rPr>
        <w:t xml:space="preserve"> definisani su ključni prioriteti</w:t>
      </w:r>
      <w:r w:rsidR="00D05DE3" w:rsidRPr="00593418">
        <w:rPr>
          <w:rFonts w:asciiTheme="minorHAnsi" w:hAnsiTheme="minorHAnsi"/>
        </w:rPr>
        <w:t xml:space="preserve"> </w:t>
      </w:r>
      <w:r w:rsidR="00877046">
        <w:rPr>
          <w:rFonts w:asciiTheme="minorHAnsi" w:hAnsiTheme="minorHAnsi"/>
        </w:rPr>
        <w:t>S</w:t>
      </w:r>
      <w:r w:rsidR="00D05DE3" w:rsidRPr="00593418">
        <w:rPr>
          <w:rFonts w:asciiTheme="minorHAnsi" w:hAnsiTheme="minorHAnsi"/>
        </w:rPr>
        <w:t>trategije</w:t>
      </w:r>
      <w:r w:rsidR="002004BC" w:rsidRPr="00593418">
        <w:rPr>
          <w:rFonts w:asciiTheme="minorHAnsi" w:hAnsiTheme="minorHAnsi"/>
        </w:rPr>
        <w:t xml:space="preserve"> i to:  </w:t>
      </w:r>
      <w:r w:rsidR="00C162F4" w:rsidRPr="00593418">
        <w:rPr>
          <w:rFonts w:asciiTheme="minorHAnsi" w:hAnsiTheme="minorHAnsi"/>
        </w:rPr>
        <w:t>o</w:t>
      </w:r>
      <w:r w:rsidR="00C14108" w:rsidRPr="00593418">
        <w:rPr>
          <w:rFonts w:asciiTheme="minorHAnsi" w:hAnsiTheme="minorHAnsi"/>
        </w:rPr>
        <w:t xml:space="preserve">drživa poljoprivreda i lanac vrijednosti hrane; </w:t>
      </w:r>
      <w:r w:rsidR="00C162F4" w:rsidRPr="00593418">
        <w:rPr>
          <w:rFonts w:asciiTheme="minorHAnsi" w:hAnsiTheme="minorHAnsi"/>
        </w:rPr>
        <w:t>o</w:t>
      </w:r>
      <w:r w:rsidR="00C14108" w:rsidRPr="00593418">
        <w:rPr>
          <w:rFonts w:asciiTheme="minorHAnsi" w:hAnsiTheme="minorHAnsi"/>
        </w:rPr>
        <w:t>bnovljivi izvori energije</w:t>
      </w:r>
      <w:r w:rsidR="00211CEA">
        <w:rPr>
          <w:rFonts w:asciiTheme="minorHAnsi" w:hAnsiTheme="minorHAnsi"/>
        </w:rPr>
        <w:t xml:space="preserve"> i energetska efikasnost</w:t>
      </w:r>
      <w:r w:rsidR="00C14108" w:rsidRPr="00593418">
        <w:rPr>
          <w:rFonts w:asciiTheme="minorHAnsi" w:hAnsiTheme="minorHAnsi"/>
        </w:rPr>
        <w:t xml:space="preserve">; </w:t>
      </w:r>
      <w:r w:rsidR="00C162F4" w:rsidRPr="00593418">
        <w:rPr>
          <w:rFonts w:asciiTheme="minorHAnsi" w:hAnsiTheme="minorHAnsi"/>
        </w:rPr>
        <w:t>n</w:t>
      </w:r>
      <w:r w:rsidR="00C14108" w:rsidRPr="00593418">
        <w:rPr>
          <w:rFonts w:asciiTheme="minorHAnsi" w:hAnsiTheme="minorHAnsi"/>
        </w:rPr>
        <w:t>ovi materijali i održive tehnologije</w:t>
      </w:r>
      <w:r w:rsidR="003A63A7">
        <w:rPr>
          <w:rFonts w:asciiTheme="minorHAnsi" w:hAnsiTheme="minorHAnsi"/>
        </w:rPr>
        <w:t>,</w:t>
      </w:r>
      <w:r w:rsidR="00FE6F00" w:rsidRPr="00593418">
        <w:rPr>
          <w:rFonts w:asciiTheme="minorHAnsi" w:hAnsiTheme="minorHAnsi"/>
        </w:rPr>
        <w:t xml:space="preserve"> </w:t>
      </w:r>
      <w:r w:rsidR="00C162F4" w:rsidRPr="00593418">
        <w:rPr>
          <w:rFonts w:asciiTheme="minorHAnsi" w:hAnsiTheme="minorHAnsi"/>
        </w:rPr>
        <w:t>o</w:t>
      </w:r>
      <w:r w:rsidR="00FE6F00" w:rsidRPr="00593418">
        <w:rPr>
          <w:rFonts w:asciiTheme="minorHAnsi" w:hAnsiTheme="minorHAnsi"/>
        </w:rPr>
        <w:t>drživi i zdravstveni turizam</w:t>
      </w:r>
      <w:r w:rsidR="003A63A7">
        <w:rPr>
          <w:rFonts w:asciiTheme="minorHAnsi" w:hAnsiTheme="minorHAnsi"/>
        </w:rPr>
        <w:t xml:space="preserve"> </w:t>
      </w:r>
      <w:r w:rsidR="00EE6AB7">
        <w:rPr>
          <w:rFonts w:asciiTheme="minorHAnsi" w:hAnsiTheme="minorHAnsi"/>
        </w:rPr>
        <w:t>kao vertikalni prioriteti</w:t>
      </w:r>
      <w:r w:rsidR="003A63A7">
        <w:rPr>
          <w:rFonts w:asciiTheme="minorHAnsi" w:hAnsiTheme="minorHAnsi"/>
        </w:rPr>
        <w:t>,</w:t>
      </w:r>
      <w:r w:rsidR="00EE6AB7">
        <w:rPr>
          <w:rFonts w:asciiTheme="minorHAnsi" w:hAnsiTheme="minorHAnsi"/>
        </w:rPr>
        <w:t xml:space="preserve"> </w:t>
      </w:r>
      <w:r w:rsidR="00C14108" w:rsidRPr="00593418">
        <w:rPr>
          <w:rFonts w:asciiTheme="minorHAnsi" w:hAnsiTheme="minorHAnsi"/>
        </w:rPr>
        <w:t xml:space="preserve">i </w:t>
      </w:r>
      <w:r w:rsidR="00C162F4" w:rsidRPr="00593418">
        <w:rPr>
          <w:rFonts w:asciiTheme="minorHAnsi" w:hAnsiTheme="minorHAnsi"/>
        </w:rPr>
        <w:t>i</w:t>
      </w:r>
      <w:r w:rsidRPr="00593418">
        <w:rPr>
          <w:rFonts w:asciiTheme="minorHAnsi" w:hAnsiTheme="minorHAnsi"/>
        </w:rPr>
        <w:t>nformaciono</w:t>
      </w:r>
      <w:r w:rsidR="00C162F4" w:rsidRPr="00593418">
        <w:rPr>
          <w:rFonts w:asciiTheme="minorHAnsi" w:hAnsiTheme="minorHAnsi"/>
        </w:rPr>
        <w:t>-k</w:t>
      </w:r>
      <w:r w:rsidRPr="00593418">
        <w:rPr>
          <w:rFonts w:asciiTheme="minorHAnsi" w:hAnsiTheme="minorHAnsi"/>
        </w:rPr>
        <w:t xml:space="preserve">omunikacione </w:t>
      </w:r>
      <w:r w:rsidR="00C162F4" w:rsidRPr="00593418">
        <w:rPr>
          <w:rFonts w:asciiTheme="minorHAnsi" w:hAnsiTheme="minorHAnsi"/>
        </w:rPr>
        <w:t>t</w:t>
      </w:r>
      <w:r w:rsidRPr="00593418">
        <w:rPr>
          <w:rFonts w:asciiTheme="minorHAnsi" w:hAnsiTheme="minorHAnsi"/>
        </w:rPr>
        <w:t>ehnologije (ICT)</w:t>
      </w:r>
      <w:r w:rsidR="00C14108" w:rsidRPr="00593418">
        <w:rPr>
          <w:rFonts w:asciiTheme="minorHAnsi" w:hAnsiTheme="minorHAnsi"/>
        </w:rPr>
        <w:t xml:space="preserve"> kao horizontalni prioritet. </w:t>
      </w:r>
    </w:p>
    <w:p w14:paraId="72A59D71" w14:textId="72CE89BF" w:rsidR="00E759AC" w:rsidRPr="00593418" w:rsidRDefault="00E759AC" w:rsidP="00E759AC">
      <w:pPr>
        <w:jc w:val="both"/>
      </w:pPr>
      <w:r w:rsidRPr="00593418">
        <w:t>Prije finalnog usvajanja</w:t>
      </w:r>
      <w:r w:rsidR="00C162F4" w:rsidRPr="00593418">
        <w:t>,</w:t>
      </w:r>
      <w:r w:rsidRPr="00593418">
        <w:t xml:space="preserve"> </w:t>
      </w:r>
      <w:r w:rsidR="00AB2AD9">
        <w:t>S</w:t>
      </w:r>
      <w:r w:rsidRPr="00593418">
        <w:t xml:space="preserve">trategija </w:t>
      </w:r>
      <w:r w:rsidR="00B242CC">
        <w:t>j</w:t>
      </w:r>
      <w:r w:rsidRPr="00593418">
        <w:t>e postavlj</w:t>
      </w:r>
      <w:r w:rsidR="00B242CC">
        <w:t>ena</w:t>
      </w:r>
      <w:r w:rsidRPr="00593418">
        <w:t xml:space="preserve"> na veb portal Ministarstva nauke na javnu raspravu, ka</w:t>
      </w:r>
      <w:r w:rsidR="00AB2AD9">
        <w:t>ko bi</w:t>
      </w:r>
      <w:r w:rsidRPr="00593418">
        <w:t xml:space="preserve"> svi zainteresovani ima</w:t>
      </w:r>
      <w:r w:rsidR="00AB2AD9">
        <w:t>li</w:t>
      </w:r>
      <w:r w:rsidRPr="00593418">
        <w:t xml:space="preserve"> </w:t>
      </w:r>
      <w:r w:rsidR="00EE6AB7">
        <w:t xml:space="preserve">još jednu </w:t>
      </w:r>
      <w:r w:rsidRPr="00593418">
        <w:t>priliku da daju svoje p</w:t>
      </w:r>
      <w:r w:rsidR="00C162F4" w:rsidRPr="00593418">
        <w:t>reporuke i prijedloge za unapr</w:t>
      </w:r>
      <w:r w:rsidR="00AB2AD9">
        <w:t>ij</w:t>
      </w:r>
      <w:r w:rsidRPr="00593418">
        <w:t xml:space="preserve">eđenje </w:t>
      </w:r>
      <w:r w:rsidR="00EE6AB7">
        <w:t xml:space="preserve">njenog </w:t>
      </w:r>
      <w:r w:rsidRPr="00593418">
        <w:t>teksta</w:t>
      </w:r>
      <w:r w:rsidR="00EE6AB7">
        <w:t xml:space="preserve"> i suštinskih pitanja. </w:t>
      </w:r>
    </w:p>
    <w:p w14:paraId="5695FF12" w14:textId="283ACF1F" w:rsidR="00E759AC" w:rsidRDefault="00EE6AB7" w:rsidP="00E759AC">
      <w:pPr>
        <w:jc w:val="both"/>
      </w:pPr>
      <w:r>
        <w:t xml:space="preserve">Nacionalno </w:t>
      </w:r>
      <w:r w:rsidR="00EF2027">
        <w:t xml:space="preserve">nezavisno </w:t>
      </w:r>
      <w:r>
        <w:t>konsultativno tijelo</w:t>
      </w:r>
      <w:r w:rsidR="003A63A7">
        <w:t>,</w:t>
      </w:r>
      <w:r>
        <w:t xml:space="preserve"> </w:t>
      </w:r>
      <w:r w:rsidR="00E759AC" w:rsidRPr="00593418">
        <w:t xml:space="preserve">Savjet za naučnoistraživačku djelatnost </w:t>
      </w:r>
      <w:r>
        <w:t>(Savjet NID)</w:t>
      </w:r>
      <w:r w:rsidR="003A63A7">
        <w:t>,</w:t>
      </w:r>
      <w:r>
        <w:t xml:space="preserve"> </w:t>
      </w:r>
      <w:r w:rsidR="00E759AC" w:rsidRPr="00593418">
        <w:t xml:space="preserve">je </w:t>
      </w:r>
      <w:r>
        <w:t>u</w:t>
      </w:r>
      <w:r w:rsidR="00E759AC" w:rsidRPr="00593418">
        <w:t xml:space="preserve"> proces</w:t>
      </w:r>
      <w:r w:rsidR="00C162F4" w:rsidRPr="00593418">
        <w:t>u</w:t>
      </w:r>
      <w:r w:rsidR="00E759AC" w:rsidRPr="00593418">
        <w:t xml:space="preserve"> izrade </w:t>
      </w:r>
      <w:r w:rsidR="00AB2AD9">
        <w:t>S</w:t>
      </w:r>
      <w:r w:rsidR="00E759AC" w:rsidRPr="00593418">
        <w:t>trategije</w:t>
      </w:r>
      <w:r>
        <w:t xml:space="preserve"> </w:t>
      </w:r>
      <w:r w:rsidR="00E759AC" w:rsidRPr="00593418">
        <w:t>putem periodičnih izvještaja i prezentacija</w:t>
      </w:r>
      <w:r>
        <w:t xml:space="preserve"> upoznat sa dinamikom </w:t>
      </w:r>
      <w:r w:rsidR="00B242CC">
        <w:t>napredovanja</w:t>
      </w:r>
      <w:r>
        <w:t xml:space="preserve"> i sadržinom iste</w:t>
      </w:r>
      <w:r w:rsidR="00E759AC" w:rsidRPr="00593418">
        <w:t>. Na kraju procesa</w:t>
      </w:r>
      <w:r w:rsidR="00C162F4" w:rsidRPr="00593418">
        <w:t>,</w:t>
      </w:r>
      <w:r w:rsidR="00E759AC" w:rsidRPr="00593418">
        <w:t xml:space="preserve"> </w:t>
      </w:r>
      <w:r>
        <w:t xml:space="preserve">tj. nakon završene javne rasprave i unapređenja teksta Strategije na osnovu njenih preporuka, </w:t>
      </w:r>
      <w:r w:rsidR="00E759AC" w:rsidRPr="00593418">
        <w:t xml:space="preserve">Savjet </w:t>
      </w:r>
      <w:r>
        <w:t xml:space="preserve">NID </w:t>
      </w:r>
      <w:r w:rsidR="008D6674">
        <w:t>daje saglasnost na tekst Strategije</w:t>
      </w:r>
      <w:r w:rsidR="00E759AC" w:rsidRPr="00593418">
        <w:t xml:space="preserve"> Ministarstvu nauke koje je</w:t>
      </w:r>
      <w:r w:rsidR="00AB2AD9">
        <w:t>,</w:t>
      </w:r>
      <w:r w:rsidR="00E759AC" w:rsidRPr="00593418">
        <w:t xml:space="preserve"> nakon toga</w:t>
      </w:r>
      <w:r w:rsidR="00AB2AD9">
        <w:t>,</w:t>
      </w:r>
      <w:r w:rsidR="00E759AC" w:rsidRPr="00593418">
        <w:t xml:space="preserve"> predlaže</w:t>
      </w:r>
      <w:r w:rsidR="00C162F4" w:rsidRPr="00593418">
        <w:t xml:space="preserve"> </w:t>
      </w:r>
      <w:r w:rsidR="00E759AC" w:rsidRPr="00593418">
        <w:t>Vladi Crne Gore za usvajanje.</w:t>
      </w:r>
    </w:p>
    <w:p w14:paraId="5C1DE29F" w14:textId="41D787F6" w:rsidR="00FD39C0" w:rsidRDefault="00EF2027" w:rsidP="00E759AC">
      <w:pPr>
        <w:jc w:val="both"/>
      </w:pPr>
      <w:r>
        <w:t>Nakon usvajanja Strategije pamente specijalizacije sva radna tijela</w:t>
      </w:r>
      <w:r w:rsidR="003A63A7">
        <w:t>,</w:t>
      </w:r>
      <w:r>
        <w:t xml:space="preserve"> konstituisana u toku njene izrade ili uključena u istu</w:t>
      </w:r>
      <w:r w:rsidR="003A63A7">
        <w:t>,</w:t>
      </w:r>
      <w:r>
        <w:t xml:space="preserve"> nastavljaju sa radom u vidu periodičnog angažovanja radi praćenja i sprovođenja implementacije i  ažuriranja procesa preduzetničkog otkrivanja. </w:t>
      </w:r>
    </w:p>
    <w:p w14:paraId="0487D205" w14:textId="77777777" w:rsidR="00A327C7" w:rsidRDefault="00A327C7" w:rsidP="00E759AC">
      <w:pPr>
        <w:jc w:val="both"/>
      </w:pPr>
    </w:p>
    <w:p w14:paraId="120D1F4F" w14:textId="1D3FE3D4" w:rsidR="007125FF" w:rsidRPr="00A327C7" w:rsidRDefault="001F072B" w:rsidP="00A327C7">
      <w:pPr>
        <w:pStyle w:val="Heading2"/>
      </w:pPr>
      <w:bookmarkStart w:id="8" w:name="_Toc529890083"/>
      <w:bookmarkStart w:id="9" w:name="_Toc530143278"/>
      <w:r w:rsidRPr="00A327C7">
        <w:t>II 2. Upravljačka struktura</w:t>
      </w:r>
      <w:bookmarkEnd w:id="8"/>
      <w:bookmarkEnd w:id="9"/>
    </w:p>
    <w:p w14:paraId="3713EB25" w14:textId="77777777" w:rsidR="00FD39C0" w:rsidRPr="00FD39C0" w:rsidRDefault="00FD39C0" w:rsidP="00FD39C0">
      <w:pPr>
        <w:rPr>
          <w:lang w:eastAsia="en-GB"/>
        </w:rPr>
      </w:pPr>
    </w:p>
    <w:p w14:paraId="48239BC1" w14:textId="7F133DAD" w:rsidR="00253B54" w:rsidRPr="00593418" w:rsidRDefault="00253B54" w:rsidP="00883439">
      <w:pPr>
        <w:pStyle w:val="NoSpacing"/>
        <w:jc w:val="both"/>
        <w:rPr>
          <w:rFonts w:cs="Calibri"/>
          <w:bCs/>
        </w:rPr>
      </w:pPr>
      <w:r w:rsidRPr="00593418">
        <w:rPr>
          <w:rFonts w:cs="Calibri"/>
          <w:bCs/>
        </w:rPr>
        <w:t xml:space="preserve">Osnovna organizaciona šema </w:t>
      </w:r>
      <w:r w:rsidR="00E7576B">
        <w:rPr>
          <w:rFonts w:cs="Calibri"/>
          <w:bCs/>
        </w:rPr>
        <w:t xml:space="preserve">upravljanja </w:t>
      </w:r>
      <w:r w:rsidRPr="00593418">
        <w:rPr>
          <w:rFonts w:cs="Calibri"/>
          <w:bCs/>
        </w:rPr>
        <w:t>crnogorsk</w:t>
      </w:r>
      <w:r w:rsidR="00E7576B">
        <w:rPr>
          <w:rFonts w:cs="Calibri"/>
          <w:bCs/>
        </w:rPr>
        <w:t>im</w:t>
      </w:r>
      <w:r w:rsidRPr="00593418">
        <w:rPr>
          <w:rFonts w:cs="Calibri"/>
          <w:bCs/>
        </w:rPr>
        <w:t xml:space="preserve"> istraživačk</w:t>
      </w:r>
      <w:r w:rsidR="00E7576B">
        <w:rPr>
          <w:rFonts w:cs="Calibri"/>
          <w:bCs/>
        </w:rPr>
        <w:t>im</w:t>
      </w:r>
      <w:r w:rsidRPr="00593418">
        <w:rPr>
          <w:rFonts w:cs="Calibri"/>
          <w:bCs/>
        </w:rPr>
        <w:t xml:space="preserve"> i inova</w:t>
      </w:r>
      <w:r w:rsidR="00E7576B">
        <w:rPr>
          <w:rFonts w:cs="Calibri"/>
          <w:bCs/>
        </w:rPr>
        <w:t xml:space="preserve">tivnim </w:t>
      </w:r>
      <w:r w:rsidRPr="00593418">
        <w:rPr>
          <w:rFonts w:cs="Calibri"/>
          <w:bCs/>
        </w:rPr>
        <w:t>sistem</w:t>
      </w:r>
      <w:r w:rsidR="00E7576B">
        <w:rPr>
          <w:rFonts w:cs="Calibri"/>
          <w:bCs/>
        </w:rPr>
        <w:t>om</w:t>
      </w:r>
      <w:r w:rsidRPr="00593418">
        <w:rPr>
          <w:rFonts w:cs="Calibri"/>
          <w:bCs/>
        </w:rPr>
        <w:t xml:space="preserve"> se nije </w:t>
      </w:r>
      <w:r w:rsidR="00C047DA" w:rsidRPr="00593418">
        <w:rPr>
          <w:rFonts w:cs="Calibri"/>
          <w:bCs/>
        </w:rPr>
        <w:t xml:space="preserve">značajno </w:t>
      </w:r>
      <w:r w:rsidRPr="00593418">
        <w:rPr>
          <w:rFonts w:cs="Calibri"/>
          <w:bCs/>
        </w:rPr>
        <w:t>mijenjala</w:t>
      </w:r>
      <w:r w:rsidR="00B44B68" w:rsidRPr="00593418">
        <w:rPr>
          <w:rFonts w:cs="Calibri"/>
          <w:bCs/>
        </w:rPr>
        <w:t>,</w:t>
      </w:r>
      <w:r w:rsidRPr="00593418">
        <w:rPr>
          <w:rFonts w:cs="Calibri"/>
          <w:bCs/>
        </w:rPr>
        <w:t xml:space="preserve"> </w:t>
      </w:r>
      <w:r w:rsidR="00B44B68" w:rsidRPr="00593418">
        <w:rPr>
          <w:rFonts w:cs="Calibri"/>
          <w:bCs/>
        </w:rPr>
        <w:t>ali</w:t>
      </w:r>
      <w:r w:rsidRPr="00593418">
        <w:rPr>
          <w:rFonts w:cs="Calibri"/>
          <w:bCs/>
        </w:rPr>
        <w:t xml:space="preserve"> je aktivnost istraživača i preduzetnika pojačana </w:t>
      </w:r>
      <w:r w:rsidR="00B44B68" w:rsidRPr="00593418">
        <w:rPr>
          <w:rFonts w:cs="Calibri"/>
          <w:bCs/>
        </w:rPr>
        <w:t>u posljednjih nekoliko</w:t>
      </w:r>
      <w:r w:rsidRPr="00593418">
        <w:rPr>
          <w:rFonts w:cs="Calibri"/>
          <w:bCs/>
        </w:rPr>
        <w:t xml:space="preserve"> godina zbog inte</w:t>
      </w:r>
      <w:r w:rsidR="00B44B68" w:rsidRPr="00593418">
        <w:rPr>
          <w:rFonts w:cs="Calibri"/>
          <w:bCs/>
        </w:rPr>
        <w:t>n</w:t>
      </w:r>
      <w:r w:rsidRPr="00593418">
        <w:rPr>
          <w:rFonts w:cs="Calibri"/>
          <w:bCs/>
        </w:rPr>
        <w:t>zivnijeg procesa</w:t>
      </w:r>
      <w:r w:rsidR="00C047DA" w:rsidRPr="00593418">
        <w:rPr>
          <w:rFonts w:cs="Calibri"/>
          <w:bCs/>
        </w:rPr>
        <w:t xml:space="preserve"> evropskih integracija i dostupnosti</w:t>
      </w:r>
      <w:r w:rsidRPr="00593418">
        <w:rPr>
          <w:rFonts w:cs="Calibri"/>
          <w:bCs/>
        </w:rPr>
        <w:t xml:space="preserve"> evropskih fondova za istraživanje i inovacije</w:t>
      </w:r>
      <w:r w:rsidR="00B44B68" w:rsidRPr="00593418">
        <w:rPr>
          <w:rFonts w:cs="Calibri"/>
          <w:bCs/>
        </w:rPr>
        <w:t>,</w:t>
      </w:r>
      <w:r w:rsidRPr="00593418">
        <w:rPr>
          <w:rFonts w:cs="Calibri"/>
          <w:bCs/>
        </w:rPr>
        <w:t xml:space="preserve"> kao i investiranja u istraživačku i ino</w:t>
      </w:r>
      <w:r w:rsidR="00EF7CD2">
        <w:rPr>
          <w:rFonts w:cs="Calibri"/>
          <w:bCs/>
        </w:rPr>
        <w:t>vacion</w:t>
      </w:r>
      <w:r w:rsidRPr="00593418">
        <w:rPr>
          <w:rFonts w:cs="Calibri"/>
          <w:bCs/>
        </w:rPr>
        <w:t xml:space="preserve">u infrastrukturu na nacionalnom nivou. </w:t>
      </w:r>
    </w:p>
    <w:p w14:paraId="6BE90EBF" w14:textId="77777777" w:rsidR="00656A73" w:rsidRPr="00593418" w:rsidRDefault="00656A73" w:rsidP="00253B54">
      <w:pPr>
        <w:pStyle w:val="NoSpacing"/>
        <w:jc w:val="both"/>
        <w:rPr>
          <w:rFonts w:cs="Calibri"/>
          <w:bCs/>
        </w:rPr>
      </w:pPr>
    </w:p>
    <w:p w14:paraId="0499F5F3" w14:textId="62D0F1B6" w:rsidR="00253B54" w:rsidRPr="00593418" w:rsidRDefault="004906A4" w:rsidP="00133C0F">
      <w:pPr>
        <w:pStyle w:val="NoSpacing"/>
        <w:jc w:val="both"/>
        <w:rPr>
          <w:rFonts w:cs="Calibri"/>
          <w:bCs/>
        </w:rPr>
      </w:pPr>
      <w:r>
        <w:rPr>
          <w:rFonts w:cs="Calibri"/>
          <w:bCs/>
        </w:rPr>
        <w:t>Upravljanje s</w:t>
      </w:r>
      <w:r w:rsidR="00253B54" w:rsidRPr="00593418">
        <w:rPr>
          <w:rFonts w:cs="Calibri"/>
          <w:bCs/>
        </w:rPr>
        <w:t>istem</w:t>
      </w:r>
      <w:r>
        <w:rPr>
          <w:rFonts w:cs="Calibri"/>
          <w:bCs/>
        </w:rPr>
        <w:t>om</w:t>
      </w:r>
      <w:r w:rsidR="00253B54" w:rsidRPr="00593418">
        <w:rPr>
          <w:rFonts w:cs="Calibri"/>
          <w:bCs/>
        </w:rPr>
        <w:t xml:space="preserve"> istraživanja i inovacija je centralizovan</w:t>
      </w:r>
      <w:r>
        <w:rPr>
          <w:rFonts w:cs="Calibri"/>
          <w:bCs/>
        </w:rPr>
        <w:t>o</w:t>
      </w:r>
      <w:r w:rsidR="00253B54" w:rsidRPr="00593418">
        <w:rPr>
          <w:rFonts w:cs="Calibri"/>
          <w:bCs/>
        </w:rPr>
        <w:t xml:space="preserve"> i to na nacionalnom nivou</w:t>
      </w:r>
      <w:r w:rsidR="00B44B68" w:rsidRPr="00593418">
        <w:rPr>
          <w:rFonts w:cs="Calibri"/>
          <w:bCs/>
        </w:rPr>
        <w:t>,</w:t>
      </w:r>
      <w:r w:rsidR="00253B54" w:rsidRPr="00593418">
        <w:rPr>
          <w:rFonts w:cs="Calibri"/>
          <w:bCs/>
        </w:rPr>
        <w:t xml:space="preserve"> gdje glavnu ulogu igraju Skupština i Vlada.</w:t>
      </w:r>
      <w:r w:rsidR="00133C0F" w:rsidRPr="00593418">
        <w:rPr>
          <w:rFonts w:cs="Calibri"/>
          <w:bCs/>
        </w:rPr>
        <w:t xml:space="preserve"> </w:t>
      </w:r>
      <w:r w:rsidR="00D728F5">
        <w:rPr>
          <w:rFonts w:cs="Calibri"/>
          <w:bCs/>
        </w:rPr>
        <w:t>Skupština je</w:t>
      </w:r>
      <w:r w:rsidR="00D728F5" w:rsidRPr="00D728F5">
        <w:t xml:space="preserve"> </w:t>
      </w:r>
      <w:r w:rsidR="00D728F5">
        <w:rPr>
          <w:rFonts w:cs="Calibri"/>
          <w:bCs/>
        </w:rPr>
        <w:t>zakonodavni organ nadležan za usvajanje</w:t>
      </w:r>
      <w:r w:rsidR="00D728F5" w:rsidRPr="00D728F5">
        <w:rPr>
          <w:rFonts w:cs="Calibri"/>
          <w:bCs/>
        </w:rPr>
        <w:t xml:space="preserve"> zakona</w:t>
      </w:r>
      <w:r>
        <w:rPr>
          <w:rFonts w:cs="Calibri"/>
          <w:bCs/>
        </w:rPr>
        <w:t xml:space="preserve"> generalno, uključujući i zakone koji se odnose  na naučno-istraživačku i inovativnu djelantost</w:t>
      </w:r>
      <w:r w:rsidR="00D728F5" w:rsidRPr="00D728F5">
        <w:rPr>
          <w:rFonts w:cs="Calibri"/>
          <w:bCs/>
        </w:rPr>
        <w:t>, kao i za ratifikaciju međunarodnih ugovora o naučno-tehnološkoj saradnji.</w:t>
      </w:r>
      <w:r w:rsidR="00D728F5">
        <w:rPr>
          <w:rFonts w:cs="Calibri"/>
          <w:bCs/>
        </w:rPr>
        <w:t xml:space="preserve"> Skupštinski</w:t>
      </w:r>
      <w:r w:rsidR="00D728F5" w:rsidRPr="00593418">
        <w:rPr>
          <w:rFonts w:cs="Calibri"/>
          <w:bCs/>
        </w:rPr>
        <w:t xml:space="preserve"> Odbor za prosvjetu, nauku, kulturu i sport</w:t>
      </w:r>
      <w:r w:rsidR="00D728F5">
        <w:rPr>
          <w:rFonts w:cs="Calibri"/>
          <w:bCs/>
        </w:rPr>
        <w:t xml:space="preserve"> ima posebnu nadležnost</w:t>
      </w:r>
      <w:r w:rsidR="00D728F5" w:rsidRPr="00D728F5">
        <w:t xml:space="preserve"> </w:t>
      </w:r>
      <w:r w:rsidR="00D728F5" w:rsidRPr="00D728F5">
        <w:rPr>
          <w:rFonts w:cs="Calibri"/>
          <w:bCs/>
        </w:rPr>
        <w:t>za oblast inovacija</w:t>
      </w:r>
      <w:r w:rsidR="00D728F5">
        <w:rPr>
          <w:rFonts w:cs="Calibri"/>
          <w:bCs/>
        </w:rPr>
        <w:t xml:space="preserve"> </w:t>
      </w:r>
      <w:r w:rsidR="00C047DA" w:rsidRPr="00593418">
        <w:rPr>
          <w:rFonts w:cs="Calibri"/>
          <w:bCs/>
        </w:rPr>
        <w:t>(Slika 3</w:t>
      </w:r>
      <w:r w:rsidR="00253B54" w:rsidRPr="00593418">
        <w:rPr>
          <w:rFonts w:cs="Calibri"/>
          <w:bCs/>
        </w:rPr>
        <w:t>).</w:t>
      </w:r>
    </w:p>
    <w:p w14:paraId="77707AB5" w14:textId="77777777" w:rsidR="00133C0F" w:rsidRPr="00593418" w:rsidRDefault="00133C0F" w:rsidP="00133C0F">
      <w:pPr>
        <w:pStyle w:val="NoSpacing"/>
        <w:jc w:val="both"/>
        <w:rPr>
          <w:rFonts w:cs="Calibri"/>
          <w:bCs/>
        </w:rPr>
      </w:pPr>
    </w:p>
    <w:p w14:paraId="217D23ED" w14:textId="7626DC0A" w:rsidR="00253B54" w:rsidRPr="00593418" w:rsidRDefault="00B44B68" w:rsidP="00253B54">
      <w:pPr>
        <w:jc w:val="both"/>
        <w:rPr>
          <w:rFonts w:cs="Calibri"/>
          <w:bCs/>
          <w:sz w:val="24"/>
          <w:szCs w:val="24"/>
        </w:rPr>
      </w:pPr>
      <w:r w:rsidRPr="00593418">
        <w:rPr>
          <w:rFonts w:cs="Calibri"/>
          <w:bCs/>
        </w:rPr>
        <w:t>S</w:t>
      </w:r>
      <w:r w:rsidR="00253B54" w:rsidRPr="00593418">
        <w:rPr>
          <w:rFonts w:cs="Calibri"/>
          <w:bCs/>
        </w:rPr>
        <w:t xml:space="preserve"> druge strane Vlada Crne Gore, preko Ministarstva nauke,</w:t>
      </w:r>
      <w:r w:rsidR="00331A0B" w:rsidRPr="00331A0B">
        <w:t xml:space="preserve"> </w:t>
      </w:r>
      <w:r w:rsidR="004906A4">
        <w:t xml:space="preserve">kreira i </w:t>
      </w:r>
      <w:r w:rsidR="00331A0B" w:rsidRPr="00331A0B">
        <w:rPr>
          <w:rFonts w:cs="Calibri"/>
          <w:bCs/>
        </w:rPr>
        <w:t xml:space="preserve">sprovodi politiku istraživanja, razvoja i inovacija kroz nacionalne i međunarodne programe </w:t>
      </w:r>
      <w:r w:rsidR="004906A4">
        <w:rPr>
          <w:rFonts w:cs="Calibri"/>
          <w:bCs/>
        </w:rPr>
        <w:t>podrške ovim djelatnostima</w:t>
      </w:r>
      <w:r w:rsidR="00253B54" w:rsidRPr="00593418">
        <w:rPr>
          <w:rFonts w:cs="Calibri"/>
          <w:bCs/>
        </w:rPr>
        <w:t>. Savjet za naučnoistraživačku djelatnost</w:t>
      </w:r>
      <w:r w:rsidR="00331A0B">
        <w:rPr>
          <w:rFonts w:cs="Calibri"/>
          <w:bCs/>
        </w:rPr>
        <w:t xml:space="preserve"> </w:t>
      </w:r>
      <w:r w:rsidR="004906A4">
        <w:rPr>
          <w:rFonts w:cs="Calibri"/>
          <w:bCs/>
        </w:rPr>
        <w:t xml:space="preserve">konstituisan u okviru  Ministarstva nauke od strane nezavisnih predstavnika </w:t>
      </w:r>
      <w:r w:rsidR="00253B54" w:rsidRPr="00593418">
        <w:rPr>
          <w:rFonts w:cs="Calibri"/>
          <w:bCs/>
        </w:rPr>
        <w:t xml:space="preserve">akademskog </w:t>
      </w:r>
      <w:r w:rsidR="004906A4">
        <w:rPr>
          <w:rFonts w:cs="Calibri"/>
          <w:bCs/>
        </w:rPr>
        <w:t xml:space="preserve">i privrednog </w:t>
      </w:r>
      <w:r w:rsidR="00253B54" w:rsidRPr="00593418">
        <w:rPr>
          <w:rFonts w:cs="Calibri"/>
          <w:bCs/>
        </w:rPr>
        <w:t xml:space="preserve">sektora </w:t>
      </w:r>
      <w:r w:rsidR="00331A0B" w:rsidRPr="00331A0B">
        <w:rPr>
          <w:rFonts w:cs="Calibri"/>
          <w:bCs/>
        </w:rPr>
        <w:t>prati sprovođenje strategija i zakona u</w:t>
      </w:r>
      <w:r w:rsidR="00331A0B">
        <w:rPr>
          <w:rFonts w:cs="Calibri"/>
          <w:bCs/>
        </w:rPr>
        <w:t xml:space="preserve"> oblasti istraživanja</w:t>
      </w:r>
      <w:r w:rsidR="004906A4">
        <w:rPr>
          <w:rFonts w:cs="Calibri"/>
          <w:bCs/>
        </w:rPr>
        <w:t xml:space="preserve">, </w:t>
      </w:r>
      <w:r w:rsidR="00331A0B">
        <w:rPr>
          <w:rFonts w:cs="Calibri"/>
          <w:bCs/>
        </w:rPr>
        <w:t>razvoja i</w:t>
      </w:r>
      <w:r w:rsidR="00331A0B" w:rsidRPr="00331A0B">
        <w:rPr>
          <w:rFonts w:cs="Calibri"/>
          <w:bCs/>
        </w:rPr>
        <w:t xml:space="preserve"> </w:t>
      </w:r>
      <w:r w:rsidR="004906A4">
        <w:rPr>
          <w:rFonts w:cs="Calibri"/>
          <w:bCs/>
        </w:rPr>
        <w:t xml:space="preserve">inovacija i </w:t>
      </w:r>
      <w:r w:rsidR="00331A0B" w:rsidRPr="00331A0B">
        <w:rPr>
          <w:rFonts w:cs="Calibri"/>
          <w:bCs/>
        </w:rPr>
        <w:t>daje stručne prijedloge u pogledu unapređenja istraž</w:t>
      </w:r>
      <w:r w:rsidR="00331A0B">
        <w:rPr>
          <w:rFonts w:cs="Calibri"/>
          <w:bCs/>
        </w:rPr>
        <w:t xml:space="preserve">ivačke i inovativne </w:t>
      </w:r>
      <w:r w:rsidR="008B60DB">
        <w:rPr>
          <w:rFonts w:cs="Calibri"/>
          <w:bCs/>
        </w:rPr>
        <w:t>politike</w:t>
      </w:r>
      <w:r w:rsidR="00F17583" w:rsidRPr="00593418">
        <w:rPr>
          <w:rFonts w:cs="Calibri"/>
          <w:bCs/>
        </w:rPr>
        <w:t xml:space="preserve">. </w:t>
      </w:r>
      <w:r w:rsidR="00AD1F52">
        <w:rPr>
          <w:rFonts w:cs="Calibri"/>
          <w:bCs/>
        </w:rPr>
        <w:t xml:space="preserve">Međutim, iako se pripremne radnje povodom S3 i drugih strateških dokumenata realizuju od strane Ministarstva nauke i Savjeta NID, </w:t>
      </w:r>
      <w:r w:rsidR="00AD1F52" w:rsidRPr="00593418">
        <w:rPr>
          <w:rFonts w:cs="Calibri"/>
          <w:bCs/>
        </w:rPr>
        <w:t xml:space="preserve">Vlada </w:t>
      </w:r>
      <w:r w:rsidR="00AD1F52">
        <w:rPr>
          <w:rFonts w:cs="Calibri"/>
          <w:bCs/>
        </w:rPr>
        <w:t xml:space="preserve">direktno </w:t>
      </w:r>
      <w:r w:rsidR="00AD1F52" w:rsidRPr="00593418">
        <w:rPr>
          <w:rFonts w:cs="Calibri"/>
          <w:bCs/>
        </w:rPr>
        <w:t xml:space="preserve">usvaja </w:t>
      </w:r>
      <w:r w:rsidR="00AD1F52">
        <w:rPr>
          <w:rFonts w:cs="Calibri"/>
          <w:bCs/>
        </w:rPr>
        <w:t>S3</w:t>
      </w:r>
      <w:r w:rsidR="00AD1F52" w:rsidRPr="00593418">
        <w:rPr>
          <w:rFonts w:cs="Calibri"/>
          <w:bCs/>
        </w:rPr>
        <w:t xml:space="preserve">, određuje budžet za njenu </w:t>
      </w:r>
      <w:r w:rsidR="00AD1F52">
        <w:rPr>
          <w:rFonts w:cs="Calibri"/>
          <w:bCs/>
        </w:rPr>
        <w:lastRenderedPageBreak/>
        <w:t>implementaciju</w:t>
      </w:r>
      <w:r w:rsidR="00AD1F52" w:rsidRPr="00593418">
        <w:rPr>
          <w:rFonts w:cs="Calibri"/>
          <w:bCs/>
        </w:rPr>
        <w:t xml:space="preserve">, odobrava sastav </w:t>
      </w:r>
      <w:r w:rsidR="004D3AB0">
        <w:rPr>
          <w:rFonts w:cs="Calibri"/>
          <w:bCs/>
        </w:rPr>
        <w:t>Savjet</w:t>
      </w:r>
      <w:r w:rsidR="00A97A2D">
        <w:rPr>
          <w:rFonts w:cs="Calibri"/>
          <w:bCs/>
        </w:rPr>
        <w:t>a</w:t>
      </w:r>
      <w:r w:rsidR="004D3AB0">
        <w:rPr>
          <w:rFonts w:cs="Calibri"/>
          <w:bCs/>
        </w:rPr>
        <w:t xml:space="preserve"> za </w:t>
      </w:r>
      <w:r w:rsidR="00A97A2D">
        <w:rPr>
          <w:rFonts w:cs="Calibri"/>
          <w:bCs/>
        </w:rPr>
        <w:t>pametnu specijalizaciju</w:t>
      </w:r>
      <w:r w:rsidR="00AD1F52" w:rsidRPr="00593418">
        <w:rPr>
          <w:rFonts w:cs="Calibri"/>
          <w:bCs/>
        </w:rPr>
        <w:t xml:space="preserve"> i </w:t>
      </w:r>
      <w:r w:rsidR="004D4DA4">
        <w:rPr>
          <w:rFonts w:cs="Calibri"/>
          <w:bCs/>
        </w:rPr>
        <w:t>Nacionalne kancelarije</w:t>
      </w:r>
      <w:r w:rsidR="00A97A2D">
        <w:rPr>
          <w:rFonts w:cs="Calibri"/>
          <w:bCs/>
        </w:rPr>
        <w:t xml:space="preserve"> za pametnu specijalizaciju</w:t>
      </w:r>
      <w:r w:rsidR="004D4DA4">
        <w:rPr>
          <w:rFonts w:cs="Calibri"/>
          <w:bCs/>
        </w:rPr>
        <w:t>.</w:t>
      </w:r>
    </w:p>
    <w:p w14:paraId="485BD503" w14:textId="0F67C866" w:rsidR="00622634" w:rsidRDefault="00622634" w:rsidP="00622634">
      <w:pPr>
        <w:spacing w:after="120" w:line="240" w:lineRule="auto"/>
        <w:jc w:val="both"/>
        <w:rPr>
          <w:rFonts w:cs="Calibri"/>
          <w:bCs/>
        </w:rPr>
      </w:pPr>
      <w:r w:rsidRPr="00303B58">
        <w:rPr>
          <w:rFonts w:cs="Calibri"/>
          <w:bCs/>
        </w:rPr>
        <w:t xml:space="preserve">Za </w:t>
      </w:r>
      <w:r w:rsidR="00331A0B" w:rsidRPr="00303B58">
        <w:rPr>
          <w:rFonts w:cs="Calibri"/>
          <w:bCs/>
        </w:rPr>
        <w:t xml:space="preserve">sprovođenje politike </w:t>
      </w:r>
      <w:r w:rsidRPr="00303B58">
        <w:rPr>
          <w:rFonts w:cs="Calibri"/>
          <w:bCs/>
        </w:rPr>
        <w:t xml:space="preserve">preduzetništva i </w:t>
      </w:r>
      <w:r w:rsidR="00331A0B" w:rsidRPr="00303B58">
        <w:rPr>
          <w:rFonts w:cs="Calibri"/>
          <w:bCs/>
        </w:rPr>
        <w:t xml:space="preserve">industrijske politike </w:t>
      </w:r>
      <w:r w:rsidRPr="00303B58">
        <w:rPr>
          <w:rFonts w:cs="Calibri"/>
          <w:bCs/>
        </w:rPr>
        <w:t>nadležno je Ministarstvo ekonomije</w:t>
      </w:r>
      <w:r w:rsidR="00B44B68" w:rsidRPr="00303B58">
        <w:rPr>
          <w:rFonts w:cs="Calibri"/>
          <w:bCs/>
        </w:rPr>
        <w:t>,</w:t>
      </w:r>
      <w:r w:rsidRPr="00303B58">
        <w:rPr>
          <w:rFonts w:cs="Calibri"/>
          <w:bCs/>
        </w:rPr>
        <w:t xml:space="preserve"> </w:t>
      </w:r>
      <w:r w:rsidR="00B44B68" w:rsidRPr="00303B58">
        <w:rPr>
          <w:rFonts w:cs="Calibri"/>
          <w:bCs/>
        </w:rPr>
        <w:t>koje</w:t>
      </w:r>
      <w:r w:rsidRPr="00303B58">
        <w:rPr>
          <w:rFonts w:cs="Calibri"/>
          <w:bCs/>
        </w:rPr>
        <w:t xml:space="preserve"> je takođe </w:t>
      </w:r>
      <w:r w:rsidR="00303B58">
        <w:rPr>
          <w:rFonts w:cs="Calibri"/>
          <w:bCs/>
        </w:rPr>
        <w:t xml:space="preserve">važan akter </w:t>
      </w:r>
      <w:r w:rsidR="002761C7">
        <w:rPr>
          <w:rFonts w:cs="Calibri"/>
          <w:bCs/>
        </w:rPr>
        <w:t xml:space="preserve">i </w:t>
      </w:r>
      <w:r w:rsidR="00303B58">
        <w:rPr>
          <w:rFonts w:cs="Calibri"/>
          <w:bCs/>
        </w:rPr>
        <w:t>u realizaciji inovacione politike</w:t>
      </w:r>
      <w:r w:rsidR="00DB245F">
        <w:rPr>
          <w:rFonts w:cs="Calibri"/>
          <w:bCs/>
        </w:rPr>
        <w:t>, kroz implementaciju niza programa</w:t>
      </w:r>
      <w:r w:rsidR="00996C12">
        <w:rPr>
          <w:rFonts w:cs="Calibri"/>
          <w:bCs/>
        </w:rPr>
        <w:t xml:space="preserve">. U njegovoj organizacionoj strukturi je </w:t>
      </w:r>
      <w:r w:rsidR="00DB245F">
        <w:rPr>
          <w:rFonts w:cs="Calibri"/>
          <w:bCs/>
        </w:rPr>
        <w:t xml:space="preserve"> i </w:t>
      </w:r>
      <w:r w:rsidR="00996C12">
        <w:rPr>
          <w:rFonts w:cs="Calibri"/>
          <w:bCs/>
        </w:rPr>
        <w:t xml:space="preserve">Zavod </w:t>
      </w:r>
      <w:r w:rsidRPr="00303B58">
        <w:rPr>
          <w:rFonts w:cs="Calibri"/>
          <w:bCs/>
        </w:rPr>
        <w:t>za intelektualn</w:t>
      </w:r>
      <w:r w:rsidR="00996C12">
        <w:rPr>
          <w:rFonts w:cs="Calibri"/>
          <w:bCs/>
        </w:rPr>
        <w:t>u</w:t>
      </w:r>
      <w:r w:rsidRPr="00303B58">
        <w:rPr>
          <w:rFonts w:cs="Calibri"/>
          <w:bCs/>
        </w:rPr>
        <w:t xml:space="preserve"> svojin</w:t>
      </w:r>
      <w:r w:rsidR="00996C12">
        <w:rPr>
          <w:rFonts w:cs="Calibri"/>
          <w:bCs/>
        </w:rPr>
        <w:t>u</w:t>
      </w:r>
      <w:r w:rsidR="00DB245F">
        <w:rPr>
          <w:rFonts w:cs="Calibri"/>
          <w:bCs/>
        </w:rPr>
        <w:t xml:space="preserve">. </w:t>
      </w:r>
      <w:r w:rsidRPr="00303B58">
        <w:rPr>
          <w:rFonts w:cs="Calibri"/>
          <w:bCs/>
        </w:rPr>
        <w:t xml:space="preserve">Ministarstvo prosvjete </w:t>
      </w:r>
      <w:r w:rsidR="00B44B68" w:rsidRPr="00303B58">
        <w:rPr>
          <w:rFonts w:cs="Calibri"/>
          <w:bCs/>
        </w:rPr>
        <w:t xml:space="preserve">je </w:t>
      </w:r>
      <w:r w:rsidRPr="00303B58">
        <w:rPr>
          <w:rFonts w:cs="Calibri"/>
          <w:bCs/>
        </w:rPr>
        <w:t>nadležno za visoko obrazovanje</w:t>
      </w:r>
      <w:r w:rsidR="00741ECD">
        <w:rPr>
          <w:rFonts w:cs="Calibri"/>
          <w:bCs/>
        </w:rPr>
        <w:t xml:space="preserve"> u okviru kog se pretežno sprovode naučnoistraživačke aktivnosti.</w:t>
      </w:r>
    </w:p>
    <w:p w14:paraId="63E9C212" w14:textId="01F713BF" w:rsidR="00883439" w:rsidRDefault="00883439" w:rsidP="00FD39C0">
      <w:pPr>
        <w:spacing w:after="120" w:line="240" w:lineRule="auto"/>
        <w:rPr>
          <w:rFonts w:cs="Calibri"/>
          <w:b/>
          <w:bCs/>
          <w:sz w:val="20"/>
          <w:szCs w:val="20"/>
        </w:rPr>
      </w:pPr>
    </w:p>
    <w:p w14:paraId="2FCA26D2" w14:textId="10FAC755" w:rsidR="000F327E" w:rsidRDefault="001D4DE1" w:rsidP="001D4DE1">
      <w:pPr>
        <w:spacing w:after="120" w:line="240" w:lineRule="auto"/>
        <w:jc w:val="center"/>
        <w:rPr>
          <w:rFonts w:cs="Calibri"/>
          <w:b/>
          <w:bCs/>
          <w:sz w:val="20"/>
          <w:szCs w:val="20"/>
        </w:rPr>
      </w:pPr>
      <w:r w:rsidRPr="00593418">
        <w:rPr>
          <w:rFonts w:cs="Calibri"/>
          <w:b/>
          <w:bCs/>
          <w:sz w:val="20"/>
          <w:szCs w:val="20"/>
        </w:rPr>
        <w:t>Slika 3. Organizaciona šema istraživanja, razvoja i inovacija u Crnoj Gori</w:t>
      </w:r>
    </w:p>
    <w:p w14:paraId="7FBDCCA9" w14:textId="77777777" w:rsidR="00FD39C0" w:rsidRPr="00593418" w:rsidRDefault="00FD39C0" w:rsidP="001D4DE1">
      <w:pPr>
        <w:spacing w:after="120" w:line="240" w:lineRule="auto"/>
        <w:jc w:val="center"/>
        <w:rPr>
          <w:rFonts w:cs="Calibri"/>
          <w:bCs/>
        </w:rPr>
      </w:pPr>
    </w:p>
    <w:p w14:paraId="2C881219" w14:textId="025695E5" w:rsidR="00253B54" w:rsidRPr="00074A9E" w:rsidRDefault="007125FF" w:rsidP="00074A9E">
      <w:pPr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noProof/>
          <w:sz w:val="24"/>
          <w:szCs w:val="24"/>
          <w:lang w:val="en-US"/>
        </w:rPr>
        <w:drawing>
          <wp:inline distT="0" distB="0" distL="0" distR="0" wp14:anchorId="6A22DC23" wp14:editId="56757774">
            <wp:extent cx="5732145" cy="4054475"/>
            <wp:effectExtent l="0" t="0" r="190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upravljanjeNov2018_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07C15" w14:textId="6EDA16A2" w:rsidR="00AF271E" w:rsidRDefault="007F1AF3" w:rsidP="00C047DA">
      <w:p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Nacionalna kancelarija za pametnu specijalizaciju </w:t>
      </w:r>
      <w:r w:rsidR="00253B54" w:rsidRPr="00593418">
        <w:rPr>
          <w:rFonts w:cs="Calibri"/>
          <w:bCs/>
        </w:rPr>
        <w:t xml:space="preserve">radi na operativnom nivou i </w:t>
      </w:r>
      <w:r w:rsidR="00CF02CB">
        <w:rPr>
          <w:rFonts w:cs="Calibri"/>
          <w:bCs/>
        </w:rPr>
        <w:t>ima podršku prvenstveno od</w:t>
      </w:r>
      <w:r w:rsidR="00253B54" w:rsidRPr="00593418">
        <w:rPr>
          <w:rFonts w:cs="Calibri"/>
          <w:bCs/>
        </w:rPr>
        <w:t xml:space="preserve"> Ministarstva nauke, Ministarstva ekonomije i Ministarstva prosvjete</w:t>
      </w:r>
      <w:r w:rsidR="00CF02CB">
        <w:rPr>
          <w:rFonts w:cs="Calibri"/>
          <w:bCs/>
        </w:rPr>
        <w:t xml:space="preserve"> kao i od ministarstava </w:t>
      </w:r>
      <w:r w:rsidR="008977F7">
        <w:rPr>
          <w:rFonts w:cs="Calibri"/>
          <w:bCs/>
        </w:rPr>
        <w:t xml:space="preserve">koja </w:t>
      </w:r>
      <w:r w:rsidR="00CF02CB">
        <w:rPr>
          <w:rFonts w:cs="Calibri"/>
          <w:bCs/>
        </w:rPr>
        <w:t xml:space="preserve">su </w:t>
      </w:r>
      <w:r w:rsidR="008977F7">
        <w:rPr>
          <w:rFonts w:cs="Calibri"/>
          <w:bCs/>
        </w:rPr>
        <w:t xml:space="preserve">nadležna </w:t>
      </w:r>
      <w:r w:rsidR="00CF02CB">
        <w:rPr>
          <w:rFonts w:cs="Calibri"/>
          <w:bCs/>
        </w:rPr>
        <w:t>za projekte iz prioritetnih oblasti (Ministarstvo zdravlja, Minist</w:t>
      </w:r>
      <w:r w:rsidR="008B60DB">
        <w:rPr>
          <w:rFonts w:cs="Calibri"/>
          <w:bCs/>
        </w:rPr>
        <w:t>a</w:t>
      </w:r>
      <w:r w:rsidR="00CF02CB">
        <w:rPr>
          <w:rFonts w:cs="Calibri"/>
          <w:bCs/>
        </w:rPr>
        <w:t>rstvo javne uprave, Ministarstvo poljoprivrede i ruralnog razvoja, Ministarstvo održivog razvoja i turizma)</w:t>
      </w:r>
      <w:r w:rsidR="00253B54" w:rsidRPr="00593418">
        <w:rPr>
          <w:rFonts w:cs="Calibri"/>
          <w:bCs/>
        </w:rPr>
        <w:t xml:space="preserve">. </w:t>
      </w:r>
      <w:r w:rsidR="003C52E1" w:rsidRPr="00593418">
        <w:rPr>
          <w:rFonts w:cs="Calibri"/>
          <w:bCs/>
        </w:rPr>
        <w:t xml:space="preserve">Resorna ministarstva </w:t>
      </w:r>
      <w:r w:rsidR="003C52E1">
        <w:rPr>
          <w:rFonts w:cs="Calibri"/>
          <w:bCs/>
        </w:rPr>
        <w:t>su u konstantnoj komunikaciji sa Nacionalnom S3</w:t>
      </w:r>
      <w:r w:rsidR="003C52E1" w:rsidRPr="00593418">
        <w:rPr>
          <w:rFonts w:cs="Calibri"/>
          <w:bCs/>
        </w:rPr>
        <w:t xml:space="preserve"> </w:t>
      </w:r>
      <w:r w:rsidR="003C52E1">
        <w:rPr>
          <w:rFonts w:cs="Calibri"/>
          <w:bCs/>
        </w:rPr>
        <w:t>kancelarijom</w:t>
      </w:r>
      <w:r w:rsidR="003C52E1" w:rsidRPr="00593418">
        <w:rPr>
          <w:rFonts w:cs="Calibri"/>
          <w:bCs/>
        </w:rPr>
        <w:t xml:space="preserve">. </w:t>
      </w:r>
      <w:r w:rsidR="00622634" w:rsidRPr="00593418">
        <w:rPr>
          <w:rFonts w:cs="Calibri"/>
          <w:bCs/>
        </w:rPr>
        <w:t>Njene g</w:t>
      </w:r>
      <w:r w:rsidR="00253B54" w:rsidRPr="00593418">
        <w:rPr>
          <w:rFonts w:cs="Calibri"/>
          <w:bCs/>
        </w:rPr>
        <w:t xml:space="preserve">lavne aktivnosti su </w:t>
      </w:r>
      <w:r w:rsidR="00CF02CB">
        <w:rPr>
          <w:rFonts w:cs="Calibri"/>
          <w:bCs/>
        </w:rPr>
        <w:t>priprem</w:t>
      </w:r>
      <w:r w:rsidR="008B60DB">
        <w:rPr>
          <w:rFonts w:cs="Calibri"/>
          <w:bCs/>
        </w:rPr>
        <w:t>a i</w:t>
      </w:r>
      <w:r w:rsidR="00CF02CB">
        <w:rPr>
          <w:rFonts w:cs="Calibri"/>
          <w:bCs/>
        </w:rPr>
        <w:t xml:space="preserve"> monitoring</w:t>
      </w:r>
      <w:r w:rsidR="008977F7">
        <w:rPr>
          <w:rFonts w:cs="Calibri"/>
          <w:bCs/>
        </w:rPr>
        <w:t>,</w:t>
      </w:r>
      <w:r w:rsidR="00074E8D">
        <w:rPr>
          <w:rFonts w:cs="Calibri"/>
          <w:bCs/>
        </w:rPr>
        <w:t xml:space="preserve"> kao </w:t>
      </w:r>
      <w:r w:rsidR="00253B54" w:rsidRPr="00593418">
        <w:rPr>
          <w:rFonts w:cs="Calibri"/>
          <w:bCs/>
        </w:rPr>
        <w:t xml:space="preserve"> i </w:t>
      </w:r>
      <w:r w:rsidR="00810310">
        <w:rPr>
          <w:rFonts w:cs="Calibri"/>
          <w:bCs/>
        </w:rPr>
        <w:t xml:space="preserve">organizacija evaluacije programa i </w:t>
      </w:r>
      <w:r w:rsidR="00810310" w:rsidRPr="00593418">
        <w:rPr>
          <w:rFonts w:cs="Calibri"/>
          <w:bCs/>
        </w:rPr>
        <w:t>projek</w:t>
      </w:r>
      <w:r w:rsidR="00810310">
        <w:rPr>
          <w:rFonts w:cs="Calibri"/>
          <w:bCs/>
        </w:rPr>
        <w:t>a</w:t>
      </w:r>
      <w:r w:rsidR="00810310" w:rsidRPr="00593418">
        <w:rPr>
          <w:rFonts w:cs="Calibri"/>
          <w:bCs/>
        </w:rPr>
        <w:t>t</w:t>
      </w:r>
      <w:r w:rsidR="00810310">
        <w:rPr>
          <w:rFonts w:cs="Calibri"/>
          <w:bCs/>
        </w:rPr>
        <w:t>a</w:t>
      </w:r>
      <w:r w:rsidR="00810310" w:rsidRPr="00593418">
        <w:rPr>
          <w:rFonts w:cs="Calibri"/>
          <w:bCs/>
        </w:rPr>
        <w:t xml:space="preserve"> </w:t>
      </w:r>
      <w:r w:rsidR="00253B54" w:rsidRPr="00593418">
        <w:rPr>
          <w:rFonts w:cs="Calibri"/>
          <w:bCs/>
        </w:rPr>
        <w:t>koji omogućavaju uspješnu realizaciju</w:t>
      </w:r>
      <w:r w:rsidR="008977F7">
        <w:rPr>
          <w:rFonts w:cs="Calibri"/>
          <w:bCs/>
        </w:rPr>
        <w:t xml:space="preserve"> </w:t>
      </w:r>
      <w:r w:rsidR="00A02200">
        <w:rPr>
          <w:rFonts w:cs="Calibri"/>
          <w:bCs/>
        </w:rPr>
        <w:t>S3</w:t>
      </w:r>
      <w:r w:rsidR="00253B54" w:rsidRPr="00593418">
        <w:rPr>
          <w:rFonts w:cs="Calibri"/>
          <w:bCs/>
        </w:rPr>
        <w:t>. Fi</w:t>
      </w:r>
      <w:r w:rsidR="00EB3FE4" w:rsidRPr="00593418">
        <w:rPr>
          <w:rFonts w:cs="Calibri"/>
          <w:bCs/>
        </w:rPr>
        <w:t xml:space="preserve">nansijska podrška </w:t>
      </w:r>
      <w:r w:rsidR="00A02200">
        <w:rPr>
          <w:rFonts w:cs="Calibri"/>
          <w:bCs/>
        </w:rPr>
        <w:t>S3</w:t>
      </w:r>
      <w:r w:rsidR="00EB3FE4" w:rsidRPr="00593418">
        <w:rPr>
          <w:rFonts w:cs="Calibri"/>
          <w:bCs/>
        </w:rPr>
        <w:t xml:space="preserve"> program</w:t>
      </w:r>
      <w:r w:rsidR="00CF02CB">
        <w:rPr>
          <w:rFonts w:cs="Calibri"/>
          <w:bCs/>
        </w:rPr>
        <w:t>im</w:t>
      </w:r>
      <w:r w:rsidR="00253B54" w:rsidRPr="00593418">
        <w:rPr>
          <w:rFonts w:cs="Calibri"/>
          <w:bCs/>
        </w:rPr>
        <w:t xml:space="preserve">a dolazi od ministarstava koja su </w:t>
      </w:r>
      <w:r w:rsidR="00622634" w:rsidRPr="00593418">
        <w:rPr>
          <w:rFonts w:cs="Calibri"/>
          <w:bCs/>
        </w:rPr>
        <w:t xml:space="preserve">uključena </w:t>
      </w:r>
      <w:r w:rsidR="00777B6F">
        <w:rPr>
          <w:rFonts w:cs="Calibri"/>
          <w:bCs/>
        </w:rPr>
        <w:t>u</w:t>
      </w:r>
      <w:r w:rsidR="00253B54" w:rsidRPr="00593418">
        <w:rPr>
          <w:rFonts w:cs="Calibri"/>
          <w:bCs/>
        </w:rPr>
        <w:t xml:space="preserve"> određene progra</w:t>
      </w:r>
      <w:r w:rsidR="00622634" w:rsidRPr="00593418">
        <w:rPr>
          <w:rFonts w:cs="Calibri"/>
          <w:bCs/>
        </w:rPr>
        <w:t xml:space="preserve">me ili projekte iz domena </w:t>
      </w:r>
      <w:r w:rsidR="00A02200">
        <w:rPr>
          <w:rFonts w:cs="Calibri"/>
          <w:bCs/>
        </w:rPr>
        <w:t>S3</w:t>
      </w:r>
      <w:r w:rsidR="00622634" w:rsidRPr="00593418">
        <w:rPr>
          <w:rFonts w:cs="Calibri"/>
          <w:bCs/>
        </w:rPr>
        <w:t>, međunarodnih fondova</w:t>
      </w:r>
      <w:r w:rsidR="00EB3FE4" w:rsidRPr="00593418">
        <w:rPr>
          <w:rFonts w:cs="Calibri"/>
          <w:bCs/>
        </w:rPr>
        <w:t>,</w:t>
      </w:r>
      <w:r w:rsidR="00622634" w:rsidRPr="00593418">
        <w:rPr>
          <w:rFonts w:cs="Calibri"/>
          <w:bCs/>
        </w:rPr>
        <w:t xml:space="preserve"> </w:t>
      </w:r>
      <w:r w:rsidR="00253B54" w:rsidRPr="00593418">
        <w:rPr>
          <w:rFonts w:cs="Calibri"/>
          <w:bCs/>
        </w:rPr>
        <w:t>ali jednim dijelom i preko povoljnih kred</w:t>
      </w:r>
      <w:r w:rsidR="00622634" w:rsidRPr="00593418">
        <w:rPr>
          <w:rFonts w:cs="Calibri"/>
          <w:bCs/>
        </w:rPr>
        <w:t xml:space="preserve">itnih linija za preduzetništvo </w:t>
      </w:r>
      <w:r w:rsidR="00253B54" w:rsidRPr="00593418">
        <w:rPr>
          <w:rFonts w:cs="Calibri"/>
          <w:bCs/>
        </w:rPr>
        <w:t>iz Investiociono</w:t>
      </w:r>
      <w:r w:rsidR="00EB3FE4" w:rsidRPr="00593418">
        <w:rPr>
          <w:rFonts w:cs="Calibri"/>
          <w:bCs/>
        </w:rPr>
        <w:t>-</w:t>
      </w:r>
      <w:r w:rsidR="00253B54" w:rsidRPr="00593418">
        <w:rPr>
          <w:rFonts w:cs="Calibri"/>
          <w:bCs/>
        </w:rPr>
        <w:t>razvojnog fonda</w:t>
      </w:r>
      <w:r w:rsidR="003C52E1">
        <w:rPr>
          <w:rFonts w:cs="Calibri"/>
          <w:bCs/>
        </w:rPr>
        <w:t xml:space="preserve"> i bankarskog sektora</w:t>
      </w:r>
      <w:r w:rsidR="00253B54" w:rsidRPr="00593418">
        <w:rPr>
          <w:rFonts w:cs="Calibri"/>
          <w:bCs/>
        </w:rPr>
        <w:t xml:space="preserve">. </w:t>
      </w:r>
    </w:p>
    <w:p w14:paraId="3771BB60" w14:textId="27215D1F" w:rsidR="00253B54" w:rsidRDefault="00810310" w:rsidP="00C047DA">
      <w:p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Uloga Savjeta za pametnu specijalizaciju</w:t>
      </w:r>
      <w:r w:rsidR="00253B54" w:rsidRPr="00593418">
        <w:rPr>
          <w:rFonts w:cs="Calibri"/>
          <w:bCs/>
        </w:rPr>
        <w:t xml:space="preserve"> je </w:t>
      </w:r>
      <w:r>
        <w:rPr>
          <w:rFonts w:cs="Calibri"/>
          <w:bCs/>
        </w:rPr>
        <w:t>nadzorne</w:t>
      </w:r>
      <w:r w:rsidRPr="00593418">
        <w:rPr>
          <w:rFonts w:cs="Calibri"/>
          <w:bCs/>
        </w:rPr>
        <w:t xml:space="preserve"> </w:t>
      </w:r>
      <w:r w:rsidR="00253B54" w:rsidRPr="00593418">
        <w:rPr>
          <w:rFonts w:cs="Calibri"/>
          <w:bCs/>
        </w:rPr>
        <w:t xml:space="preserve">prirode. On nadgleda, savjetuje i </w:t>
      </w:r>
      <w:r w:rsidR="003C52E1" w:rsidRPr="00593418">
        <w:rPr>
          <w:rFonts w:cs="Calibri"/>
          <w:bCs/>
        </w:rPr>
        <w:t>omoguć</w:t>
      </w:r>
      <w:r w:rsidR="003C52E1">
        <w:rPr>
          <w:rFonts w:cs="Calibri"/>
          <w:bCs/>
        </w:rPr>
        <w:t>ava</w:t>
      </w:r>
      <w:r w:rsidR="003C52E1" w:rsidRPr="00593418">
        <w:rPr>
          <w:rFonts w:cs="Calibri"/>
          <w:bCs/>
        </w:rPr>
        <w:t xml:space="preserve"> </w:t>
      </w:r>
      <w:r w:rsidR="00253B54" w:rsidRPr="00593418">
        <w:rPr>
          <w:rFonts w:cs="Calibri"/>
          <w:bCs/>
        </w:rPr>
        <w:t>transparentnost r</w:t>
      </w:r>
      <w:r w:rsidR="00EB3FE4" w:rsidRPr="00593418">
        <w:rPr>
          <w:rFonts w:cs="Calibri"/>
          <w:bCs/>
        </w:rPr>
        <w:t xml:space="preserve">ada </w:t>
      </w:r>
      <w:r>
        <w:rPr>
          <w:rFonts w:cs="Calibri"/>
          <w:bCs/>
        </w:rPr>
        <w:t xml:space="preserve">Nacionalna kancelarija za pametnu specijalizaciju </w:t>
      </w:r>
      <w:r w:rsidR="00730A65">
        <w:rPr>
          <w:rFonts w:cs="Calibri"/>
          <w:bCs/>
        </w:rPr>
        <w:t>i</w:t>
      </w:r>
      <w:r w:rsidR="00EB3FE4" w:rsidRPr="00593418">
        <w:rPr>
          <w:rFonts w:cs="Calibri"/>
          <w:bCs/>
        </w:rPr>
        <w:t xml:space="preserve"> </w:t>
      </w:r>
      <w:r w:rsidR="009A3BF5" w:rsidRPr="00593418">
        <w:rPr>
          <w:rFonts w:cs="Calibri"/>
          <w:bCs/>
        </w:rPr>
        <w:t>po</w:t>
      </w:r>
      <w:r w:rsidR="009A3BF5">
        <w:rPr>
          <w:rFonts w:cs="Calibri"/>
          <w:bCs/>
        </w:rPr>
        <w:t>dstiče</w:t>
      </w:r>
      <w:r w:rsidR="009A3BF5" w:rsidRPr="00593418">
        <w:rPr>
          <w:rFonts w:cs="Calibri"/>
          <w:bCs/>
        </w:rPr>
        <w:t xml:space="preserve"> </w:t>
      </w:r>
      <w:r w:rsidR="00253B54" w:rsidRPr="00593418">
        <w:rPr>
          <w:rFonts w:cs="Calibri"/>
          <w:bCs/>
        </w:rPr>
        <w:t xml:space="preserve">kolaboraciju i participaciju različitih segmenata društva u realizaciji </w:t>
      </w:r>
      <w:r w:rsidR="00A02200">
        <w:rPr>
          <w:rFonts w:cs="Calibri"/>
          <w:bCs/>
        </w:rPr>
        <w:t>S3</w:t>
      </w:r>
      <w:r w:rsidR="00253B54" w:rsidRPr="00593418">
        <w:rPr>
          <w:rFonts w:cs="Calibri"/>
          <w:bCs/>
        </w:rPr>
        <w:t xml:space="preserve">.  </w:t>
      </w:r>
      <w:r w:rsidR="00A02200">
        <w:rPr>
          <w:rFonts w:cs="Calibri"/>
          <w:bCs/>
        </w:rPr>
        <w:t>S</w:t>
      </w:r>
      <w:r>
        <w:rPr>
          <w:rFonts w:cs="Calibri"/>
          <w:bCs/>
        </w:rPr>
        <w:t xml:space="preserve">avjet </w:t>
      </w:r>
      <w:r w:rsidR="00253B54" w:rsidRPr="00593418">
        <w:rPr>
          <w:rFonts w:cs="Calibri"/>
          <w:bCs/>
        </w:rPr>
        <w:t xml:space="preserve">ima posebno važnu ulogu u rješavanju </w:t>
      </w:r>
      <w:r w:rsidR="00253B54" w:rsidRPr="00593418">
        <w:rPr>
          <w:rFonts w:cs="Calibri"/>
          <w:bCs/>
        </w:rPr>
        <w:lastRenderedPageBreak/>
        <w:t>pitanja koj</w:t>
      </w:r>
      <w:r w:rsidR="00EB3FE4" w:rsidRPr="00593418">
        <w:rPr>
          <w:rFonts w:cs="Calibri"/>
          <w:bCs/>
        </w:rPr>
        <w:t>a</w:t>
      </w:r>
      <w:r w:rsidR="00253B54" w:rsidRPr="00593418">
        <w:rPr>
          <w:rFonts w:cs="Calibri"/>
          <w:bCs/>
        </w:rPr>
        <w:t xml:space="preserve"> se tiču svih tematskih oblasti</w:t>
      </w:r>
      <w:r w:rsidR="00EB3FE4" w:rsidRPr="00593418">
        <w:rPr>
          <w:rFonts w:cs="Calibri"/>
          <w:bCs/>
        </w:rPr>
        <w:t>,</w:t>
      </w:r>
      <w:r w:rsidR="00253B54" w:rsidRPr="00593418">
        <w:rPr>
          <w:rFonts w:cs="Calibri"/>
          <w:bCs/>
        </w:rPr>
        <w:t xml:space="preserve"> kao i u </w:t>
      </w:r>
      <w:r w:rsidR="003C52E1" w:rsidRPr="00593418">
        <w:rPr>
          <w:rFonts w:cs="Calibri"/>
          <w:bCs/>
        </w:rPr>
        <w:t>o</w:t>
      </w:r>
      <w:r w:rsidR="003C52E1">
        <w:rPr>
          <w:rFonts w:cs="Calibri"/>
          <w:bCs/>
        </w:rPr>
        <w:t>bezbjeđivanju</w:t>
      </w:r>
      <w:r w:rsidR="003C52E1" w:rsidRPr="00593418">
        <w:rPr>
          <w:rFonts w:cs="Calibri"/>
          <w:bCs/>
        </w:rPr>
        <w:t xml:space="preserve"> </w:t>
      </w:r>
      <w:r w:rsidR="00253B54" w:rsidRPr="00593418">
        <w:rPr>
          <w:rFonts w:cs="Calibri"/>
          <w:bCs/>
        </w:rPr>
        <w:t xml:space="preserve">kontinuiteta </w:t>
      </w:r>
      <w:r w:rsidR="00777B6F">
        <w:rPr>
          <w:rFonts w:cs="Calibri"/>
          <w:bCs/>
        </w:rPr>
        <w:t>P</w:t>
      </w:r>
      <w:r w:rsidR="00253B54" w:rsidRPr="00593418">
        <w:rPr>
          <w:rFonts w:cs="Calibri"/>
          <w:bCs/>
        </w:rPr>
        <w:t>rocesa preduzetničkog otkrivanja</w:t>
      </w:r>
      <w:r w:rsidR="00AF271E">
        <w:rPr>
          <w:rFonts w:cs="Calibri"/>
          <w:bCs/>
        </w:rPr>
        <w:t xml:space="preserve"> (EDP)</w:t>
      </w:r>
      <w:r w:rsidR="00253B54" w:rsidRPr="00593418">
        <w:rPr>
          <w:rFonts w:cs="Calibri"/>
          <w:bCs/>
        </w:rPr>
        <w:t>.</w:t>
      </w:r>
    </w:p>
    <w:p w14:paraId="11C3CAF6" w14:textId="25CEC3C1" w:rsidR="00253B54" w:rsidRDefault="00AF271E" w:rsidP="00FD39C0">
      <w:pPr>
        <w:spacing w:after="12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Nacionalna kancelarija za pametnu specijalizaciju </w:t>
      </w:r>
      <w:r w:rsidRPr="00593418">
        <w:rPr>
          <w:rFonts w:cs="Calibri"/>
          <w:bCs/>
        </w:rPr>
        <w:t xml:space="preserve">dobija stručnu pomoć od </w:t>
      </w:r>
      <w:r>
        <w:rPr>
          <w:rFonts w:cs="Calibri"/>
          <w:bCs/>
        </w:rPr>
        <w:t>EDP</w:t>
      </w:r>
      <w:r w:rsidRPr="00593418">
        <w:rPr>
          <w:rFonts w:cs="Calibri"/>
          <w:bCs/>
        </w:rPr>
        <w:t xml:space="preserve"> fokusnih grupa koje su specijalizovane za određeni tematski </w:t>
      </w:r>
      <w:r>
        <w:rPr>
          <w:rFonts w:cs="Calibri"/>
          <w:bCs/>
        </w:rPr>
        <w:t>S3</w:t>
      </w:r>
      <w:r w:rsidRPr="00593418">
        <w:rPr>
          <w:rFonts w:cs="Calibri"/>
          <w:bCs/>
        </w:rPr>
        <w:t xml:space="preserve"> prioritet. </w:t>
      </w:r>
      <w:r w:rsidR="008977F7">
        <w:rPr>
          <w:rFonts w:cs="Calibri"/>
          <w:bCs/>
        </w:rPr>
        <w:t xml:space="preserve">Kroz aktivnosti ovih grupa </w:t>
      </w:r>
      <w:r w:rsidR="008977F7" w:rsidRPr="00593418">
        <w:rPr>
          <w:rFonts w:cs="Calibri"/>
          <w:bCs/>
        </w:rPr>
        <w:t>omoguć</w:t>
      </w:r>
      <w:r w:rsidR="003C52E1">
        <w:rPr>
          <w:rFonts w:cs="Calibri"/>
          <w:bCs/>
        </w:rPr>
        <w:t>ava</w:t>
      </w:r>
      <w:r w:rsidR="008977F7">
        <w:rPr>
          <w:rFonts w:cs="Calibri"/>
          <w:bCs/>
        </w:rPr>
        <w:t xml:space="preserve"> se kontinuitet</w:t>
      </w:r>
      <w:r w:rsidR="008977F7" w:rsidRPr="00593418">
        <w:rPr>
          <w:rFonts w:cs="Calibri"/>
          <w:bCs/>
        </w:rPr>
        <w:t xml:space="preserve"> </w:t>
      </w:r>
      <w:r w:rsidR="008977F7">
        <w:rPr>
          <w:rFonts w:cs="Calibri"/>
          <w:bCs/>
        </w:rPr>
        <w:t>p</w:t>
      </w:r>
      <w:r w:rsidR="008977F7" w:rsidRPr="00593418">
        <w:rPr>
          <w:rFonts w:cs="Calibri"/>
          <w:bCs/>
        </w:rPr>
        <w:t>rocesa preduzetničkog otkrivanja</w:t>
      </w:r>
      <w:r w:rsidR="008977F7">
        <w:rPr>
          <w:rFonts w:cs="Calibri"/>
          <w:bCs/>
        </w:rPr>
        <w:t xml:space="preserve"> tokom sprovođenja S3. Ovo se obezbjeđuje putem periodičnih sastanaka EDP fokusnih grupa i interaktivne internet platforme.</w:t>
      </w:r>
    </w:p>
    <w:p w14:paraId="4A72A4EF" w14:textId="74962221" w:rsidR="00A327C7" w:rsidRPr="00FD39C0" w:rsidRDefault="00A327C7" w:rsidP="00FD39C0">
      <w:pPr>
        <w:spacing w:after="120" w:line="240" w:lineRule="auto"/>
        <w:jc w:val="both"/>
        <w:rPr>
          <w:rFonts w:cs="Calibri"/>
          <w:bCs/>
        </w:rPr>
      </w:pPr>
    </w:p>
    <w:p w14:paraId="4C519F6E" w14:textId="3D12AEC7" w:rsidR="00F619AC" w:rsidRPr="00593418" w:rsidRDefault="00253B54" w:rsidP="00A327C7">
      <w:pPr>
        <w:pStyle w:val="Heading1"/>
      </w:pPr>
      <w:bookmarkStart w:id="10" w:name="_Toc529890084"/>
      <w:bookmarkStart w:id="11" w:name="_Toc530143279"/>
      <w:bookmarkStart w:id="12" w:name="_Toc521071250"/>
      <w:r w:rsidRPr="00593418">
        <w:t>I</w:t>
      </w:r>
      <w:r w:rsidR="00F203C3">
        <w:t xml:space="preserve">II </w:t>
      </w:r>
      <w:r w:rsidR="00F619AC" w:rsidRPr="00593418">
        <w:t>STRATEŠKA VIZIJA</w:t>
      </w:r>
      <w:r w:rsidR="00233564" w:rsidRPr="00593418">
        <w:t xml:space="preserve"> RAZVOJA</w:t>
      </w:r>
      <w:bookmarkEnd w:id="10"/>
      <w:bookmarkEnd w:id="11"/>
    </w:p>
    <w:p w14:paraId="2B7FF703" w14:textId="4996404E" w:rsidR="00FD39C0" w:rsidRPr="00593418" w:rsidRDefault="00FD39C0" w:rsidP="00F619AC">
      <w:pPr>
        <w:spacing w:after="0" w:line="240" w:lineRule="auto"/>
        <w:jc w:val="both"/>
        <w:rPr>
          <w:rFonts w:asciiTheme="minorHAnsi" w:hAnsiTheme="minorHAnsi"/>
        </w:rPr>
      </w:pPr>
    </w:p>
    <w:p w14:paraId="0A902DB5" w14:textId="7367FBE3" w:rsidR="00F619AC" w:rsidRPr="00593418" w:rsidRDefault="00F619AC" w:rsidP="00C53725">
      <w:pPr>
        <w:spacing w:after="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Strateška vizija </w:t>
      </w:r>
      <w:r w:rsidR="007552B5">
        <w:rPr>
          <w:rFonts w:asciiTheme="minorHAnsi" w:hAnsiTheme="minorHAnsi"/>
        </w:rPr>
        <w:t xml:space="preserve">razvoja </w:t>
      </w:r>
      <w:r w:rsidRPr="00593418">
        <w:rPr>
          <w:rFonts w:asciiTheme="minorHAnsi" w:hAnsiTheme="minorHAnsi"/>
        </w:rPr>
        <w:t>Crne Gore bazira se na povećanju konkurentnosti ekonomije. Razvijena i konkurentna ekonomija zasnovana je na znanju i resursima koji treba da budu valorizovani</w:t>
      </w:r>
      <w:r w:rsidR="0044061D">
        <w:rPr>
          <w:rFonts w:asciiTheme="minorHAnsi" w:hAnsiTheme="minorHAnsi"/>
        </w:rPr>
        <w:t>,</w:t>
      </w:r>
      <w:r w:rsidRPr="00593418">
        <w:rPr>
          <w:rFonts w:asciiTheme="minorHAnsi" w:hAnsiTheme="minorHAnsi"/>
        </w:rPr>
        <w:t xml:space="preserve"> kroz povezane prioritete </w:t>
      </w:r>
      <w:r w:rsidR="00173BCC" w:rsidRPr="00593418">
        <w:rPr>
          <w:rFonts w:asciiTheme="minorHAnsi" w:hAnsiTheme="minorHAnsi"/>
        </w:rPr>
        <w:t>I</w:t>
      </w:r>
      <w:r w:rsidR="007121CE" w:rsidRPr="00593418">
        <w:rPr>
          <w:rFonts w:asciiTheme="minorHAnsi" w:hAnsiTheme="minorHAnsi"/>
        </w:rPr>
        <w:t>straživačk</w:t>
      </w:r>
      <w:r w:rsidR="00173BCC" w:rsidRPr="00593418">
        <w:rPr>
          <w:rFonts w:asciiTheme="minorHAnsi" w:hAnsiTheme="minorHAnsi"/>
        </w:rPr>
        <w:t>e</w:t>
      </w:r>
      <w:r w:rsidR="007121CE" w:rsidRPr="00593418">
        <w:rPr>
          <w:rFonts w:asciiTheme="minorHAnsi" w:hAnsiTheme="minorHAnsi"/>
        </w:rPr>
        <w:t xml:space="preserve"> i </w:t>
      </w:r>
      <w:r w:rsidR="00BD3BC4" w:rsidRPr="00593418">
        <w:rPr>
          <w:rFonts w:asciiTheme="minorHAnsi" w:hAnsiTheme="minorHAnsi"/>
        </w:rPr>
        <w:t>inova</w:t>
      </w:r>
      <w:r w:rsidR="00BD3BC4">
        <w:rPr>
          <w:rFonts w:asciiTheme="minorHAnsi" w:hAnsiTheme="minorHAnsi"/>
        </w:rPr>
        <w:t xml:space="preserve">cione </w:t>
      </w:r>
      <w:r w:rsidR="0044061D">
        <w:rPr>
          <w:rFonts w:asciiTheme="minorHAnsi" w:hAnsiTheme="minorHAnsi"/>
        </w:rPr>
        <w:t>S</w:t>
      </w:r>
      <w:r w:rsidR="007121CE" w:rsidRPr="00593418">
        <w:rPr>
          <w:rFonts w:asciiTheme="minorHAnsi" w:hAnsiTheme="minorHAnsi"/>
        </w:rPr>
        <w:t>trategij</w:t>
      </w:r>
      <w:r w:rsidR="00173BCC" w:rsidRPr="00593418">
        <w:rPr>
          <w:rFonts w:asciiTheme="minorHAnsi" w:hAnsiTheme="minorHAnsi"/>
        </w:rPr>
        <w:t>e</w:t>
      </w:r>
      <w:r w:rsidR="007121CE" w:rsidRPr="00593418">
        <w:rPr>
          <w:rFonts w:asciiTheme="minorHAnsi" w:hAnsiTheme="minorHAnsi"/>
        </w:rPr>
        <w:t xml:space="preserve"> pametne specijalizacije </w:t>
      </w:r>
      <w:r w:rsidR="00173BCC" w:rsidRPr="00593418">
        <w:rPr>
          <w:rFonts w:asciiTheme="minorHAnsi" w:hAnsiTheme="minorHAnsi"/>
        </w:rPr>
        <w:t>(</w:t>
      </w:r>
      <w:r w:rsidR="00A02200">
        <w:rPr>
          <w:rFonts w:asciiTheme="minorHAnsi" w:hAnsiTheme="minorHAnsi"/>
        </w:rPr>
        <w:t>S3</w:t>
      </w:r>
      <w:r w:rsidR="00173BCC" w:rsidRPr="00593418">
        <w:rPr>
          <w:rFonts w:asciiTheme="minorHAnsi" w:hAnsiTheme="minorHAnsi"/>
        </w:rPr>
        <w:t>)</w:t>
      </w:r>
      <w:r w:rsidR="007552B5">
        <w:rPr>
          <w:rFonts w:asciiTheme="minorHAnsi" w:hAnsiTheme="minorHAnsi"/>
        </w:rPr>
        <w:t xml:space="preserve">. </w:t>
      </w:r>
      <w:r w:rsidRPr="00593418">
        <w:rPr>
          <w:rFonts w:asciiTheme="minorHAnsi" w:hAnsiTheme="minorHAnsi"/>
        </w:rPr>
        <w:t xml:space="preserve"> Ovakav koncept razvoja komplementaran je sa postignutim spoljnopolitičkim prioritetom</w:t>
      </w:r>
      <w:r w:rsidR="0044061D">
        <w:rPr>
          <w:rFonts w:asciiTheme="minorHAnsi" w:hAnsiTheme="minorHAnsi"/>
        </w:rPr>
        <w:t xml:space="preserve"> </w:t>
      </w:r>
      <w:r w:rsidR="007552B5">
        <w:rPr>
          <w:rFonts w:asciiTheme="minorHAnsi" w:hAnsiTheme="minorHAnsi"/>
        </w:rPr>
        <w:t xml:space="preserve">- </w:t>
      </w:r>
      <w:r w:rsidRPr="00593418">
        <w:rPr>
          <w:rFonts w:asciiTheme="minorHAnsi" w:hAnsiTheme="minorHAnsi"/>
        </w:rPr>
        <w:t xml:space="preserve">članstvom u NATO savezu. Takođe, praćenje i realizacija ciljeva, mjera i inicijativa vezanih za </w:t>
      </w:r>
      <w:r w:rsidR="0044061D">
        <w:rPr>
          <w:rFonts w:asciiTheme="minorHAnsi" w:hAnsiTheme="minorHAnsi"/>
        </w:rPr>
        <w:t>S</w:t>
      </w:r>
      <w:r w:rsidRPr="00593418">
        <w:rPr>
          <w:rFonts w:asciiTheme="minorHAnsi" w:hAnsiTheme="minorHAnsi"/>
        </w:rPr>
        <w:t xml:space="preserve">trategiju Evropa 2020, </w:t>
      </w:r>
      <w:r w:rsidR="007552B5">
        <w:rPr>
          <w:rFonts w:asciiTheme="minorHAnsi" w:hAnsiTheme="minorHAnsi"/>
        </w:rPr>
        <w:t xml:space="preserve">uključujući nacionalnu S3, </w:t>
      </w:r>
      <w:r w:rsidRPr="00593418">
        <w:rPr>
          <w:rFonts w:asciiTheme="minorHAnsi" w:hAnsiTheme="minorHAnsi"/>
        </w:rPr>
        <w:t>povezani su sa ključnim srednj</w:t>
      </w:r>
      <w:r w:rsidR="00EB3FE4" w:rsidRPr="00593418">
        <w:rPr>
          <w:rFonts w:asciiTheme="minorHAnsi" w:hAnsiTheme="minorHAnsi"/>
        </w:rPr>
        <w:t>o</w:t>
      </w:r>
      <w:r w:rsidRPr="00593418">
        <w:rPr>
          <w:rFonts w:asciiTheme="minorHAnsi" w:hAnsiTheme="minorHAnsi"/>
        </w:rPr>
        <w:t>ročnim prioritetom</w:t>
      </w:r>
      <w:r w:rsidR="00483929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- članstvom u Evropsk</w:t>
      </w:r>
      <w:r w:rsidR="00483929" w:rsidRPr="00593418">
        <w:rPr>
          <w:rFonts w:asciiTheme="minorHAnsi" w:hAnsiTheme="minorHAnsi"/>
        </w:rPr>
        <w:t>oj</w:t>
      </w:r>
      <w:r w:rsidRPr="00593418">
        <w:rPr>
          <w:rFonts w:asciiTheme="minorHAnsi" w:hAnsiTheme="minorHAnsi"/>
        </w:rPr>
        <w:t xml:space="preserve"> unij</w:t>
      </w:r>
      <w:r w:rsidR="00483929" w:rsidRPr="00593418">
        <w:rPr>
          <w:rFonts w:asciiTheme="minorHAnsi" w:hAnsiTheme="minorHAnsi"/>
        </w:rPr>
        <w:t>i</w:t>
      </w:r>
      <w:r w:rsidRPr="00593418">
        <w:rPr>
          <w:rFonts w:asciiTheme="minorHAnsi" w:hAnsiTheme="minorHAnsi"/>
        </w:rPr>
        <w:t>.</w:t>
      </w:r>
    </w:p>
    <w:p w14:paraId="58362B1B" w14:textId="77777777" w:rsidR="00F619AC" w:rsidRPr="00593418" w:rsidRDefault="00F619AC" w:rsidP="00F619AC">
      <w:pPr>
        <w:spacing w:after="0" w:line="240" w:lineRule="auto"/>
        <w:jc w:val="both"/>
        <w:rPr>
          <w:rFonts w:asciiTheme="minorHAnsi" w:hAnsiTheme="minorHAnsi"/>
        </w:rPr>
      </w:pPr>
    </w:p>
    <w:p w14:paraId="3120870C" w14:textId="77777777" w:rsidR="00F619AC" w:rsidRPr="00593418" w:rsidRDefault="00F619AC" w:rsidP="00F619AC">
      <w:pPr>
        <w:spacing w:after="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>Razvijena i konkurentna država bazirana je na tri ključna stateška pravca i to:</w:t>
      </w:r>
    </w:p>
    <w:p w14:paraId="47E9A1D7" w14:textId="28B52B31" w:rsidR="00F619AC" w:rsidRPr="00593418" w:rsidRDefault="00F619AC" w:rsidP="00622C4F">
      <w:pPr>
        <w:pStyle w:val="ListParagraph"/>
        <w:numPr>
          <w:ilvl w:val="0"/>
          <w:numId w:val="12"/>
        </w:numPr>
        <w:spacing w:after="0"/>
        <w:rPr>
          <w:lang w:val="sr-Latn-ME"/>
        </w:rPr>
      </w:pPr>
      <w:r w:rsidRPr="00593418">
        <w:rPr>
          <w:lang w:val="sr-Latn-ME"/>
        </w:rPr>
        <w:t>Zdrav</w:t>
      </w:r>
      <w:r w:rsidR="007552B5">
        <w:rPr>
          <w:lang w:val="sr-Latn-ME"/>
        </w:rPr>
        <w:t>ij</w:t>
      </w:r>
      <w:r w:rsidRPr="00593418">
        <w:rPr>
          <w:lang w:val="sr-Latn-ME"/>
        </w:rPr>
        <w:t>a Crna Gora</w:t>
      </w:r>
      <w:r w:rsidR="0007735B">
        <w:rPr>
          <w:lang w:val="sr-Latn-ME"/>
        </w:rPr>
        <w:t>;</w:t>
      </w:r>
    </w:p>
    <w:p w14:paraId="68F27DB5" w14:textId="6282A204" w:rsidR="00F619AC" w:rsidRPr="00593418" w:rsidRDefault="00F619AC" w:rsidP="00622C4F">
      <w:pPr>
        <w:pStyle w:val="ListParagraph"/>
        <w:numPr>
          <w:ilvl w:val="0"/>
          <w:numId w:val="12"/>
        </w:numPr>
        <w:spacing w:after="0"/>
        <w:rPr>
          <w:lang w:val="sr-Latn-ME"/>
        </w:rPr>
      </w:pPr>
      <w:r w:rsidRPr="00593418">
        <w:rPr>
          <w:lang w:val="sr-Latn-ME"/>
        </w:rPr>
        <w:t>Održiva Crna Gora</w:t>
      </w:r>
      <w:r w:rsidR="0007735B">
        <w:rPr>
          <w:lang w:val="sr-Latn-ME"/>
        </w:rPr>
        <w:t>;</w:t>
      </w:r>
    </w:p>
    <w:p w14:paraId="39CD8955" w14:textId="77777777" w:rsidR="00F619AC" w:rsidRPr="00593418" w:rsidRDefault="00F619AC" w:rsidP="00622C4F">
      <w:pPr>
        <w:pStyle w:val="ListParagraph"/>
        <w:numPr>
          <w:ilvl w:val="0"/>
          <w:numId w:val="12"/>
        </w:numPr>
        <w:spacing w:after="0"/>
        <w:rPr>
          <w:lang w:val="sr-Latn-ME"/>
        </w:rPr>
      </w:pPr>
      <w:r w:rsidRPr="00593418">
        <w:rPr>
          <w:lang w:val="sr-Latn-ME"/>
        </w:rPr>
        <w:t>Modernizovana i digitalizovana Crna Gora.</w:t>
      </w:r>
    </w:p>
    <w:p w14:paraId="1D1A5008" w14:textId="77777777" w:rsidR="00F619AC" w:rsidRPr="00593418" w:rsidRDefault="00F619AC" w:rsidP="00F619AC">
      <w:pPr>
        <w:spacing w:after="0" w:line="240" w:lineRule="auto"/>
        <w:jc w:val="both"/>
        <w:rPr>
          <w:rFonts w:asciiTheme="minorHAnsi" w:hAnsiTheme="minorHAnsi"/>
        </w:rPr>
      </w:pPr>
    </w:p>
    <w:p w14:paraId="157D07B1" w14:textId="5A8722DC" w:rsidR="00F619AC" w:rsidRPr="00593418" w:rsidRDefault="00F619AC" w:rsidP="00F619AC">
      <w:pPr>
        <w:spacing w:after="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Pravci su usko povezani i predstavljaju logičan nastavak </w:t>
      </w:r>
      <w:r w:rsidR="00483929" w:rsidRPr="00593418">
        <w:rPr>
          <w:rFonts w:asciiTheme="minorHAnsi" w:hAnsiTheme="minorHAnsi"/>
        </w:rPr>
        <w:t>dostizanja</w:t>
      </w:r>
      <w:r w:rsidRPr="00593418">
        <w:rPr>
          <w:rFonts w:asciiTheme="minorHAnsi" w:hAnsiTheme="minorHAnsi"/>
        </w:rPr>
        <w:t xml:space="preserve"> ciljeva Strategije Evropa 2020 i </w:t>
      </w:r>
      <w:r w:rsidR="00C3231D">
        <w:rPr>
          <w:rFonts w:asciiTheme="minorHAnsi" w:hAnsiTheme="minorHAnsi"/>
        </w:rPr>
        <w:t xml:space="preserve">orijentaciju ka </w:t>
      </w:r>
      <w:r w:rsidRPr="00C3231D">
        <w:rPr>
          <w:rFonts w:asciiTheme="minorHAnsi" w:hAnsiTheme="minorHAnsi"/>
        </w:rPr>
        <w:t xml:space="preserve">razvoju koji je zasnovan na znanju, </w:t>
      </w:r>
      <w:r w:rsidR="007552B5" w:rsidRPr="00C3231D">
        <w:rPr>
          <w:rFonts w:asciiTheme="minorHAnsi" w:hAnsiTheme="minorHAnsi"/>
        </w:rPr>
        <w:t>očuvanj</w:t>
      </w:r>
      <w:r w:rsidR="007552B5">
        <w:rPr>
          <w:rFonts w:asciiTheme="minorHAnsi" w:hAnsiTheme="minorHAnsi"/>
        </w:rPr>
        <w:t>u</w:t>
      </w:r>
      <w:r w:rsidR="007552B5" w:rsidRPr="00C3231D">
        <w:rPr>
          <w:rFonts w:asciiTheme="minorHAnsi" w:hAnsiTheme="minorHAnsi"/>
        </w:rPr>
        <w:t xml:space="preserve"> </w:t>
      </w:r>
      <w:r w:rsidRPr="00C3231D">
        <w:rPr>
          <w:rFonts w:asciiTheme="minorHAnsi" w:hAnsiTheme="minorHAnsi"/>
        </w:rPr>
        <w:t>životne sredine, visok</w:t>
      </w:r>
      <w:r w:rsidR="00FE1B6C" w:rsidRPr="00C3231D">
        <w:rPr>
          <w:rFonts w:asciiTheme="minorHAnsi" w:hAnsiTheme="minorHAnsi"/>
        </w:rPr>
        <w:t>om</w:t>
      </w:r>
      <w:r w:rsidRPr="00C3231D">
        <w:rPr>
          <w:rFonts w:asciiTheme="minorHAnsi" w:hAnsiTheme="minorHAnsi"/>
        </w:rPr>
        <w:t xml:space="preserve"> nivo</w:t>
      </w:r>
      <w:r w:rsidR="00FE1B6C" w:rsidRPr="00C3231D">
        <w:rPr>
          <w:rFonts w:asciiTheme="minorHAnsi" w:hAnsiTheme="minorHAnsi"/>
        </w:rPr>
        <w:t>u</w:t>
      </w:r>
      <w:r w:rsidRPr="00C3231D">
        <w:rPr>
          <w:rFonts w:asciiTheme="minorHAnsi" w:hAnsiTheme="minorHAnsi"/>
        </w:rPr>
        <w:t xml:space="preserve"> zaposlenosti,</w:t>
      </w:r>
      <w:r w:rsidRPr="00593418">
        <w:rPr>
          <w:rFonts w:asciiTheme="minorHAnsi" w:hAnsiTheme="minorHAnsi"/>
        </w:rPr>
        <w:t xml:space="preserve"> produktivnosti i socijaln</w:t>
      </w:r>
      <w:r w:rsidR="0010409B">
        <w:rPr>
          <w:rFonts w:asciiTheme="minorHAnsi" w:hAnsiTheme="minorHAnsi"/>
        </w:rPr>
        <w:t>oj</w:t>
      </w:r>
      <w:r w:rsidRPr="00593418">
        <w:rPr>
          <w:rFonts w:asciiTheme="minorHAnsi" w:hAnsiTheme="minorHAnsi"/>
        </w:rPr>
        <w:t xml:space="preserve"> kohezij</w:t>
      </w:r>
      <w:r w:rsidR="0010409B">
        <w:rPr>
          <w:rFonts w:asciiTheme="minorHAnsi" w:hAnsiTheme="minorHAnsi"/>
        </w:rPr>
        <w:t>i</w:t>
      </w:r>
      <w:r w:rsidRPr="00593418">
        <w:rPr>
          <w:rFonts w:asciiTheme="minorHAnsi" w:hAnsiTheme="minorHAnsi"/>
        </w:rPr>
        <w:t xml:space="preserve">, fokusirajući se na tri međusobno povezana prioriteta: </w:t>
      </w:r>
      <w:r w:rsidR="00C3231D">
        <w:rPr>
          <w:rFonts w:asciiTheme="minorHAnsi" w:hAnsiTheme="minorHAnsi"/>
        </w:rPr>
        <w:t>p</w:t>
      </w:r>
      <w:r w:rsidRPr="00593418">
        <w:rPr>
          <w:rFonts w:asciiTheme="minorHAnsi" w:hAnsiTheme="minorHAnsi"/>
        </w:rPr>
        <w:t xml:space="preserve">ametni rast, </w:t>
      </w:r>
      <w:r w:rsidR="00C3231D">
        <w:rPr>
          <w:rFonts w:asciiTheme="minorHAnsi" w:hAnsiTheme="minorHAnsi"/>
        </w:rPr>
        <w:t>o</w:t>
      </w:r>
      <w:r w:rsidRPr="00593418">
        <w:rPr>
          <w:rFonts w:asciiTheme="minorHAnsi" w:hAnsiTheme="minorHAnsi"/>
        </w:rPr>
        <w:t xml:space="preserve">drživi rast i </w:t>
      </w:r>
      <w:r w:rsidR="00C3231D">
        <w:rPr>
          <w:rFonts w:asciiTheme="minorHAnsi" w:hAnsiTheme="minorHAnsi"/>
        </w:rPr>
        <w:t>i</w:t>
      </w:r>
      <w:r w:rsidRPr="00593418">
        <w:rPr>
          <w:rFonts w:asciiTheme="minorHAnsi" w:hAnsiTheme="minorHAnsi"/>
        </w:rPr>
        <w:t>nkluzivni rast.</w:t>
      </w:r>
    </w:p>
    <w:p w14:paraId="789CE165" w14:textId="77777777" w:rsidR="00F619AC" w:rsidRPr="00593418" w:rsidRDefault="00F619AC" w:rsidP="00F619AC">
      <w:pPr>
        <w:spacing w:after="0" w:line="240" w:lineRule="auto"/>
        <w:jc w:val="both"/>
        <w:rPr>
          <w:rFonts w:asciiTheme="minorHAnsi" w:hAnsiTheme="minorHAnsi"/>
        </w:rPr>
      </w:pPr>
    </w:p>
    <w:p w14:paraId="4FC4C893" w14:textId="24273723" w:rsidR="007121CE" w:rsidRDefault="00F619AC" w:rsidP="00FE1B6C">
      <w:pPr>
        <w:spacing w:after="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Naredna </w:t>
      </w:r>
      <w:r w:rsidR="00075F58">
        <w:rPr>
          <w:rFonts w:asciiTheme="minorHAnsi" w:hAnsiTheme="minorHAnsi"/>
        </w:rPr>
        <w:t>S</w:t>
      </w:r>
      <w:r w:rsidRPr="00593418">
        <w:rPr>
          <w:rFonts w:asciiTheme="minorHAnsi" w:hAnsiTheme="minorHAnsi"/>
        </w:rPr>
        <w:t>lika</w:t>
      </w:r>
      <w:r w:rsidR="00075F58">
        <w:rPr>
          <w:rFonts w:asciiTheme="minorHAnsi" w:hAnsiTheme="minorHAnsi"/>
        </w:rPr>
        <w:t xml:space="preserve"> 4</w:t>
      </w:r>
      <w:r w:rsidRPr="00593418">
        <w:rPr>
          <w:rFonts w:asciiTheme="minorHAnsi" w:hAnsiTheme="minorHAnsi"/>
        </w:rPr>
        <w:t xml:space="preserve"> predstavlja dugoročnu viziju razvoja Crne Gore koja</w:t>
      </w:r>
      <w:r w:rsidR="0007735B">
        <w:rPr>
          <w:rFonts w:asciiTheme="minorHAnsi" w:hAnsiTheme="minorHAnsi"/>
        </w:rPr>
        <w:t>,</w:t>
      </w:r>
      <w:r w:rsidRPr="00593418">
        <w:rPr>
          <w:rFonts w:asciiTheme="minorHAnsi" w:hAnsiTheme="minorHAnsi"/>
        </w:rPr>
        <w:t xml:space="preserve"> kroz povezane prioritete </w:t>
      </w:r>
      <w:r w:rsidR="00075F58">
        <w:rPr>
          <w:rFonts w:asciiTheme="minorHAnsi" w:hAnsiTheme="minorHAnsi"/>
        </w:rPr>
        <w:t>S</w:t>
      </w:r>
      <w:r w:rsidR="00173BCC" w:rsidRPr="00593418">
        <w:rPr>
          <w:rFonts w:asciiTheme="minorHAnsi" w:hAnsiTheme="minorHAnsi"/>
        </w:rPr>
        <w:t>trategije pametne specijalizacije (</w:t>
      </w:r>
      <w:r w:rsidR="00A02200">
        <w:rPr>
          <w:rFonts w:asciiTheme="minorHAnsi" w:hAnsiTheme="minorHAnsi"/>
        </w:rPr>
        <w:t>S3</w:t>
      </w:r>
      <w:r w:rsidR="00173BCC" w:rsidRPr="00593418">
        <w:rPr>
          <w:rFonts w:asciiTheme="minorHAnsi" w:hAnsiTheme="minorHAnsi"/>
        </w:rPr>
        <w:t>)</w:t>
      </w:r>
      <w:r w:rsidR="00075F58">
        <w:rPr>
          <w:rFonts w:asciiTheme="minorHAnsi" w:hAnsiTheme="minorHAnsi"/>
        </w:rPr>
        <w:t xml:space="preserve"> </w:t>
      </w:r>
      <w:r w:rsidR="00075F58" w:rsidRPr="00593418">
        <w:rPr>
          <w:rFonts w:asciiTheme="minorHAnsi" w:hAnsiTheme="minorHAnsi"/>
        </w:rPr>
        <w:t xml:space="preserve"> i povećanje iskorišćenosti ukupnih potencijala </w:t>
      </w:r>
      <w:r w:rsidR="00A16D8C">
        <w:rPr>
          <w:rFonts w:asciiTheme="minorHAnsi" w:hAnsiTheme="minorHAnsi"/>
        </w:rPr>
        <w:t>zemlje</w:t>
      </w:r>
      <w:r w:rsidR="0007735B">
        <w:rPr>
          <w:rFonts w:asciiTheme="minorHAnsi" w:hAnsiTheme="minorHAnsi"/>
        </w:rPr>
        <w:t>,</w:t>
      </w:r>
      <w:r w:rsidR="00173BCC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treba da omogući ispunjenje osnovnog cilja koji se odnosi na prosperitet države</w:t>
      </w:r>
      <w:r w:rsidR="00A16D8C">
        <w:rPr>
          <w:rFonts w:asciiTheme="minorHAnsi" w:hAnsiTheme="minorHAnsi"/>
        </w:rPr>
        <w:t xml:space="preserve"> generalno</w:t>
      </w:r>
      <w:r w:rsidR="00483929" w:rsidRPr="00593418">
        <w:rPr>
          <w:rFonts w:asciiTheme="minorHAnsi" w:hAnsiTheme="minorHAnsi"/>
        </w:rPr>
        <w:t>,</w:t>
      </w:r>
      <w:r w:rsidRPr="00593418">
        <w:rPr>
          <w:rFonts w:asciiTheme="minorHAnsi" w:hAnsiTheme="minorHAnsi"/>
        </w:rPr>
        <w:t xml:space="preserve"> baziran na povećanju kvaliteta života svakog građanina</w:t>
      </w:r>
      <w:r w:rsidR="00A16D8C">
        <w:rPr>
          <w:rFonts w:asciiTheme="minorHAnsi" w:hAnsiTheme="minorHAnsi"/>
        </w:rPr>
        <w:t xml:space="preserve"> na realan, održiv i zdrav način,</w:t>
      </w:r>
      <w:r w:rsidR="00A16D8C" w:rsidRPr="00A16D8C">
        <w:rPr>
          <w:rFonts w:asciiTheme="minorHAnsi" w:hAnsiTheme="minorHAnsi"/>
        </w:rPr>
        <w:t xml:space="preserve"> </w:t>
      </w:r>
      <w:r w:rsidR="00A16D8C" w:rsidRPr="00593418">
        <w:rPr>
          <w:rFonts w:asciiTheme="minorHAnsi" w:hAnsiTheme="minorHAnsi"/>
        </w:rPr>
        <w:t>po mjeri čovjeka u 21. vijeku.</w:t>
      </w:r>
      <w:r w:rsidR="00A16D8C">
        <w:rPr>
          <w:rFonts w:asciiTheme="minorHAnsi" w:hAnsiTheme="minorHAnsi"/>
        </w:rPr>
        <w:t xml:space="preserve"> </w:t>
      </w:r>
    </w:p>
    <w:p w14:paraId="18889946" w14:textId="77777777" w:rsidR="00075F58" w:rsidRPr="00593418" w:rsidRDefault="00075F58" w:rsidP="00FE1B6C">
      <w:pPr>
        <w:spacing w:after="0" w:line="240" w:lineRule="auto"/>
        <w:jc w:val="both"/>
        <w:rPr>
          <w:rFonts w:asciiTheme="minorHAnsi" w:hAnsiTheme="minorHAnsi"/>
        </w:rPr>
      </w:pPr>
    </w:p>
    <w:p w14:paraId="1ADD38F2" w14:textId="374DC826" w:rsidR="00F619AC" w:rsidRPr="00593418" w:rsidRDefault="00F619AC" w:rsidP="007121CE">
      <w:pPr>
        <w:jc w:val="center"/>
        <w:rPr>
          <w:rFonts w:asciiTheme="minorHAnsi" w:hAnsiTheme="minorHAnsi"/>
          <w:sz w:val="20"/>
          <w:szCs w:val="20"/>
        </w:rPr>
      </w:pPr>
      <w:r w:rsidRPr="00952A15">
        <w:rPr>
          <w:rFonts w:asciiTheme="minorHAnsi" w:hAnsiTheme="minorHAnsi"/>
          <w:b/>
          <w:bCs/>
          <w:noProof/>
          <w:sz w:val="20"/>
          <w:szCs w:val="20"/>
        </w:rPr>
        <w:t xml:space="preserve">Slika </w:t>
      </w:r>
      <w:r w:rsidR="00173BCC" w:rsidRPr="00952A15">
        <w:rPr>
          <w:rFonts w:asciiTheme="minorHAnsi" w:hAnsiTheme="minorHAnsi"/>
          <w:b/>
          <w:bCs/>
          <w:noProof/>
          <w:sz w:val="20"/>
          <w:szCs w:val="20"/>
        </w:rPr>
        <w:t>4</w:t>
      </w:r>
      <w:r w:rsidR="00483929" w:rsidRPr="00952A15">
        <w:rPr>
          <w:rFonts w:asciiTheme="minorHAnsi" w:hAnsiTheme="minorHAnsi"/>
          <w:b/>
          <w:bCs/>
          <w:noProof/>
          <w:sz w:val="20"/>
          <w:szCs w:val="20"/>
        </w:rPr>
        <w:t>.</w:t>
      </w:r>
      <w:r w:rsidRPr="00952A15">
        <w:rPr>
          <w:rFonts w:asciiTheme="minorHAnsi" w:hAnsiTheme="minorHAnsi"/>
          <w:b/>
          <w:bCs/>
          <w:noProof/>
          <w:sz w:val="20"/>
          <w:szCs w:val="20"/>
        </w:rPr>
        <w:t xml:space="preserve"> Strateška</w:t>
      </w:r>
      <w:r w:rsidRPr="00593418">
        <w:rPr>
          <w:rFonts w:asciiTheme="minorHAnsi" w:hAnsiTheme="minorHAnsi"/>
          <w:b/>
          <w:bCs/>
          <w:noProof/>
          <w:sz w:val="20"/>
          <w:szCs w:val="20"/>
        </w:rPr>
        <w:t xml:space="preserve"> vizija razvoja države</w:t>
      </w:r>
    </w:p>
    <w:p w14:paraId="33DE651F" w14:textId="77777777" w:rsidR="00F619AC" w:rsidRPr="00593418" w:rsidRDefault="00F619AC" w:rsidP="00F619AC">
      <w:pPr>
        <w:ind w:left="1440"/>
        <w:rPr>
          <w:rFonts w:asciiTheme="minorHAnsi" w:hAnsiTheme="minorHAnsi"/>
        </w:rPr>
      </w:pPr>
      <w:r w:rsidRPr="00593418">
        <w:rPr>
          <w:rFonts w:asciiTheme="minorHAnsi" w:hAnsiTheme="minorHAnsi" w:cs="Calibri"/>
          <w:bCs/>
          <w:noProof/>
          <w:sz w:val="24"/>
          <w:szCs w:val="24"/>
          <w:lang w:val="en-US"/>
        </w:rPr>
        <w:drawing>
          <wp:inline distT="0" distB="0" distL="0" distR="0" wp14:anchorId="4F69A8BE" wp14:editId="0C3420A5">
            <wp:extent cx="3756660" cy="2305050"/>
            <wp:effectExtent l="38100" t="0" r="3429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57A31D68" w14:textId="77777777" w:rsidR="00FD39C0" w:rsidRDefault="00FD39C0">
      <w:pPr>
        <w:suppressAutoHyphens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A12279F" w14:textId="2F7C5F5F" w:rsidR="00F619AC" w:rsidRDefault="00F619AC" w:rsidP="00F619AC">
      <w:pPr>
        <w:spacing w:after="0" w:line="240" w:lineRule="auto"/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lastRenderedPageBreak/>
        <w:t>Zdrav</w:t>
      </w:r>
      <w:r w:rsidR="007552B5">
        <w:rPr>
          <w:rFonts w:asciiTheme="minorHAnsi" w:hAnsiTheme="minorHAnsi" w:cstheme="minorHAnsi"/>
          <w:b/>
        </w:rPr>
        <w:t>ij</w:t>
      </w:r>
      <w:r w:rsidRPr="00593418">
        <w:rPr>
          <w:rFonts w:asciiTheme="minorHAnsi" w:hAnsiTheme="minorHAnsi" w:cstheme="minorHAnsi"/>
          <w:b/>
        </w:rPr>
        <w:t xml:space="preserve">a Crna Gora </w:t>
      </w:r>
    </w:p>
    <w:p w14:paraId="516380C6" w14:textId="77777777" w:rsidR="00FD39C0" w:rsidRPr="00593418" w:rsidRDefault="00FD39C0" w:rsidP="00F619AC">
      <w:pPr>
        <w:spacing w:after="0" w:line="240" w:lineRule="auto"/>
        <w:rPr>
          <w:rFonts w:asciiTheme="minorHAnsi" w:hAnsiTheme="minorHAnsi" w:cstheme="minorHAnsi"/>
          <w:b/>
        </w:rPr>
      </w:pPr>
    </w:p>
    <w:p w14:paraId="1B906CEB" w14:textId="2B816C38" w:rsidR="00F619AC" w:rsidRPr="00593418" w:rsidRDefault="00F619AC" w:rsidP="00C5372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Strateški pravac </w:t>
      </w:r>
      <w:r w:rsidRPr="00593418">
        <w:rPr>
          <w:rFonts w:asciiTheme="minorHAnsi" w:hAnsiTheme="minorHAnsi" w:cstheme="minorHAnsi"/>
          <w:b/>
        </w:rPr>
        <w:t>„Zdrav</w:t>
      </w:r>
      <w:r w:rsidR="00075F58">
        <w:rPr>
          <w:rFonts w:asciiTheme="minorHAnsi" w:hAnsiTheme="minorHAnsi" w:cstheme="minorHAnsi"/>
          <w:b/>
        </w:rPr>
        <w:t>ij</w:t>
      </w:r>
      <w:r w:rsidRPr="00593418">
        <w:rPr>
          <w:rFonts w:asciiTheme="minorHAnsi" w:hAnsiTheme="minorHAnsi" w:cstheme="minorHAnsi"/>
          <w:b/>
        </w:rPr>
        <w:t>a Crna Gora“</w:t>
      </w:r>
      <w:r w:rsidR="00483929" w:rsidRPr="00593418">
        <w:rPr>
          <w:rFonts w:asciiTheme="minorHAnsi" w:hAnsiTheme="minorHAnsi" w:cstheme="minorHAnsi"/>
          <w:b/>
        </w:rPr>
        <w:t>,</w:t>
      </w:r>
      <w:r w:rsidRPr="00593418">
        <w:rPr>
          <w:rFonts w:asciiTheme="minorHAnsi" w:hAnsiTheme="minorHAnsi" w:cstheme="minorHAnsi"/>
        </w:rPr>
        <w:t xml:space="preserve"> sa unaprijeđenim aspektima primarne, sekundarne i tercija</w:t>
      </w:r>
      <w:r w:rsidR="00483929" w:rsidRPr="00593418">
        <w:rPr>
          <w:rFonts w:asciiTheme="minorHAnsi" w:hAnsiTheme="minorHAnsi" w:cstheme="minorHAnsi"/>
        </w:rPr>
        <w:t>r</w:t>
      </w:r>
      <w:r w:rsidRPr="00593418">
        <w:rPr>
          <w:rFonts w:asciiTheme="minorHAnsi" w:hAnsiTheme="minorHAnsi" w:cstheme="minorHAnsi"/>
        </w:rPr>
        <w:t>ne zaštite i preventive</w:t>
      </w:r>
      <w:r w:rsidR="00760B80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i novim proizvodima</w:t>
      </w:r>
      <w:r w:rsidR="00483929" w:rsidRPr="00593418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omogućiće veći kvalitet života</w:t>
      </w:r>
      <w:r w:rsidR="00483929" w:rsidRPr="00593418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time i prosperitet nacije. Zdrav</w:t>
      </w:r>
      <w:r w:rsidR="00075F58">
        <w:rPr>
          <w:rFonts w:asciiTheme="minorHAnsi" w:hAnsiTheme="minorHAnsi" w:cstheme="minorHAnsi"/>
        </w:rPr>
        <w:t>ij</w:t>
      </w:r>
      <w:r w:rsidRPr="00593418">
        <w:rPr>
          <w:rFonts w:asciiTheme="minorHAnsi" w:hAnsiTheme="minorHAnsi" w:cstheme="minorHAnsi"/>
        </w:rPr>
        <w:t>a Crna Gora je središte biomedicinskog razvoja kroz nove tehnologije, proizvodnju lj</w:t>
      </w:r>
      <w:r w:rsidR="00FF26F1" w:rsidRPr="00593418">
        <w:rPr>
          <w:rFonts w:asciiTheme="minorHAnsi" w:hAnsiTheme="minorHAnsi" w:cstheme="minorHAnsi"/>
        </w:rPr>
        <w:t>ekova, ljekovitog bilja i organske</w:t>
      </w:r>
      <w:r w:rsidRPr="00593418">
        <w:rPr>
          <w:rFonts w:asciiTheme="minorHAnsi" w:hAnsiTheme="minorHAnsi" w:cstheme="minorHAnsi"/>
        </w:rPr>
        <w:t xml:space="preserve"> hrane</w:t>
      </w:r>
      <w:r w:rsidR="006E6DC8">
        <w:rPr>
          <w:rFonts w:asciiTheme="minorHAnsi" w:hAnsiTheme="minorHAnsi" w:cstheme="minorHAnsi"/>
        </w:rPr>
        <w:t xml:space="preserve"> i</w:t>
      </w:r>
      <w:r w:rsidRPr="00593418">
        <w:rPr>
          <w:rFonts w:asciiTheme="minorHAnsi" w:hAnsiTheme="minorHAnsi" w:cstheme="minorHAnsi"/>
        </w:rPr>
        <w:t xml:space="preserve"> uz pružanje speci</w:t>
      </w:r>
      <w:r w:rsidR="00760B80">
        <w:rPr>
          <w:rFonts w:asciiTheme="minorHAnsi" w:hAnsiTheme="minorHAnsi" w:cstheme="minorHAnsi"/>
        </w:rPr>
        <w:t xml:space="preserve">jalizovanih zdravstvenih usluga (poput inovativnih i standardnih terapeutskih i rehabilitacionih programa) </w:t>
      </w:r>
      <w:r w:rsidRPr="00593418">
        <w:rPr>
          <w:rFonts w:asciiTheme="minorHAnsi" w:hAnsiTheme="minorHAnsi" w:cstheme="minorHAnsi"/>
        </w:rPr>
        <w:t>kao gotovog proizvoda</w:t>
      </w:r>
      <w:r w:rsidR="00593396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sa ciljem privlačenja </w:t>
      </w:r>
      <w:r w:rsidR="00760B80">
        <w:rPr>
          <w:rFonts w:asciiTheme="minorHAnsi" w:hAnsiTheme="minorHAnsi" w:cstheme="minorHAnsi"/>
        </w:rPr>
        <w:t xml:space="preserve">posebne grupe </w:t>
      </w:r>
      <w:r w:rsidRPr="00593418">
        <w:rPr>
          <w:rFonts w:asciiTheme="minorHAnsi" w:hAnsiTheme="minorHAnsi" w:cstheme="minorHAnsi"/>
        </w:rPr>
        <w:t>pacijenata i istraživača iz regiona i šire. Zdrav</w:t>
      </w:r>
      <w:r w:rsidR="00075F58">
        <w:rPr>
          <w:rFonts w:asciiTheme="minorHAnsi" w:hAnsiTheme="minorHAnsi" w:cstheme="minorHAnsi"/>
        </w:rPr>
        <w:t>ij</w:t>
      </w:r>
      <w:r w:rsidRPr="00593418">
        <w:rPr>
          <w:rFonts w:asciiTheme="minorHAnsi" w:hAnsiTheme="minorHAnsi" w:cstheme="minorHAnsi"/>
        </w:rPr>
        <w:t xml:space="preserve">a Crna Gora je društvo tehnologije za zdravlje, nauku, blagostanje, regionalnu saradnju i mir. </w:t>
      </w:r>
    </w:p>
    <w:p w14:paraId="71AE4597" w14:textId="3E516D27" w:rsidR="00FD39C0" w:rsidRDefault="00FD39C0" w:rsidP="00173B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D53AE5" w14:textId="77777777" w:rsidR="00A327C7" w:rsidRPr="00593418" w:rsidRDefault="00A327C7" w:rsidP="00173B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AF4040" w14:textId="77777777" w:rsidR="00F619AC" w:rsidRPr="00593418" w:rsidRDefault="00F619AC" w:rsidP="00F619AC">
      <w:pPr>
        <w:rPr>
          <w:b/>
        </w:rPr>
      </w:pPr>
      <w:r w:rsidRPr="00593418">
        <w:rPr>
          <w:b/>
        </w:rPr>
        <w:t>Održiva Crna Gora</w:t>
      </w:r>
    </w:p>
    <w:p w14:paraId="729DC49E" w14:textId="4CAFCEB4" w:rsidR="00FD39C0" w:rsidRDefault="00F619AC" w:rsidP="00C047DA">
      <w:pPr>
        <w:spacing w:line="240" w:lineRule="auto"/>
        <w:jc w:val="both"/>
      </w:pPr>
      <w:r w:rsidRPr="00593418">
        <w:t>Strateški pravac „</w:t>
      </w:r>
      <w:r w:rsidRPr="00593418">
        <w:rPr>
          <w:b/>
        </w:rPr>
        <w:t>Održiva Crna Gora“</w:t>
      </w:r>
      <w:r w:rsidRPr="00593418">
        <w:t xml:space="preserve"> odnosi se na ispunjenje ustavn</w:t>
      </w:r>
      <w:r w:rsidR="006E6DC8">
        <w:t>og</w:t>
      </w:r>
      <w:r w:rsidRPr="00593418">
        <w:t xml:space="preserve"> </w:t>
      </w:r>
      <w:r w:rsidR="006E6DC8">
        <w:t>određenja</w:t>
      </w:r>
      <w:r w:rsidRPr="00593418">
        <w:t xml:space="preserve"> Crn</w:t>
      </w:r>
      <w:r w:rsidR="006E6DC8">
        <w:t>e</w:t>
      </w:r>
      <w:r w:rsidRPr="00593418">
        <w:t xml:space="preserve"> Gor</w:t>
      </w:r>
      <w:r w:rsidR="006E6DC8">
        <w:t>e</w:t>
      </w:r>
      <w:r w:rsidRPr="00593418">
        <w:t xml:space="preserve"> kao eko</w:t>
      </w:r>
      <w:r w:rsidR="00C3231D">
        <w:t>lo</w:t>
      </w:r>
      <w:r w:rsidRPr="00593418">
        <w:t>šk</w:t>
      </w:r>
      <w:r w:rsidR="006E6DC8">
        <w:t>e</w:t>
      </w:r>
      <w:r w:rsidRPr="00593418">
        <w:t xml:space="preserve"> držav</w:t>
      </w:r>
      <w:r w:rsidR="006E6DC8">
        <w:t>e</w:t>
      </w:r>
      <w:r w:rsidRPr="00593418">
        <w:t>. Ovaj pravac podrazum</w:t>
      </w:r>
      <w:r w:rsidR="00C3231D">
        <w:t>i</w:t>
      </w:r>
      <w:r w:rsidRPr="00593418">
        <w:t xml:space="preserve">jeva ekološki odgovornu i efikasnu ekonomiju sa aspekta korišćenja i očuvanja prirodnih resursa i međugeneracijskog nivoa blagostanja. Utemeljena je milenijumskim razvojnim ciljevima, Strategijom Evropa 2020 i osnovnim strateškim dokumentima u Crnoj Gori. </w:t>
      </w:r>
      <w:r w:rsidR="00C3231D">
        <w:t>Održiva Crna Gora</w:t>
      </w:r>
      <w:r w:rsidR="00593396">
        <w:t>,</w:t>
      </w:r>
      <w:r w:rsidRPr="00593418">
        <w:t xml:space="preserve"> prije svega</w:t>
      </w:r>
      <w:r w:rsidR="00593396">
        <w:t>,</w:t>
      </w:r>
      <w:r w:rsidRPr="00593418">
        <w:t xml:space="preserve"> znači dalji razvoj i efikasnu upotrebu prirodnih resursa. </w:t>
      </w:r>
      <w:r w:rsidRPr="000136EA">
        <w:t xml:space="preserve">Prostor kao najvažniji resurs </w:t>
      </w:r>
      <w:r w:rsidR="00481EFB" w:rsidRPr="000136EA">
        <w:t>d</w:t>
      </w:r>
      <w:r w:rsidRPr="000136EA">
        <w:t xml:space="preserve">ržave mora biti valorizovan </w:t>
      </w:r>
      <w:r w:rsidR="00C3231D" w:rsidRPr="000136EA">
        <w:t>tako</w:t>
      </w:r>
      <w:r w:rsidRPr="000136EA">
        <w:t xml:space="preserve"> da ne dođe do njegove devastacije. Razvoj saobraćajne infrastrukture i sanacija </w:t>
      </w:r>
      <w:r w:rsidR="006E6DC8">
        <w:t xml:space="preserve">ekoloških </w:t>
      </w:r>
      <w:r w:rsidRPr="000136EA">
        <w:t xml:space="preserve">„crnih tačaka“ </w:t>
      </w:r>
      <w:r w:rsidR="00C3231D" w:rsidRPr="000136EA">
        <w:t>mora  se oslanja</w:t>
      </w:r>
      <w:r w:rsidR="00593396">
        <w:t>ti</w:t>
      </w:r>
      <w:r w:rsidR="00C3231D" w:rsidRPr="000136EA">
        <w:t xml:space="preserve">  na</w:t>
      </w:r>
      <w:r w:rsidR="00FE1B6C" w:rsidRPr="000136EA">
        <w:t xml:space="preserve"> inovativna r</w:t>
      </w:r>
      <w:r w:rsidR="00C3231D" w:rsidRPr="000136EA">
        <w:t>j</w:t>
      </w:r>
      <w:r w:rsidR="00FE1B6C" w:rsidRPr="000136EA">
        <w:t xml:space="preserve">ešenja i nove tehnologije za potpunije korišćenje sekundarnih sirovina i </w:t>
      </w:r>
      <w:r w:rsidR="00172426" w:rsidRPr="000136EA">
        <w:t>adekvatn</w:t>
      </w:r>
      <w:r w:rsidR="00172426">
        <w:t>u</w:t>
      </w:r>
      <w:r w:rsidR="00172426" w:rsidRPr="000136EA">
        <w:t xml:space="preserve"> </w:t>
      </w:r>
      <w:r w:rsidR="00FE1B6C" w:rsidRPr="000136EA">
        <w:t>ponovn</w:t>
      </w:r>
      <w:r w:rsidR="00172426">
        <w:t>u</w:t>
      </w:r>
      <w:r w:rsidR="00FE1B6C" w:rsidRPr="000136EA">
        <w:t xml:space="preserve"> upotreb</w:t>
      </w:r>
      <w:r w:rsidR="00172426">
        <w:t>u</w:t>
      </w:r>
      <w:r w:rsidR="00FE1B6C" w:rsidRPr="000136EA">
        <w:t xml:space="preserve"> otpada na principima cirkularne ekonomije</w:t>
      </w:r>
      <w:r w:rsidRPr="000136EA">
        <w:t>, stvaraju</w:t>
      </w:r>
      <w:r w:rsidR="00FE1B6C" w:rsidRPr="000136EA">
        <w:t>ći</w:t>
      </w:r>
      <w:r w:rsidRPr="000136EA">
        <w:t xml:space="preserve"> </w:t>
      </w:r>
      <w:r w:rsidR="00C3231D" w:rsidRPr="000136EA">
        <w:t xml:space="preserve">tako </w:t>
      </w:r>
      <w:r w:rsidRPr="000136EA">
        <w:t>preduslove za održiv razvoj. Ispunjenje zadataka iz oblasti zaštite životne sredine</w:t>
      </w:r>
      <w:r w:rsidR="00483929" w:rsidRPr="000136EA">
        <w:t>,</w:t>
      </w:r>
      <w:r w:rsidRPr="000136EA">
        <w:t xml:space="preserve"> posebno onih predviđenih poglavljem 27</w:t>
      </w:r>
      <w:r w:rsidR="00483929" w:rsidRPr="000136EA">
        <w:t>,</w:t>
      </w:r>
      <w:r w:rsidRPr="00593418">
        <w:t xml:space="preserve"> pozitivno će u</w:t>
      </w:r>
      <w:r w:rsidR="00FE1B6C" w:rsidRPr="00593418">
        <w:t>t</w:t>
      </w:r>
      <w:r w:rsidRPr="00593418">
        <w:t>icati na cjelokupnu državu.</w:t>
      </w:r>
      <w:r w:rsidR="00173BCC" w:rsidRPr="00593418">
        <w:t xml:space="preserve"> </w:t>
      </w:r>
      <w:r w:rsidR="00FE6F00" w:rsidRPr="00593418">
        <w:t>Re</w:t>
      </w:r>
      <w:r w:rsidR="00483929" w:rsidRPr="00593418">
        <w:t>a</w:t>
      </w:r>
      <w:r w:rsidR="00FE6F00" w:rsidRPr="00593418">
        <w:t xml:space="preserve">lizacija pomenutog strateškog cilja direktno je vezana za sve prioritete koji su definisani </w:t>
      </w:r>
      <w:r w:rsidR="00483929" w:rsidRPr="00593418">
        <w:t>S</w:t>
      </w:r>
      <w:r w:rsidR="00FE6F00" w:rsidRPr="00593418">
        <w:t xml:space="preserve">trategijom pametne specijalizacije i nužan </w:t>
      </w:r>
      <w:r w:rsidR="00A50CBC">
        <w:t xml:space="preserve">je </w:t>
      </w:r>
      <w:r w:rsidR="00FE6F00" w:rsidRPr="00593418">
        <w:t>preduslov uspješnog ostvarivanja svakog od njih.</w:t>
      </w:r>
      <w:r w:rsidR="00FE1B6C" w:rsidRPr="00593418">
        <w:t xml:space="preserve"> </w:t>
      </w:r>
      <w:r w:rsidR="00FE6F00" w:rsidRPr="00593418">
        <w:t xml:space="preserve"> </w:t>
      </w:r>
    </w:p>
    <w:p w14:paraId="6D2D7B2F" w14:textId="77777777" w:rsidR="00F619AC" w:rsidRPr="00593418" w:rsidRDefault="00F619AC" w:rsidP="00F619AC">
      <w:pPr>
        <w:rPr>
          <w:b/>
        </w:rPr>
      </w:pPr>
      <w:r w:rsidRPr="00593418">
        <w:rPr>
          <w:b/>
        </w:rPr>
        <w:t>Modernizovana i digitalizovana Crna Gora</w:t>
      </w:r>
    </w:p>
    <w:p w14:paraId="04DBBA95" w14:textId="6EE580A8" w:rsidR="00F619AC" w:rsidRPr="00593418" w:rsidRDefault="00F619AC" w:rsidP="00294EBF">
      <w:pPr>
        <w:spacing w:after="100" w:afterAutospacing="1" w:line="240" w:lineRule="auto"/>
        <w:jc w:val="both"/>
        <w:rPr>
          <w:rFonts w:asciiTheme="minorHAnsi" w:hAnsiTheme="minorHAnsi"/>
        </w:rPr>
      </w:pPr>
      <w:r w:rsidRPr="00593418">
        <w:t xml:space="preserve">Strateški pravac </w:t>
      </w:r>
      <w:r w:rsidRPr="00593418">
        <w:rPr>
          <w:b/>
        </w:rPr>
        <w:t>„Modernizovana i digitalizovana Crna Gora“</w:t>
      </w:r>
      <w:r w:rsidRPr="00593418">
        <w:t xml:space="preserve"> treba da omogući dostizanje standarda EU koji su povezani sa Digitalnom agendom 2020</w:t>
      </w:r>
      <w:r w:rsidR="00AB4BAF">
        <w:t>,</w:t>
      </w:r>
      <w:r w:rsidRPr="00593418">
        <w:t xml:space="preserve"> Strategijom za jedinstveno digitalno tržište</w:t>
      </w:r>
      <w:r w:rsidR="00AB4BAF">
        <w:t xml:space="preserve"> i EU inoviranom Industrijskom politikom</w:t>
      </w:r>
      <w:r w:rsidRPr="00593418">
        <w:t xml:space="preserve">. Razvoj </w:t>
      </w:r>
      <w:r w:rsidR="00FE6F00" w:rsidRPr="00593418">
        <w:t>i primjena ICT od pres</w:t>
      </w:r>
      <w:r w:rsidRPr="00593418">
        <w:t xml:space="preserve">udnog je značaja za ekonomski razvoj. Dostizanje standarda i ispunjenje ciljeva pomaže razvoju trgovine, boljem korišćenju kapitala i jačanju nacionalne konkurentnosti. Uvođenje savremenih tehnologija i valorizacija upotrebe raspoloživih sirovina u prioritetnim sektorima dovešće </w:t>
      </w:r>
      <w:r w:rsidR="00483929" w:rsidRPr="00593418">
        <w:t xml:space="preserve">do snabdijevanja tržišta visoko </w:t>
      </w:r>
      <w:r w:rsidRPr="00593418">
        <w:t>kvalitetnim proizvodima. Temelji ovakvog pravca vezani su za bolju infrastrukturu, e-ekonomiju i informacionu bezb</w:t>
      </w:r>
      <w:r w:rsidR="000B7CA0">
        <w:t>i</w:t>
      </w:r>
      <w:r w:rsidRPr="00593418">
        <w:t>jednost.</w:t>
      </w:r>
      <w:r w:rsidR="00FE6F00" w:rsidRPr="00593418">
        <w:t xml:space="preserve"> </w:t>
      </w:r>
      <w:r w:rsidR="00C3231D">
        <w:t>Dostizanje</w:t>
      </w:r>
      <w:r w:rsidR="00FE6F00" w:rsidRPr="00593418">
        <w:t xml:space="preserve"> ovoga cilja takođe je direktno vezano za sve prioritete definisane Strategijom pametne specijalizacije, pa je </w:t>
      </w:r>
      <w:r w:rsidR="00483929" w:rsidRPr="00593418">
        <w:t>zato</w:t>
      </w:r>
      <w:r w:rsidR="00FE6F00" w:rsidRPr="00593418">
        <w:t xml:space="preserve"> i ICT</w:t>
      </w:r>
      <w:r w:rsidR="00FE6F00" w:rsidRPr="00593418">
        <w:rPr>
          <w:rFonts w:asciiTheme="minorHAnsi" w:hAnsiTheme="minorHAnsi"/>
        </w:rPr>
        <w:t xml:space="preserve"> definisan kao horizontalan sektor koji pruža </w:t>
      </w:r>
      <w:r w:rsidR="003D4388" w:rsidRPr="00593418">
        <w:rPr>
          <w:rFonts w:asciiTheme="minorHAnsi" w:hAnsiTheme="minorHAnsi"/>
        </w:rPr>
        <w:t>informaciono-</w:t>
      </w:r>
      <w:r w:rsidR="00FE6F00" w:rsidRPr="00593418">
        <w:rPr>
          <w:rFonts w:asciiTheme="minorHAnsi" w:hAnsiTheme="minorHAnsi"/>
        </w:rPr>
        <w:t>tehnološku podršk</w:t>
      </w:r>
      <w:r w:rsidR="003D4388" w:rsidRPr="00593418">
        <w:rPr>
          <w:rFonts w:asciiTheme="minorHAnsi" w:hAnsiTheme="minorHAnsi"/>
        </w:rPr>
        <w:t>u izabranim prioritetima</w:t>
      </w:r>
      <w:r w:rsidR="00FE6F00" w:rsidRPr="00593418">
        <w:rPr>
          <w:rFonts w:asciiTheme="minorHAnsi" w:hAnsiTheme="minorHAnsi"/>
        </w:rPr>
        <w:t xml:space="preserve">. </w:t>
      </w:r>
    </w:p>
    <w:p w14:paraId="6F67AC5B" w14:textId="5C15A5B0" w:rsidR="00481EFB" w:rsidRPr="00593418" w:rsidRDefault="005D08E6" w:rsidP="00294EBF">
      <w:pPr>
        <w:spacing w:after="100" w:afterAutospacing="1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22F46" wp14:editId="26F46F73">
                <wp:simplePos x="0" y="0"/>
                <wp:positionH relativeFrom="column">
                  <wp:posOffset>-109057</wp:posOffset>
                </wp:positionH>
                <wp:positionV relativeFrom="paragraph">
                  <wp:posOffset>823053</wp:posOffset>
                </wp:positionV>
                <wp:extent cx="6006518" cy="1157681"/>
                <wp:effectExtent l="0" t="0" r="1333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518" cy="11576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6DF90" w14:textId="77777777" w:rsidR="00A327C7" w:rsidRDefault="00A32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822F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pt;margin-top:64.8pt;width:472.95pt;height:9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A9QgIAAHoEAAAOAAAAZHJzL2Uyb0RvYy54bWysVMFuGjEQvVfqP1i+l2UpkASxRDQRVaUo&#10;iZRUORuvN6zq9bi2YZd+fZ+9QFDaU9WLGc+8Hc+8N8P8ums02ynnazIFzwdDzpSRVNbmteDfn1ef&#10;LjnzQZhSaDKq4Hvl+fXi44d5a2dqRBvSpXIMSYyftbbgmxDsLMu83KhG+AFZZRCsyDUi4Opes9KJ&#10;FtkbnY2Gw2nWkiutI6m8h/e2D/JFyl9VSoaHqvIqMF1w1BbS6dK5jme2mIvZqxN2U8tDGeIfqmhE&#10;bfDoKdWtCIJtXf1HqqaWjjxVYSCpyaiqaqlSD+gmH77r5mkjrEq9gBxvTzT5/5dW3u8eHavLgo85&#10;M6KBRM+qC+wLdWwc2WmtnwH0ZAELHdxQ+ej3cMamu8o18RftMMTB8/7EbUwm4ZxCrEmOaZCI5fnk&#10;YnqZ8mRvn1vnw1dFDYtGwR3ES5yK3Z0PKAXQIyS+ZmhVa50E1Ia1eOLzZJg+8KTrMgYjLH5yox3b&#10;CYzAWgv5I5aPXGco3LSBMzbbNxWt0K27AwNrKvcgwFE/QN7KVY28d8KHR+EwMegZWxAecFSaUAwd&#10;LM425H79zR/xEBJRzlpMYMH9z61wijP9zUDiq3w8jiObLuPJxQgXdx5Zn0fMtrkhdJhj36xMZsQH&#10;fTQrR80LlmUZX0VIGIm3Cx6O5k3o9wLLJtVymUAYUivCnXmyMqY+8vncvQhnDzoFSHxPx1kVs3dy&#10;9dhesOU2UFUnLSPBPasH3jHgSZbDMsYNOr8n1NtfxuI3AAAA//8DAFBLAwQUAAYACAAAACEAOX5y&#10;eOIAAAALAQAADwAAAGRycy9kb3ducmV2LnhtbEyPTUvDQBRF94L/YXiCu3aSiE0TMykidiGI0CrW&#10;5STzzATnI2amafTX+1zp8nEP955XbWZr2IRj6L0TkC4TYOhar3rXCXh53i7WwEKUTknjHQr4wgCb&#10;+vyskqXyJ7fDaR87RiUulFKAjnEoOQ+tRivD0g/oKHv3o5WRzrHjapQnKreGZ0my4lb2jha0HPBO&#10;Y/uxP1oBj6+Hz/vt01tywMb015PJ9cN3I8TlxXx7AyziHP9g+NUndajJqfFHpwIzAhZpnhFKQVas&#10;gBFRZOscWCPgKk0L4HXF//9Q/wAAAP//AwBQSwECLQAUAAYACAAAACEAtoM4kv4AAADhAQAAEwAA&#10;AAAAAAAAAAAAAAAAAAAAW0NvbnRlbnRfVHlwZXNdLnhtbFBLAQItABQABgAIAAAAIQA4/SH/1gAA&#10;AJQBAAALAAAAAAAAAAAAAAAAAC8BAABfcmVscy8ucmVsc1BLAQItABQABgAIAAAAIQAP6yA9QgIA&#10;AHoEAAAOAAAAAAAAAAAAAAAAAC4CAABkcnMvZTJvRG9jLnhtbFBLAQItABQABgAIAAAAIQA5fnJ4&#10;4gAAAAsBAAAPAAAAAAAAAAAAAAAAAJwEAABkcnMvZG93bnJldi54bWxQSwUGAAAAAAQABADzAAAA&#10;qwUAAAAA&#10;" filled="f" strokeweight=".5pt">
                <v:textbox>
                  <w:txbxContent>
                    <w:p w14:paraId="2896DF90" w14:textId="77777777" w:rsidR="00A327C7" w:rsidRDefault="00A327C7"/>
                  </w:txbxContent>
                </v:textbox>
              </v:shape>
            </w:pict>
          </mc:Fallback>
        </mc:AlternateContent>
      </w:r>
      <w:r w:rsidR="00A50CBC">
        <w:t>Prethodno navedeni s</w:t>
      </w:r>
      <w:r w:rsidR="00481EFB" w:rsidRPr="00593418">
        <w:t xml:space="preserve">trateški pravci razvoja </w:t>
      </w:r>
      <w:r w:rsidR="00A02200">
        <w:rPr>
          <w:rFonts w:asciiTheme="minorHAnsi" w:hAnsiTheme="minorHAnsi"/>
        </w:rPr>
        <w:t>S3</w:t>
      </w:r>
      <w:r w:rsidR="00857045" w:rsidRPr="00593418">
        <w:rPr>
          <w:rFonts w:asciiTheme="minorHAnsi" w:hAnsiTheme="minorHAnsi"/>
        </w:rPr>
        <w:t xml:space="preserve"> Strategije bazirani su na istraživačkim i razvojnim potencijalima države. Kao takvi</w:t>
      </w:r>
      <w:r w:rsidR="000B7CA0">
        <w:rPr>
          <w:rFonts w:asciiTheme="minorHAnsi" w:hAnsiTheme="minorHAnsi"/>
        </w:rPr>
        <w:t>,</w:t>
      </w:r>
      <w:r w:rsidR="00857045" w:rsidRPr="00593418">
        <w:rPr>
          <w:rFonts w:asciiTheme="minorHAnsi" w:hAnsiTheme="minorHAnsi"/>
        </w:rPr>
        <w:t xml:space="preserve"> komplementarni su sa st</w:t>
      </w:r>
      <w:r w:rsidR="00CE5EB7" w:rsidRPr="00593418">
        <w:rPr>
          <w:rFonts w:asciiTheme="minorHAnsi" w:hAnsiTheme="minorHAnsi"/>
        </w:rPr>
        <w:t>r</w:t>
      </w:r>
      <w:r w:rsidR="00857045" w:rsidRPr="00593418">
        <w:rPr>
          <w:rFonts w:asciiTheme="minorHAnsi" w:hAnsiTheme="minorHAnsi"/>
        </w:rPr>
        <w:t>ateškim ciljem povezivanja istraživanja i inovacija u realnom sektoru</w:t>
      </w:r>
      <w:r w:rsidR="00CE5EB7" w:rsidRPr="00593418">
        <w:rPr>
          <w:rFonts w:asciiTheme="minorHAnsi" w:hAnsiTheme="minorHAnsi"/>
        </w:rPr>
        <w:t>,</w:t>
      </w:r>
      <w:r w:rsidR="00857045" w:rsidRPr="00593418">
        <w:rPr>
          <w:rFonts w:asciiTheme="minorHAnsi" w:hAnsiTheme="minorHAnsi"/>
        </w:rPr>
        <w:t xml:space="preserve"> koji treba da omogući dalji razvoj i podizanje nivoa konkurentnosti nacionalne ekonomije. </w:t>
      </w:r>
    </w:p>
    <w:p w14:paraId="43DE5062" w14:textId="1C38C820" w:rsidR="00FD39C0" w:rsidRDefault="00311F6F" w:rsidP="00294EBF">
      <w:pPr>
        <w:spacing w:after="100" w:afterAutospacing="1" w:line="240" w:lineRule="auto"/>
        <w:jc w:val="both"/>
        <w:rPr>
          <w:rFonts w:asciiTheme="minorHAnsi" w:hAnsiTheme="minorHAnsi"/>
        </w:rPr>
      </w:pPr>
      <w:r w:rsidRPr="005D08E6">
        <w:rPr>
          <w:rFonts w:asciiTheme="minorHAnsi" w:hAnsiTheme="minorHAnsi"/>
        </w:rPr>
        <w:t xml:space="preserve">Primjer </w:t>
      </w:r>
      <w:r w:rsidR="000B3276" w:rsidRPr="005D08E6">
        <w:rPr>
          <w:rFonts w:asciiTheme="minorHAnsi" w:hAnsiTheme="minorHAnsi"/>
        </w:rPr>
        <w:t xml:space="preserve">regionalnog </w:t>
      </w:r>
      <w:r w:rsidRPr="005D08E6">
        <w:rPr>
          <w:rFonts w:asciiTheme="minorHAnsi" w:hAnsiTheme="minorHAnsi"/>
        </w:rPr>
        <w:t>projek</w:t>
      </w:r>
      <w:r w:rsidR="00857045" w:rsidRPr="005D08E6">
        <w:rPr>
          <w:rFonts w:asciiTheme="minorHAnsi" w:hAnsiTheme="minorHAnsi"/>
        </w:rPr>
        <w:t>ta</w:t>
      </w:r>
      <w:r w:rsidRPr="005D08E6">
        <w:rPr>
          <w:rFonts w:asciiTheme="minorHAnsi" w:hAnsiTheme="minorHAnsi"/>
        </w:rPr>
        <w:t xml:space="preserve"> koji prožima sva tri strateška pravca (zdrava, održiva, mode</w:t>
      </w:r>
      <w:r w:rsidR="00CE5EB7" w:rsidRPr="005D08E6">
        <w:rPr>
          <w:rFonts w:asciiTheme="minorHAnsi" w:hAnsiTheme="minorHAnsi"/>
        </w:rPr>
        <w:t xml:space="preserve">rnizovana i digitalizovana) je </w:t>
      </w:r>
      <w:r w:rsidRPr="005D08E6">
        <w:rPr>
          <w:rFonts w:asciiTheme="minorHAnsi" w:hAnsiTheme="minorHAnsi"/>
        </w:rPr>
        <w:t xml:space="preserve">Međunarodni institut za održive tehnologije na prostoru Jugoistočne Evrope </w:t>
      </w:r>
      <w:r w:rsidR="00FB1ECB" w:rsidRPr="005D08E6">
        <w:rPr>
          <w:rFonts w:asciiTheme="minorHAnsi" w:hAnsiTheme="minorHAnsi"/>
        </w:rPr>
        <w:t>(</w:t>
      </w:r>
      <w:r w:rsidRPr="005D08E6">
        <w:rPr>
          <w:rFonts w:asciiTheme="minorHAnsi" w:hAnsiTheme="minorHAnsi"/>
        </w:rPr>
        <w:t>SEEIIST</w:t>
      </w:r>
      <w:r w:rsidR="000F711D" w:rsidRPr="005D08E6">
        <w:rPr>
          <w:rFonts w:asciiTheme="minorHAnsi" w:hAnsiTheme="minorHAnsi"/>
        </w:rPr>
        <w:t>, http://seeiist.eu</w:t>
      </w:r>
      <w:r w:rsidR="00FB1ECB" w:rsidRPr="005D08E6">
        <w:rPr>
          <w:rFonts w:asciiTheme="minorHAnsi" w:hAnsiTheme="minorHAnsi"/>
        </w:rPr>
        <w:t>)</w:t>
      </w:r>
      <w:r w:rsidR="000F711D" w:rsidRPr="005D08E6">
        <w:rPr>
          <w:rFonts w:asciiTheme="minorHAnsi" w:hAnsiTheme="minorHAnsi"/>
        </w:rPr>
        <w:t xml:space="preserve">  - </w:t>
      </w:r>
      <w:r w:rsidR="000F711D" w:rsidRPr="005D08E6">
        <w:rPr>
          <w:rFonts w:asciiTheme="minorHAnsi" w:hAnsiTheme="minorHAnsi"/>
          <w:b/>
        </w:rPr>
        <w:t>'Hadronska kancer terapija sa istrazivanjima iz biomedicine pomocu protona i tezih jona'</w:t>
      </w:r>
      <w:r w:rsidR="00DC0B98" w:rsidRPr="005D08E6">
        <w:rPr>
          <w:rFonts w:asciiTheme="minorHAnsi" w:hAnsiTheme="minorHAnsi"/>
        </w:rPr>
        <w:t>.</w:t>
      </w:r>
      <w:r w:rsidRPr="005D08E6">
        <w:rPr>
          <w:rFonts w:asciiTheme="minorHAnsi" w:hAnsiTheme="minorHAnsi"/>
        </w:rPr>
        <w:t xml:space="preserve"> Realizacija ovog projekta  bi unaprijedila saradnju </w:t>
      </w:r>
      <w:r w:rsidR="003D4388" w:rsidRPr="005D08E6">
        <w:rPr>
          <w:rFonts w:asciiTheme="minorHAnsi" w:hAnsiTheme="minorHAnsi"/>
        </w:rPr>
        <w:t xml:space="preserve">nauke, tehnologije i privrede </w:t>
      </w:r>
      <w:r w:rsidRPr="005D08E6">
        <w:rPr>
          <w:rFonts w:asciiTheme="minorHAnsi" w:hAnsiTheme="minorHAnsi"/>
        </w:rPr>
        <w:t xml:space="preserve">u </w:t>
      </w:r>
      <w:r w:rsidR="00CE5EB7" w:rsidRPr="005D08E6">
        <w:rPr>
          <w:rFonts w:asciiTheme="minorHAnsi" w:hAnsiTheme="minorHAnsi"/>
        </w:rPr>
        <w:t>r</w:t>
      </w:r>
      <w:r w:rsidRPr="005D08E6">
        <w:rPr>
          <w:rFonts w:asciiTheme="minorHAnsi" w:hAnsiTheme="minorHAnsi"/>
        </w:rPr>
        <w:t xml:space="preserve">egionu, </w:t>
      </w:r>
      <w:r w:rsidR="000F711D" w:rsidRPr="005D08E6">
        <w:rPr>
          <w:rFonts w:asciiTheme="minorHAnsi" w:hAnsiTheme="minorHAnsi"/>
        </w:rPr>
        <w:t xml:space="preserve"> ali i omogucila najsavremeniji i najuspjesniji </w:t>
      </w:r>
      <w:r w:rsidR="00304753" w:rsidRPr="005D08E6">
        <w:rPr>
          <w:rFonts w:asciiTheme="minorHAnsi" w:hAnsiTheme="minorHAnsi"/>
        </w:rPr>
        <w:t>metod</w:t>
      </w:r>
      <w:r w:rsidR="000F711D" w:rsidRPr="005D08E6">
        <w:rPr>
          <w:rFonts w:asciiTheme="minorHAnsi" w:hAnsiTheme="minorHAnsi"/>
        </w:rPr>
        <w:t xml:space="preserve"> lijecenja velikog broja kancera. S toga ovaj projekat predstavlja jedan od najljepsih primjera „</w:t>
      </w:r>
      <w:r w:rsidR="00304753" w:rsidRPr="005D08E6">
        <w:rPr>
          <w:rFonts w:asciiTheme="minorHAnsi" w:hAnsiTheme="minorHAnsi"/>
        </w:rPr>
        <w:t>Nauke za drustvo</w:t>
      </w:r>
      <w:r w:rsidRPr="005D08E6">
        <w:rPr>
          <w:rFonts w:asciiTheme="minorHAnsi" w:hAnsiTheme="minorHAnsi"/>
        </w:rPr>
        <w:t>“.</w:t>
      </w:r>
    </w:p>
    <w:p w14:paraId="49624585" w14:textId="77777777" w:rsidR="00A327C7" w:rsidRPr="00593418" w:rsidRDefault="00A327C7" w:rsidP="00294EBF">
      <w:pPr>
        <w:spacing w:after="100" w:afterAutospacing="1" w:line="240" w:lineRule="auto"/>
        <w:jc w:val="both"/>
        <w:rPr>
          <w:rFonts w:asciiTheme="minorHAnsi" w:hAnsiTheme="minorHAnsi"/>
        </w:rPr>
      </w:pPr>
    </w:p>
    <w:p w14:paraId="6FFC01D6" w14:textId="10C7D8FE" w:rsidR="008E0675" w:rsidRPr="00593418" w:rsidRDefault="00F203C3" w:rsidP="00A327C7">
      <w:pPr>
        <w:pStyle w:val="Heading1"/>
      </w:pPr>
      <w:bookmarkStart w:id="13" w:name="_Toc529890085"/>
      <w:bookmarkStart w:id="14" w:name="_Toc530143280"/>
      <w:r>
        <w:t>I</w:t>
      </w:r>
      <w:r w:rsidR="00253B54" w:rsidRPr="00593418">
        <w:t xml:space="preserve">V </w:t>
      </w:r>
      <w:r w:rsidR="00233564" w:rsidRPr="00593418">
        <w:t>ANALIZA POTENCIJALA</w:t>
      </w:r>
      <w:bookmarkEnd w:id="12"/>
      <w:bookmarkEnd w:id="13"/>
      <w:bookmarkEnd w:id="14"/>
    </w:p>
    <w:p w14:paraId="31DF6129" w14:textId="77777777" w:rsidR="006E1E29" w:rsidRPr="00593418" w:rsidRDefault="006E1E29" w:rsidP="006E1E29">
      <w:pPr>
        <w:rPr>
          <w:rFonts w:asciiTheme="minorHAnsi" w:hAnsiTheme="minorHAnsi"/>
        </w:rPr>
      </w:pPr>
    </w:p>
    <w:p w14:paraId="0E0495A6" w14:textId="353CE3C3" w:rsidR="007135E6" w:rsidRDefault="00F203C3" w:rsidP="00A327C7">
      <w:pPr>
        <w:pStyle w:val="Heading2"/>
      </w:pPr>
      <w:bookmarkStart w:id="15" w:name="_Toc529890086"/>
      <w:bookmarkStart w:id="16" w:name="_Toc530143281"/>
      <w:r>
        <w:t>I</w:t>
      </w:r>
      <w:r w:rsidR="00253B54" w:rsidRPr="00593418">
        <w:t>V</w:t>
      </w:r>
      <w:r w:rsidR="00D31514" w:rsidRPr="00593418">
        <w:t xml:space="preserve"> 1. </w:t>
      </w:r>
      <w:r w:rsidR="004F626F" w:rsidRPr="00593418">
        <w:t>ANALIZA EKONOMSKOG POTENCIJALA</w:t>
      </w:r>
      <w:bookmarkEnd w:id="15"/>
      <w:bookmarkEnd w:id="16"/>
    </w:p>
    <w:p w14:paraId="7BFA79F1" w14:textId="77777777" w:rsidR="00FD39C0" w:rsidRPr="00FD39C0" w:rsidRDefault="00FD39C0" w:rsidP="00FD39C0">
      <w:pPr>
        <w:rPr>
          <w:lang w:eastAsia="en-GB"/>
        </w:rPr>
      </w:pPr>
    </w:p>
    <w:p w14:paraId="3D0450BC" w14:textId="7BB52DF4" w:rsidR="006344CF" w:rsidRDefault="006344CF" w:rsidP="0050113C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Prema podacima MONSTAT-A, Crna Gora je, tokom 2017. godine, ostvarila pozitivnu stopu ekonomskog rasta od 4.4%. Bruto domaći proizvod (BDP) iste godine isnosio je 4,299 milijardi eura, a bruto domaći proizvod po stanovniku iznosio je 6.908 eura. Prosječna godišnja stopa inflacije iznosi 2,4%. </w:t>
      </w:r>
    </w:p>
    <w:p w14:paraId="7DBB4378" w14:textId="26395D1E" w:rsidR="00B82BF0" w:rsidRDefault="00636FD9" w:rsidP="002648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Prema procjeni MMF-a, stopa rasta globalne ekonomije je u 2017. iznosila 3,7%, </w:t>
      </w:r>
      <w:r w:rsidR="00EB1C06">
        <w:rPr>
          <w:rFonts w:asciiTheme="minorHAnsi" w:hAnsiTheme="minorHAnsi" w:cstheme="minorHAnsi"/>
        </w:rPr>
        <w:t xml:space="preserve">pri čemu su </w:t>
      </w:r>
      <w:r w:rsidRPr="00593418">
        <w:rPr>
          <w:rFonts w:asciiTheme="minorHAnsi" w:hAnsiTheme="minorHAnsi" w:cstheme="minorHAnsi"/>
        </w:rPr>
        <w:t>r</w:t>
      </w:r>
      <w:r w:rsidR="00183E2C" w:rsidRPr="00593418">
        <w:rPr>
          <w:rFonts w:asciiTheme="minorHAnsi" w:hAnsiTheme="minorHAnsi" w:cstheme="minorHAnsi"/>
        </w:rPr>
        <w:t xml:space="preserve">azvijene zemlje </w:t>
      </w:r>
      <w:r w:rsidRPr="00593418">
        <w:rPr>
          <w:rFonts w:asciiTheme="minorHAnsi" w:hAnsiTheme="minorHAnsi" w:cstheme="minorHAnsi"/>
        </w:rPr>
        <w:t xml:space="preserve">rasle po </w:t>
      </w:r>
      <w:r w:rsidR="00EB1C06">
        <w:rPr>
          <w:rFonts w:asciiTheme="minorHAnsi" w:hAnsiTheme="minorHAnsi" w:cstheme="minorHAnsi"/>
        </w:rPr>
        <w:t xml:space="preserve">prosječnoj </w:t>
      </w:r>
      <w:r w:rsidRPr="00593418">
        <w:rPr>
          <w:rFonts w:asciiTheme="minorHAnsi" w:hAnsiTheme="minorHAnsi" w:cstheme="minorHAnsi"/>
        </w:rPr>
        <w:t xml:space="preserve">stopi od </w:t>
      </w:r>
      <w:r w:rsidR="00CE5EB7" w:rsidRPr="00593418">
        <w:rPr>
          <w:rFonts w:asciiTheme="minorHAnsi" w:hAnsiTheme="minorHAnsi" w:cstheme="minorHAnsi"/>
        </w:rPr>
        <w:t xml:space="preserve">2,3%, </w:t>
      </w:r>
      <w:r w:rsidR="00EB1C06">
        <w:rPr>
          <w:rFonts w:asciiTheme="minorHAnsi" w:hAnsiTheme="minorHAnsi" w:cstheme="minorHAnsi"/>
        </w:rPr>
        <w:t xml:space="preserve">a </w:t>
      </w:r>
      <w:r w:rsidR="00CE5EB7" w:rsidRPr="00593418">
        <w:rPr>
          <w:rFonts w:asciiTheme="minorHAnsi" w:hAnsiTheme="minorHAnsi" w:cstheme="minorHAnsi"/>
        </w:rPr>
        <w:t>među njima ekonomija SAD</w:t>
      </w:r>
      <w:r w:rsidRPr="00593418">
        <w:rPr>
          <w:rFonts w:asciiTheme="minorHAnsi" w:hAnsiTheme="minorHAnsi" w:cstheme="minorHAnsi"/>
        </w:rPr>
        <w:t xml:space="preserve"> 2,3%, zemlje Eurozone 2,7%</w:t>
      </w:r>
      <w:r w:rsidR="00EB1C06">
        <w:rPr>
          <w:rFonts w:asciiTheme="minorHAnsi" w:hAnsiTheme="minorHAnsi" w:cstheme="minorHAnsi"/>
        </w:rPr>
        <w:t xml:space="preserve"> i</w:t>
      </w:r>
      <w:r w:rsidRPr="00593418">
        <w:rPr>
          <w:rFonts w:asciiTheme="minorHAnsi" w:hAnsiTheme="minorHAnsi" w:cstheme="minorHAnsi"/>
        </w:rPr>
        <w:t xml:space="preserve">  japanska ekonomija 1,7%. Prema </w:t>
      </w:r>
      <w:r w:rsidR="009A3DE7">
        <w:rPr>
          <w:rFonts w:asciiTheme="minorHAnsi" w:hAnsiTheme="minorHAnsi" w:cstheme="minorHAnsi"/>
        </w:rPr>
        <w:t xml:space="preserve">istoj </w:t>
      </w:r>
      <w:r w:rsidRPr="00593418">
        <w:rPr>
          <w:rFonts w:asciiTheme="minorHAnsi" w:hAnsiTheme="minorHAnsi" w:cstheme="minorHAnsi"/>
        </w:rPr>
        <w:t>procjen</w:t>
      </w:r>
      <w:r w:rsidR="009A3DE7">
        <w:rPr>
          <w:rFonts w:asciiTheme="minorHAnsi" w:hAnsiTheme="minorHAnsi" w:cstheme="minorHAnsi"/>
        </w:rPr>
        <w:t>i</w:t>
      </w:r>
      <w:r w:rsidRPr="00593418">
        <w:rPr>
          <w:rFonts w:asciiTheme="minorHAnsi" w:hAnsiTheme="minorHAnsi" w:cstheme="minorHAnsi"/>
        </w:rPr>
        <w:t xml:space="preserve">, grupa evropskih ekonomija u razvoju i usponu, među kojima je i Crna Gora, je u 2017. </w:t>
      </w:r>
      <w:r w:rsidR="00424E18">
        <w:rPr>
          <w:rFonts w:asciiTheme="minorHAnsi" w:hAnsiTheme="minorHAnsi" w:cstheme="minorHAnsi"/>
        </w:rPr>
        <w:t xml:space="preserve">godini </w:t>
      </w:r>
      <w:r w:rsidRPr="00593418">
        <w:rPr>
          <w:rFonts w:asciiTheme="minorHAnsi" w:hAnsiTheme="minorHAnsi" w:cstheme="minorHAnsi"/>
        </w:rPr>
        <w:t xml:space="preserve">ostvarila </w:t>
      </w:r>
      <w:r w:rsidR="00167586">
        <w:rPr>
          <w:rFonts w:asciiTheme="minorHAnsi" w:hAnsiTheme="minorHAnsi" w:cstheme="minorHAnsi"/>
        </w:rPr>
        <w:t xml:space="preserve">prosječan </w:t>
      </w:r>
      <w:r w:rsidRPr="00593418">
        <w:rPr>
          <w:rFonts w:asciiTheme="minorHAnsi" w:hAnsiTheme="minorHAnsi" w:cstheme="minorHAnsi"/>
        </w:rPr>
        <w:t xml:space="preserve">rast od 5,2%. Za period 2018-2019. prognozirane su manje stope rasta od 4% odnosno 3,8%. </w:t>
      </w:r>
    </w:p>
    <w:p w14:paraId="0ED946F8" w14:textId="02D15D95" w:rsidR="00636FD9" w:rsidRPr="00593418" w:rsidRDefault="00183E2C" w:rsidP="002648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Prema modelskoj projekciji CBCG, rast </w:t>
      </w:r>
      <w:r w:rsidR="00B82BF0">
        <w:rPr>
          <w:rFonts w:asciiTheme="minorHAnsi" w:hAnsiTheme="minorHAnsi" w:cstheme="minorHAnsi"/>
        </w:rPr>
        <w:t xml:space="preserve">nacionalnog </w:t>
      </w:r>
      <w:r w:rsidRPr="00593418">
        <w:rPr>
          <w:rFonts w:asciiTheme="minorHAnsi" w:hAnsiTheme="minorHAnsi" w:cstheme="minorHAnsi"/>
        </w:rPr>
        <w:t xml:space="preserve">BDP-a u 2018. godini kretaće se u intervalu od 2,7 do 3,2%, sa centralnom tendencijom od oko 3%. </w:t>
      </w:r>
      <w:r w:rsidR="00EB1C06">
        <w:rPr>
          <w:rFonts w:asciiTheme="minorHAnsi" w:hAnsiTheme="minorHAnsi" w:cstheme="minorHAnsi"/>
        </w:rPr>
        <w:t xml:space="preserve">Dakle, </w:t>
      </w:r>
      <w:r w:rsidR="00167586">
        <w:rPr>
          <w:rFonts w:asciiTheme="minorHAnsi" w:hAnsiTheme="minorHAnsi" w:cstheme="minorHAnsi"/>
        </w:rPr>
        <w:t>rast crnogorske ekonomije od 4.4% u 2017. godini je ispod prosjeka</w:t>
      </w:r>
      <w:r w:rsidR="00167586" w:rsidRPr="00167586">
        <w:rPr>
          <w:rFonts w:asciiTheme="minorHAnsi" w:hAnsiTheme="minorHAnsi" w:cstheme="minorHAnsi"/>
        </w:rPr>
        <w:t xml:space="preserve"> </w:t>
      </w:r>
      <w:r w:rsidR="00167586">
        <w:rPr>
          <w:rFonts w:asciiTheme="minorHAnsi" w:hAnsiTheme="minorHAnsi" w:cstheme="minorHAnsi"/>
        </w:rPr>
        <w:t xml:space="preserve">rasta </w:t>
      </w:r>
      <w:r w:rsidR="00167586" w:rsidRPr="00593418">
        <w:rPr>
          <w:rFonts w:asciiTheme="minorHAnsi" w:hAnsiTheme="minorHAnsi" w:cstheme="minorHAnsi"/>
        </w:rPr>
        <w:t>evropskih ekonomija u razvoju</w:t>
      </w:r>
      <w:r w:rsidR="00167586">
        <w:rPr>
          <w:rFonts w:asciiTheme="minorHAnsi" w:hAnsiTheme="minorHAnsi" w:cstheme="minorHAnsi"/>
        </w:rPr>
        <w:t xml:space="preserve"> od 5.2% sa očekivanom tendencijom pada u kratkom roku, ali ne ispod prosjeka rasta razvijenih zemalja, a naročito ne ispod prosjeka Eurozone od 2,7%.</w:t>
      </w:r>
    </w:p>
    <w:p w14:paraId="09607874" w14:textId="68B768E7" w:rsidR="007F4C74" w:rsidRDefault="007F4C74" w:rsidP="007F4C74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F84D74E" w14:textId="6522759A" w:rsidR="00FD39C0" w:rsidRPr="00FD39C0" w:rsidRDefault="000D60FF" w:rsidP="00FD39C0">
      <w:pPr>
        <w:spacing w:after="120" w:line="240" w:lineRule="auto"/>
        <w:jc w:val="center"/>
        <w:rPr>
          <w:rFonts w:asciiTheme="minorHAnsi" w:hAnsiTheme="minorHAnsi"/>
          <w:b/>
          <w:bCs/>
          <w:noProof/>
          <w:sz w:val="20"/>
          <w:szCs w:val="20"/>
        </w:rPr>
      </w:pPr>
      <w:r w:rsidRPr="00952A15">
        <w:rPr>
          <w:rFonts w:asciiTheme="minorHAnsi" w:hAnsiTheme="minorHAnsi"/>
          <w:b/>
          <w:bCs/>
          <w:noProof/>
          <w:sz w:val="20"/>
          <w:szCs w:val="20"/>
        </w:rPr>
        <w:t xml:space="preserve">Slika </w:t>
      </w:r>
      <w:r>
        <w:rPr>
          <w:rFonts w:asciiTheme="minorHAnsi" w:hAnsiTheme="minorHAnsi"/>
          <w:b/>
          <w:bCs/>
          <w:noProof/>
          <w:sz w:val="20"/>
          <w:szCs w:val="20"/>
        </w:rPr>
        <w:t>5</w:t>
      </w:r>
      <w:r w:rsidRPr="00952A15">
        <w:rPr>
          <w:rFonts w:asciiTheme="minorHAnsi" w:hAnsiTheme="minorHAnsi"/>
          <w:b/>
          <w:bCs/>
          <w:noProof/>
          <w:sz w:val="20"/>
          <w:szCs w:val="20"/>
        </w:rPr>
        <w:t>.</w:t>
      </w:r>
      <w:r w:rsidR="00FA5074">
        <w:rPr>
          <w:rFonts w:asciiTheme="minorHAnsi" w:hAnsiTheme="minorHAnsi"/>
          <w:b/>
          <w:bCs/>
          <w:noProof/>
          <w:sz w:val="20"/>
          <w:szCs w:val="20"/>
        </w:rPr>
        <w:t xml:space="preserve"> </w:t>
      </w:r>
      <w:r w:rsidR="000F550E">
        <w:rPr>
          <w:rFonts w:asciiTheme="minorHAnsi" w:hAnsiTheme="minorHAnsi"/>
          <w:b/>
          <w:bCs/>
          <w:noProof/>
          <w:sz w:val="20"/>
          <w:szCs w:val="20"/>
        </w:rPr>
        <w:t>BDP</w:t>
      </w:r>
      <w:r w:rsidR="00FA5074">
        <w:rPr>
          <w:rFonts w:asciiTheme="minorHAnsi" w:hAnsiTheme="minorHAnsi"/>
          <w:b/>
          <w:bCs/>
          <w:noProof/>
          <w:sz w:val="20"/>
          <w:szCs w:val="20"/>
        </w:rPr>
        <w:t xml:space="preserve"> po glavi stanovnika</w:t>
      </w:r>
    </w:p>
    <w:p w14:paraId="0383C042" w14:textId="1ABE4F73" w:rsidR="007F4C74" w:rsidRPr="00A81864" w:rsidRDefault="007F4C74" w:rsidP="00A81864">
      <w:pPr>
        <w:jc w:val="center"/>
        <w:rPr>
          <w:rFonts w:ascii="Arial" w:hAnsi="Arial" w:cs="Arial"/>
          <w:lang w:val="en-GB"/>
        </w:rPr>
      </w:pPr>
      <w:r>
        <w:rPr>
          <w:noProof/>
          <w:lang w:val="en-US"/>
        </w:rPr>
        <w:drawing>
          <wp:inline distT="0" distB="0" distL="0" distR="0" wp14:anchorId="70734FA8" wp14:editId="12C3DC44">
            <wp:extent cx="5509260" cy="2743200"/>
            <wp:effectExtent l="0" t="0" r="1524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7E8A2C7-5E3C-4E03-A23B-9471E61739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407607A" w14:textId="77777777" w:rsidR="00FA5074" w:rsidRDefault="00FA5074" w:rsidP="00A81864">
      <w:pPr>
        <w:jc w:val="both"/>
        <w:rPr>
          <w:rFonts w:asciiTheme="minorHAnsi" w:hAnsiTheme="minorHAnsi" w:cstheme="minorHAnsi"/>
        </w:rPr>
      </w:pPr>
    </w:p>
    <w:p w14:paraId="7F403AC0" w14:textId="23F27934" w:rsidR="00A81864" w:rsidRPr="00A81864" w:rsidRDefault="00A81864" w:rsidP="00A81864">
      <w:pPr>
        <w:jc w:val="both"/>
        <w:rPr>
          <w:rFonts w:asciiTheme="minorHAnsi" w:hAnsiTheme="minorHAnsi" w:cstheme="minorHAnsi"/>
        </w:rPr>
      </w:pPr>
      <w:r w:rsidRPr="00A81864">
        <w:rPr>
          <w:rFonts w:asciiTheme="minorHAnsi" w:hAnsiTheme="minorHAnsi" w:cstheme="minorHAnsi"/>
        </w:rPr>
        <w:t>Prema prvoj procjeni Eurostat-a, bruto domaći proizvod po stanovniku prema standardu kupovne moći</w:t>
      </w:r>
      <w:r w:rsidRPr="00A81864">
        <w:rPr>
          <w:rStyle w:val="FootnoteReference"/>
          <w:rFonts w:asciiTheme="minorHAnsi" w:hAnsiTheme="minorHAnsi" w:cstheme="minorHAnsi"/>
        </w:rPr>
        <w:footnoteReference w:id="7"/>
      </w:r>
      <w:r w:rsidRPr="00A81864">
        <w:rPr>
          <w:rFonts w:asciiTheme="minorHAnsi" w:hAnsiTheme="minorHAnsi" w:cstheme="minorHAnsi"/>
        </w:rPr>
        <w:t xml:space="preserve"> u Crnoj Gori</w:t>
      </w:r>
      <w:r w:rsidR="00424E18">
        <w:rPr>
          <w:rFonts w:asciiTheme="minorHAnsi" w:hAnsiTheme="minorHAnsi" w:cstheme="minorHAnsi"/>
        </w:rPr>
        <w:t>,</w:t>
      </w:r>
      <w:r w:rsidR="0050113C">
        <w:rPr>
          <w:rFonts w:asciiTheme="minorHAnsi" w:hAnsiTheme="minorHAnsi" w:cstheme="minorHAnsi"/>
        </w:rPr>
        <w:t xml:space="preserve"> </w:t>
      </w:r>
      <w:r w:rsidRPr="00A81864">
        <w:rPr>
          <w:rFonts w:asciiTheme="minorHAnsi" w:hAnsiTheme="minorHAnsi" w:cstheme="minorHAnsi"/>
        </w:rPr>
        <w:t>iznosio je 46% prosjeka EU28</w:t>
      </w:r>
      <w:r w:rsidR="00424E18">
        <w:rPr>
          <w:rFonts w:asciiTheme="minorHAnsi" w:hAnsiTheme="minorHAnsi" w:cstheme="minorHAnsi"/>
        </w:rPr>
        <w:t>, u 2017. godini</w:t>
      </w:r>
      <w:r w:rsidRPr="00A81864">
        <w:rPr>
          <w:rFonts w:asciiTheme="minorHAnsi" w:hAnsiTheme="minorHAnsi" w:cstheme="minorHAnsi"/>
        </w:rPr>
        <w:t>.</w:t>
      </w:r>
    </w:p>
    <w:p w14:paraId="443ADBA6" w14:textId="77777777" w:rsidR="00A81864" w:rsidRPr="00A81864" w:rsidRDefault="00A81864" w:rsidP="00A81864">
      <w:pPr>
        <w:jc w:val="both"/>
        <w:rPr>
          <w:rFonts w:asciiTheme="minorHAnsi" w:hAnsiTheme="minorHAnsi" w:cstheme="minorHAnsi"/>
        </w:rPr>
      </w:pPr>
      <w:r w:rsidRPr="00A81864">
        <w:rPr>
          <w:rFonts w:asciiTheme="minorHAnsi" w:hAnsiTheme="minorHAnsi" w:cstheme="minorHAnsi"/>
        </w:rPr>
        <w:lastRenderedPageBreak/>
        <w:t>Od zemalja članica EU, najveći BDP po stanovniku prema standardu kupovne moći zabilježen je u Luksemburgu, čiji je nivo više od dva i po puta iznad prosjeka EU28, i iznosi 253% evropskog prosjeka, dok se Bugarska nalazi na najnižem nivou sa 49% prosjeka EU.</w:t>
      </w:r>
    </w:p>
    <w:p w14:paraId="210954E9" w14:textId="77777777" w:rsidR="00A81864" w:rsidRPr="00A81864" w:rsidRDefault="00A81864" w:rsidP="0093250E">
      <w:pPr>
        <w:jc w:val="center"/>
        <w:rPr>
          <w:rFonts w:asciiTheme="minorHAnsi" w:hAnsiTheme="minorHAnsi" w:cstheme="minorHAnsi"/>
        </w:rPr>
      </w:pPr>
    </w:p>
    <w:p w14:paraId="7E0B2DCE" w14:textId="487017D5" w:rsidR="00A81864" w:rsidRDefault="000D60FF" w:rsidP="0093250E">
      <w:pPr>
        <w:jc w:val="center"/>
        <w:rPr>
          <w:rFonts w:ascii="Arial" w:hAnsi="Arial" w:cs="Arial"/>
        </w:rPr>
      </w:pPr>
      <w:r w:rsidRPr="00952A15">
        <w:rPr>
          <w:rFonts w:asciiTheme="minorHAnsi" w:hAnsiTheme="minorHAnsi"/>
          <w:b/>
          <w:bCs/>
          <w:noProof/>
          <w:sz w:val="20"/>
          <w:szCs w:val="20"/>
        </w:rPr>
        <w:t xml:space="preserve">Slika </w:t>
      </w:r>
      <w:r>
        <w:rPr>
          <w:rFonts w:asciiTheme="minorHAnsi" w:hAnsiTheme="minorHAnsi"/>
          <w:b/>
          <w:bCs/>
          <w:noProof/>
          <w:sz w:val="20"/>
          <w:szCs w:val="20"/>
        </w:rPr>
        <w:t>6</w:t>
      </w:r>
      <w:r w:rsidRPr="00952A15">
        <w:rPr>
          <w:rFonts w:asciiTheme="minorHAnsi" w:hAnsiTheme="minorHAnsi"/>
          <w:b/>
          <w:bCs/>
          <w:noProof/>
          <w:sz w:val="20"/>
          <w:szCs w:val="20"/>
        </w:rPr>
        <w:t>.</w:t>
      </w:r>
      <w:r w:rsidR="007533D0">
        <w:rPr>
          <w:rFonts w:asciiTheme="minorHAnsi" w:hAnsiTheme="minorHAnsi"/>
          <w:b/>
          <w:bCs/>
          <w:noProof/>
          <w:sz w:val="20"/>
          <w:szCs w:val="20"/>
        </w:rPr>
        <w:t xml:space="preserve"> BDP po stanovniku, prema standardu kupovne moći</w:t>
      </w:r>
      <w:r w:rsidR="00B82BF0">
        <w:rPr>
          <w:rFonts w:asciiTheme="minorHAnsi" w:hAnsiTheme="minorHAnsi"/>
          <w:b/>
          <w:bCs/>
          <w:noProof/>
          <w:sz w:val="20"/>
          <w:szCs w:val="20"/>
        </w:rPr>
        <w:t xml:space="preserve"> u EU28 i Regi</w:t>
      </w:r>
      <w:r w:rsidR="008B1317">
        <w:rPr>
          <w:rFonts w:asciiTheme="minorHAnsi" w:hAnsiTheme="minorHAnsi"/>
          <w:b/>
          <w:bCs/>
          <w:noProof/>
          <w:sz w:val="20"/>
          <w:szCs w:val="20"/>
        </w:rPr>
        <w:t>o</w:t>
      </w:r>
      <w:r w:rsidR="00B82BF0">
        <w:rPr>
          <w:rFonts w:asciiTheme="minorHAnsi" w:hAnsiTheme="minorHAnsi"/>
          <w:b/>
          <w:bCs/>
          <w:noProof/>
          <w:sz w:val="20"/>
          <w:szCs w:val="20"/>
        </w:rPr>
        <w:t>nu</w:t>
      </w:r>
    </w:p>
    <w:p w14:paraId="0DE93CC3" w14:textId="77777777" w:rsidR="00A81864" w:rsidRDefault="00A81864" w:rsidP="00A8186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6FB4B583" wp14:editId="0E8D62C9">
            <wp:extent cx="5853249" cy="2895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92" cy="289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CC14F" w14:textId="77777777" w:rsidR="00A81864" w:rsidRDefault="00A81864" w:rsidP="00A81864">
      <w:pPr>
        <w:jc w:val="both"/>
        <w:rPr>
          <w:rFonts w:ascii="Arial" w:hAnsi="Arial" w:cs="Arial"/>
        </w:rPr>
      </w:pPr>
    </w:p>
    <w:p w14:paraId="2415B45A" w14:textId="4D1E891B" w:rsidR="00A81864" w:rsidRDefault="00A81864" w:rsidP="00A81864">
      <w:pPr>
        <w:jc w:val="both"/>
        <w:rPr>
          <w:rFonts w:asciiTheme="minorHAnsi" w:hAnsiTheme="minorHAnsi" w:cstheme="minorHAnsi"/>
        </w:rPr>
      </w:pPr>
      <w:r w:rsidRPr="00A81864">
        <w:rPr>
          <w:rFonts w:asciiTheme="minorHAnsi" w:hAnsiTheme="minorHAnsi" w:cstheme="minorHAnsi"/>
        </w:rPr>
        <w:t>Od zemalja iz regiona, Hrvatska ima najveći BDP po stanovniku prema standardu kupovne moći</w:t>
      </w:r>
      <w:r w:rsidR="006F3977">
        <w:rPr>
          <w:rFonts w:asciiTheme="minorHAnsi" w:hAnsiTheme="minorHAnsi" w:cstheme="minorHAnsi"/>
        </w:rPr>
        <w:t xml:space="preserve">, </w:t>
      </w:r>
      <w:r w:rsidRPr="00A81864">
        <w:rPr>
          <w:rFonts w:asciiTheme="minorHAnsi" w:hAnsiTheme="minorHAnsi" w:cstheme="minorHAnsi"/>
        </w:rPr>
        <w:t>koji iznosi 61% prosjeka EU, dok se Crna Gora nalazi na drugom mjestu na nivou od 46% prosjeka EU. Makedonija i Srbija se nalaze na nivou od 37% evropskog prosjeka, Bosna i Hercegovina na nivou od 32%</w:t>
      </w:r>
      <w:r w:rsidR="006F3977">
        <w:rPr>
          <w:rFonts w:asciiTheme="minorHAnsi" w:hAnsiTheme="minorHAnsi" w:cstheme="minorHAnsi"/>
        </w:rPr>
        <w:t>,</w:t>
      </w:r>
      <w:r w:rsidRPr="00A81864">
        <w:rPr>
          <w:rFonts w:asciiTheme="minorHAnsi" w:hAnsiTheme="minorHAnsi" w:cstheme="minorHAnsi"/>
        </w:rPr>
        <w:t xml:space="preserve"> dok je Albanija na nivou od 29% evropskog prosjeka.</w:t>
      </w:r>
    </w:p>
    <w:p w14:paraId="34FFDE05" w14:textId="3ABDF9E6" w:rsidR="00B82BF0" w:rsidRPr="00A81864" w:rsidRDefault="00B82BF0" w:rsidP="00A818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Imajući u vidu prethodni pregled stan</w:t>
      </w:r>
      <w:r w:rsidR="00711E3A">
        <w:rPr>
          <w:rFonts w:asciiTheme="minorHAnsi" w:hAnsiTheme="minorHAnsi" w:cstheme="minorHAnsi"/>
        </w:rPr>
        <w:t>darda</w:t>
      </w:r>
      <w:r>
        <w:rPr>
          <w:rFonts w:asciiTheme="minorHAnsi" w:hAnsiTheme="minorHAnsi" w:cstheme="minorHAnsi"/>
        </w:rPr>
        <w:t xml:space="preserve"> </w:t>
      </w:r>
      <w:r w:rsidR="00711E3A">
        <w:rPr>
          <w:rFonts w:asciiTheme="minorHAnsi" w:hAnsiTheme="minorHAnsi" w:cstheme="minorHAnsi"/>
        </w:rPr>
        <w:t xml:space="preserve">kupovne moći </w:t>
      </w:r>
      <w:r>
        <w:rPr>
          <w:rFonts w:asciiTheme="minorHAnsi" w:hAnsiTheme="minorHAnsi" w:cstheme="minorHAnsi"/>
        </w:rPr>
        <w:t xml:space="preserve">zaključuje se da </w:t>
      </w:r>
      <w:r w:rsidR="00711E3A">
        <w:rPr>
          <w:rFonts w:asciiTheme="minorHAnsi" w:hAnsiTheme="minorHAnsi" w:cstheme="minorHAnsi"/>
        </w:rPr>
        <w:t>se zemlja pozicionira u vrhu ljestvice u odnosu na Region, ali neznatno ispod Bugarske kao najgore pozicionirane članice EU28, odnosno neznatno ispod polovine evropskog prosjeka.</w:t>
      </w:r>
      <w:r w:rsidR="00711E3A" w:rsidRPr="00711E3A">
        <w:rPr>
          <w:rFonts w:asciiTheme="minorHAnsi" w:hAnsiTheme="minorHAnsi" w:cstheme="minorHAnsi"/>
        </w:rPr>
        <w:t xml:space="preserve"> </w:t>
      </w:r>
    </w:p>
    <w:p w14:paraId="4ABB6224" w14:textId="77777777" w:rsidR="00140FDD" w:rsidRPr="00593418" w:rsidRDefault="00140FDD" w:rsidP="00140FD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Prema podacima M</w:t>
      </w:r>
      <w:r>
        <w:rPr>
          <w:rFonts w:asciiTheme="minorHAnsi" w:hAnsiTheme="minorHAnsi" w:cstheme="minorHAnsi"/>
        </w:rPr>
        <w:t>ONSTAT-a</w:t>
      </w:r>
      <w:r w:rsidRPr="00593418">
        <w:rPr>
          <w:rFonts w:asciiTheme="minorHAnsi" w:hAnsiTheme="minorHAnsi" w:cstheme="minorHAnsi"/>
        </w:rPr>
        <w:t>, prosječna bruto zarada u Crnoj Gori u 2017. godini iznosila je 765 eura i bila je veća za 1,9% od prosječne zarade iz prethodne godine. Prosječna zarada</w:t>
      </w:r>
      <w:r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bez poreza i doprinosa</w:t>
      </w:r>
      <w:r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iznosila </w:t>
      </w:r>
      <w:r>
        <w:rPr>
          <w:rFonts w:asciiTheme="minorHAnsi" w:hAnsiTheme="minorHAnsi" w:cstheme="minorHAnsi"/>
        </w:rPr>
        <w:t xml:space="preserve">je </w:t>
      </w:r>
      <w:r w:rsidRPr="00593418">
        <w:rPr>
          <w:rFonts w:asciiTheme="minorHAnsi" w:hAnsiTheme="minorHAnsi" w:cstheme="minorHAnsi"/>
        </w:rPr>
        <w:t>510 eura i</w:t>
      </w:r>
      <w:r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u odnosu na prethodnu godinu</w:t>
      </w:r>
      <w:r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bila je veća za 2,2%. </w:t>
      </w:r>
    </w:p>
    <w:p w14:paraId="3C53F774" w14:textId="3EC2A4AD" w:rsidR="006A1F94" w:rsidRDefault="009A0634" w:rsidP="002648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A81864">
        <w:rPr>
          <w:rFonts w:asciiTheme="minorHAnsi" w:hAnsiTheme="minorHAnsi" w:cstheme="minorHAnsi"/>
        </w:rPr>
        <w:t xml:space="preserve">Broj zaposlenih u </w:t>
      </w:r>
      <w:r w:rsidR="00711E3A">
        <w:rPr>
          <w:rFonts w:asciiTheme="minorHAnsi" w:hAnsiTheme="minorHAnsi" w:cstheme="minorHAnsi"/>
        </w:rPr>
        <w:t xml:space="preserve">Crnoj Gori </w:t>
      </w:r>
      <w:r w:rsidRPr="00A81864">
        <w:rPr>
          <w:rFonts w:asciiTheme="minorHAnsi" w:hAnsiTheme="minorHAnsi" w:cstheme="minorHAnsi"/>
        </w:rPr>
        <w:t>2017. godini u prosjeku je iznosio 182.368 i bio je viši za 2,5% u odnosu na prosječan broj zaposlenih u prethodnoj godini. Rast broja zaposlenih</w:t>
      </w:r>
      <w:r w:rsidR="006F3977">
        <w:rPr>
          <w:rFonts w:asciiTheme="minorHAnsi" w:hAnsiTheme="minorHAnsi" w:cstheme="minorHAnsi"/>
        </w:rPr>
        <w:t>,</w:t>
      </w:r>
      <w:r w:rsidRPr="00A81864">
        <w:rPr>
          <w:rFonts w:asciiTheme="minorHAnsi" w:hAnsiTheme="minorHAnsi" w:cstheme="minorHAnsi"/>
        </w:rPr>
        <w:t xml:space="preserve"> u 2017. godini</w:t>
      </w:r>
      <w:r w:rsidR="006F3977">
        <w:rPr>
          <w:rFonts w:asciiTheme="minorHAnsi" w:hAnsiTheme="minorHAnsi" w:cstheme="minorHAnsi"/>
        </w:rPr>
        <w:t>,</w:t>
      </w:r>
      <w:r w:rsidRPr="00A81864">
        <w:rPr>
          <w:rFonts w:asciiTheme="minorHAnsi" w:hAnsiTheme="minorHAnsi" w:cstheme="minorHAnsi"/>
        </w:rPr>
        <w:t xml:space="preserve"> zabilježen je u trinaest od ukupno devetnaest sektora, pri čemu je najveći rast zabilježen u sektoru administrativne i pomoćne uslužne djelatnosti (17,7%)</w:t>
      </w:r>
      <w:r w:rsidR="00711E3A">
        <w:rPr>
          <w:rFonts w:asciiTheme="minorHAnsi" w:hAnsiTheme="minorHAnsi" w:cstheme="minorHAnsi"/>
        </w:rPr>
        <w:t>,</w:t>
      </w:r>
      <w:r w:rsidRPr="00A81864">
        <w:rPr>
          <w:rFonts w:asciiTheme="minorHAnsi" w:hAnsiTheme="minorHAnsi" w:cstheme="minorHAnsi"/>
        </w:rPr>
        <w:t xml:space="preserve"> a najmanji u sektoru informisanje i komunikacije (0,1%)</w:t>
      </w:r>
      <w:r w:rsidRPr="00A81864">
        <w:rPr>
          <w:rStyle w:val="FootnoteReference"/>
          <w:rFonts w:asciiTheme="minorHAnsi" w:hAnsiTheme="minorHAnsi" w:cstheme="minorHAnsi"/>
        </w:rPr>
        <w:footnoteReference w:id="8"/>
      </w:r>
      <w:r w:rsidRPr="00A81864">
        <w:rPr>
          <w:rFonts w:asciiTheme="minorHAnsi" w:hAnsiTheme="minorHAnsi" w:cstheme="minorHAnsi"/>
        </w:rPr>
        <w:t>.</w:t>
      </w:r>
      <w:r w:rsidR="006F3977">
        <w:rPr>
          <w:rFonts w:asciiTheme="minorHAnsi" w:hAnsiTheme="minorHAnsi" w:cstheme="minorHAnsi"/>
        </w:rPr>
        <w:t xml:space="preserve"> </w:t>
      </w:r>
      <w:r w:rsidR="006A1F94" w:rsidRPr="00A81864">
        <w:rPr>
          <w:rFonts w:asciiTheme="minorHAnsi" w:hAnsiTheme="minorHAnsi" w:cstheme="minorHAnsi"/>
        </w:rPr>
        <w:t>Stopa nezaposlenih</w:t>
      </w:r>
      <w:r w:rsidR="00424E18">
        <w:rPr>
          <w:rFonts w:asciiTheme="minorHAnsi" w:hAnsiTheme="minorHAnsi" w:cstheme="minorHAnsi"/>
        </w:rPr>
        <w:t>,</w:t>
      </w:r>
      <w:r w:rsidR="006A1F94" w:rsidRPr="00A81864">
        <w:rPr>
          <w:rFonts w:asciiTheme="minorHAnsi" w:hAnsiTheme="minorHAnsi" w:cstheme="minorHAnsi"/>
        </w:rPr>
        <w:t xml:space="preserve"> koju objavljuje Z</w:t>
      </w:r>
      <w:r w:rsidR="00AE5F6A" w:rsidRPr="00A81864">
        <w:rPr>
          <w:rFonts w:asciiTheme="minorHAnsi" w:hAnsiTheme="minorHAnsi" w:cstheme="minorHAnsi"/>
        </w:rPr>
        <w:t>avod za zapošljavanje Crne Gore</w:t>
      </w:r>
      <w:r w:rsidR="00424E18">
        <w:rPr>
          <w:rFonts w:asciiTheme="minorHAnsi" w:hAnsiTheme="minorHAnsi" w:cstheme="minorHAnsi"/>
        </w:rPr>
        <w:t>,</w:t>
      </w:r>
      <w:r w:rsidR="006A1F94" w:rsidRPr="00A81864">
        <w:rPr>
          <w:rFonts w:asciiTheme="minorHAnsi" w:hAnsiTheme="minorHAnsi" w:cstheme="minorHAnsi"/>
        </w:rPr>
        <w:t xml:space="preserve"> u decembru 2017. godine</w:t>
      </w:r>
      <w:r w:rsidR="006F3977">
        <w:rPr>
          <w:rFonts w:asciiTheme="minorHAnsi" w:hAnsiTheme="minorHAnsi" w:cstheme="minorHAnsi"/>
        </w:rPr>
        <w:t>,</w:t>
      </w:r>
      <w:r w:rsidR="006A1F94" w:rsidRPr="00A81864">
        <w:rPr>
          <w:rFonts w:asciiTheme="minorHAnsi" w:hAnsiTheme="minorHAnsi" w:cstheme="minorHAnsi"/>
        </w:rPr>
        <w:t xml:space="preserve">  iznosila</w:t>
      </w:r>
      <w:r w:rsidR="00424E18">
        <w:rPr>
          <w:rFonts w:asciiTheme="minorHAnsi" w:hAnsiTheme="minorHAnsi" w:cstheme="minorHAnsi"/>
        </w:rPr>
        <w:t xml:space="preserve"> je</w:t>
      </w:r>
      <w:r w:rsidR="006A1F94" w:rsidRPr="00A81864">
        <w:rPr>
          <w:rFonts w:asciiTheme="minorHAnsi" w:hAnsiTheme="minorHAnsi" w:cstheme="minorHAnsi"/>
        </w:rPr>
        <w:t xml:space="preserve"> 22,09%, što je za 0,76 </w:t>
      </w:r>
      <w:r w:rsidR="00140FDD">
        <w:rPr>
          <w:rFonts w:asciiTheme="minorHAnsi" w:hAnsiTheme="minorHAnsi" w:cstheme="minorHAnsi"/>
        </w:rPr>
        <w:t>%</w:t>
      </w:r>
      <w:r w:rsidR="006A1F94" w:rsidRPr="00A81864">
        <w:rPr>
          <w:rFonts w:asciiTheme="minorHAnsi" w:hAnsiTheme="minorHAnsi" w:cstheme="minorHAnsi"/>
        </w:rPr>
        <w:t xml:space="preserve"> više od stope iz decembra 2016. godine.</w:t>
      </w:r>
    </w:p>
    <w:p w14:paraId="7E97A928" w14:textId="4C346879" w:rsidR="009A0634" w:rsidRPr="00593418" w:rsidRDefault="009A0634" w:rsidP="002648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A81864">
        <w:rPr>
          <w:rFonts w:asciiTheme="minorHAnsi" w:hAnsiTheme="minorHAnsi" w:cstheme="minorHAnsi"/>
        </w:rPr>
        <w:t>Crnu Goru je posjetilo 2 miliona turista</w:t>
      </w:r>
      <w:r w:rsidR="00331DBC">
        <w:rPr>
          <w:rFonts w:asciiTheme="minorHAnsi" w:hAnsiTheme="minorHAnsi" w:cstheme="minorHAnsi"/>
        </w:rPr>
        <w:t xml:space="preserve"> tokom 2017. godine</w:t>
      </w:r>
      <w:r w:rsidRPr="00A81864">
        <w:rPr>
          <w:rFonts w:asciiTheme="minorHAnsi" w:hAnsiTheme="minorHAnsi" w:cstheme="minorHAnsi"/>
        </w:rPr>
        <w:t xml:space="preserve">, što je za 10,3% više u odnosu na prethodnu godinu. Ukupno je ostvareno 12 miliona noćenja, što je za 6,3% više nego 2016. godine. </w:t>
      </w:r>
      <w:r w:rsidRPr="00593418">
        <w:rPr>
          <w:rFonts w:asciiTheme="minorHAnsi" w:hAnsiTheme="minorHAnsi" w:cstheme="minorHAnsi"/>
        </w:rPr>
        <w:lastRenderedPageBreak/>
        <w:t>Građevinarstvo je</w:t>
      </w:r>
      <w:r w:rsidR="006F3977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u 2017. godini</w:t>
      </w:r>
      <w:r w:rsidR="006F3977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zabilježilo značajan rast vrijednosti izvršenih građevinskih radova od 51,5% i rast efektivnih časova rada od 24,5% u odnosu na 2016. godinu. Takođe, u 2017. godini ostvaren je rast u većini vidova saobraćaja, dok je u sektoru šumarstva ostvaren rast proizvodnje od 15,8%. </w:t>
      </w:r>
      <w:r w:rsidR="00140FDD">
        <w:rPr>
          <w:rFonts w:asciiTheme="minorHAnsi" w:hAnsiTheme="minorHAnsi" w:cstheme="minorHAnsi"/>
        </w:rPr>
        <w:t>Evidentno je da se među k</w:t>
      </w:r>
      <w:r w:rsidR="00140FDD" w:rsidRPr="000321F6">
        <w:rPr>
          <w:rFonts w:asciiTheme="minorHAnsi" w:hAnsiTheme="minorHAnsi" w:cstheme="minorHAnsi"/>
        </w:rPr>
        <w:t>ljučni</w:t>
      </w:r>
      <w:r w:rsidR="00140FDD">
        <w:rPr>
          <w:rFonts w:asciiTheme="minorHAnsi" w:hAnsiTheme="minorHAnsi" w:cstheme="minorHAnsi"/>
        </w:rPr>
        <w:t>m</w:t>
      </w:r>
      <w:r w:rsidR="00140FDD" w:rsidRPr="000321F6">
        <w:rPr>
          <w:rFonts w:asciiTheme="minorHAnsi" w:hAnsiTheme="minorHAnsi" w:cstheme="minorHAnsi"/>
        </w:rPr>
        <w:t xml:space="preserve"> sektori</w:t>
      </w:r>
      <w:r w:rsidR="00140FDD">
        <w:rPr>
          <w:rFonts w:asciiTheme="minorHAnsi" w:hAnsiTheme="minorHAnsi" w:cstheme="minorHAnsi"/>
        </w:rPr>
        <w:t>ma</w:t>
      </w:r>
      <w:r w:rsidR="00140FDD" w:rsidRPr="000321F6">
        <w:rPr>
          <w:rFonts w:asciiTheme="minorHAnsi" w:hAnsiTheme="minorHAnsi" w:cstheme="minorHAnsi"/>
        </w:rPr>
        <w:t xml:space="preserve"> rasta </w:t>
      </w:r>
      <w:r w:rsidR="00140FDD">
        <w:rPr>
          <w:rFonts w:asciiTheme="minorHAnsi" w:hAnsiTheme="minorHAnsi" w:cstheme="minorHAnsi"/>
        </w:rPr>
        <w:t>identifikuju</w:t>
      </w:r>
      <w:r w:rsidR="00140FDD" w:rsidRPr="000321F6">
        <w:rPr>
          <w:rFonts w:asciiTheme="minorHAnsi" w:hAnsiTheme="minorHAnsi" w:cstheme="minorHAnsi"/>
        </w:rPr>
        <w:t xml:space="preserve"> turizam, građevinarstvo, šumarstvo i saobraćaj</w:t>
      </w:r>
      <w:r w:rsidR="00140FDD">
        <w:rPr>
          <w:rFonts w:asciiTheme="minorHAnsi" w:hAnsiTheme="minorHAnsi" w:cstheme="minorHAnsi"/>
        </w:rPr>
        <w:t>, a sve uz stalan rast trgovine</w:t>
      </w:r>
      <w:r w:rsidR="00140FDD" w:rsidRPr="000321F6">
        <w:rPr>
          <w:rFonts w:asciiTheme="minorHAnsi" w:hAnsiTheme="minorHAnsi" w:cstheme="minorHAnsi"/>
        </w:rPr>
        <w:t>.</w:t>
      </w:r>
    </w:p>
    <w:p w14:paraId="739CF46E" w14:textId="4287C6EA" w:rsidR="009A0634" w:rsidRPr="00593418" w:rsidRDefault="009A0634" w:rsidP="002648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Deficit budžeta posljedično povećava neto javni dug koji je</w:t>
      </w:r>
      <w:r w:rsidR="006F3977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na kraju 2017. godine</w:t>
      </w:r>
      <w:r w:rsidR="006F3977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iznosio 2,7 milijardi eura, od čega se na spoljni dug odnosilo 2,2 milijarde eura. </w:t>
      </w:r>
    </w:p>
    <w:p w14:paraId="06AAC75B" w14:textId="3557240F" w:rsidR="009A0634" w:rsidRPr="00593418" w:rsidRDefault="006A1F94" w:rsidP="002648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N</w:t>
      </w:r>
      <w:r w:rsidR="009A0634" w:rsidRPr="00593418">
        <w:rPr>
          <w:rFonts w:asciiTheme="minorHAnsi" w:hAnsiTheme="minorHAnsi" w:cstheme="minorHAnsi"/>
        </w:rPr>
        <w:t>eto priliv stranih direktnih investicija</w:t>
      </w:r>
      <w:r w:rsidR="005744A6">
        <w:rPr>
          <w:rFonts w:asciiTheme="minorHAnsi" w:hAnsiTheme="minorHAnsi" w:cstheme="minorHAnsi"/>
        </w:rPr>
        <w:t xml:space="preserve"> (SDI)</w:t>
      </w:r>
      <w:r w:rsidR="009A0634" w:rsidRPr="00593418">
        <w:rPr>
          <w:rFonts w:asciiTheme="minorHAnsi" w:hAnsiTheme="minorHAnsi" w:cstheme="minorHAnsi"/>
        </w:rPr>
        <w:t xml:space="preserve"> u 2017. godini iznosio je 474,3 miliona eura, što predstavlja povećanje od 27,6% u odnosu na prethodnu godinu. Ukupan priliv SDI iznosio je 649,2 miliona eura, od čega su vlasnička ulaganja iznosila 366,9 miliona eura, dok je priliv u formi interkompanijskog duga iznosio 247,1 milion eura. </w:t>
      </w:r>
    </w:p>
    <w:p w14:paraId="7D7E82E5" w14:textId="72183F82" w:rsidR="009A0634" w:rsidRPr="00593418" w:rsidRDefault="009A0634" w:rsidP="002648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G</w:t>
      </w:r>
      <w:r w:rsidR="00AE5F6A" w:rsidRPr="00593418">
        <w:rPr>
          <w:rFonts w:asciiTheme="minorHAnsi" w:hAnsiTheme="minorHAnsi" w:cstheme="minorHAnsi"/>
        </w:rPr>
        <w:t>lavni pokretač ekonomskog rasta</w:t>
      </w:r>
      <w:r w:rsidRPr="00593418">
        <w:rPr>
          <w:rFonts w:asciiTheme="minorHAnsi" w:hAnsiTheme="minorHAnsi" w:cstheme="minorHAnsi"/>
        </w:rPr>
        <w:t xml:space="preserve"> u narednom periodu biće snažna investiciona aktivnost, kao rezultat planiranih kapitalnih investicija za </w:t>
      </w:r>
      <w:r w:rsidRPr="00C3231D">
        <w:rPr>
          <w:rFonts w:asciiTheme="minorHAnsi" w:hAnsiTheme="minorHAnsi" w:cstheme="minorHAnsi"/>
        </w:rPr>
        <w:t>izgradnju autoputa Smokovac-Mateševo, zatim investicija u oblasti turizma, energetike</w:t>
      </w:r>
      <w:r w:rsidR="00485F44">
        <w:rPr>
          <w:rFonts w:asciiTheme="minorHAnsi" w:hAnsiTheme="minorHAnsi" w:cstheme="minorHAnsi"/>
        </w:rPr>
        <w:t xml:space="preserve"> (poput izgradnje solarne elektrane za Briskoj Gori)</w:t>
      </w:r>
      <w:r w:rsidRPr="00C3231D">
        <w:rPr>
          <w:rFonts w:asciiTheme="minorHAnsi" w:hAnsiTheme="minorHAnsi" w:cstheme="minorHAnsi"/>
        </w:rPr>
        <w:t>, telekomunikacija itd.</w:t>
      </w:r>
      <w:r w:rsidRPr="00593418">
        <w:rPr>
          <w:rFonts w:asciiTheme="minorHAnsi" w:hAnsiTheme="minorHAnsi" w:cstheme="minorHAnsi"/>
        </w:rPr>
        <w:t xml:space="preserve"> </w:t>
      </w:r>
    </w:p>
    <w:p w14:paraId="5ECEF555" w14:textId="40C1C16F" w:rsidR="006E1E29" w:rsidRPr="00593418" w:rsidRDefault="006E1E29" w:rsidP="00264838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Prema najnovijem </w:t>
      </w:r>
      <w:r w:rsidR="00EE3B94">
        <w:rPr>
          <w:rFonts w:asciiTheme="minorHAnsi" w:hAnsiTheme="minorHAnsi"/>
        </w:rPr>
        <w:t>I</w:t>
      </w:r>
      <w:r w:rsidRPr="00593418">
        <w:rPr>
          <w:rFonts w:asciiTheme="minorHAnsi" w:hAnsiTheme="minorHAnsi"/>
        </w:rPr>
        <w:t>zvještaju o globalnoj konkurentnosti</w:t>
      </w:r>
      <w:r w:rsidR="00EE3B94">
        <w:rPr>
          <w:rFonts w:asciiTheme="minorHAnsi" w:hAnsiTheme="minorHAnsi"/>
        </w:rPr>
        <w:t xml:space="preserve"> za 2018. godinu</w:t>
      </w:r>
      <w:r w:rsidRPr="00593418">
        <w:rPr>
          <w:rFonts w:asciiTheme="minorHAnsi" w:hAnsiTheme="minorHAnsi"/>
        </w:rPr>
        <w:t>, Global competitiveness report 2018, Crna Gora se nalazi na 7</w:t>
      </w:r>
      <w:r w:rsidR="00AF548C">
        <w:rPr>
          <w:rFonts w:asciiTheme="minorHAnsi" w:hAnsiTheme="minorHAnsi"/>
        </w:rPr>
        <w:t>1</w:t>
      </w:r>
      <w:r w:rsidRPr="00593418">
        <w:rPr>
          <w:rFonts w:asciiTheme="minorHAnsi" w:hAnsiTheme="minorHAnsi"/>
        </w:rPr>
        <w:t>. mjestu od 1</w:t>
      </w:r>
      <w:r w:rsidR="00AF548C">
        <w:rPr>
          <w:rFonts w:asciiTheme="minorHAnsi" w:hAnsiTheme="minorHAnsi"/>
        </w:rPr>
        <w:t>40</w:t>
      </w:r>
      <w:r w:rsidRPr="00593418">
        <w:rPr>
          <w:rFonts w:asciiTheme="minorHAnsi" w:hAnsiTheme="minorHAnsi"/>
        </w:rPr>
        <w:t xml:space="preserve"> zemalja koje su pokrivene istraživanjem.</w:t>
      </w:r>
      <w:r w:rsidR="00320DEB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Svjetski ekonomski forum (World Economic Forum) analizu zasniva na istraživanjima koja obuhvataju veliki broj faktora koji utiču na konkurentnost jedne zemlje</w:t>
      </w:r>
      <w:r w:rsidR="00B56A23" w:rsidRPr="00593418">
        <w:rPr>
          <w:rStyle w:val="FootnoteReference"/>
          <w:rFonts w:ascii="Arial" w:hAnsi="Arial" w:cs="Arial"/>
        </w:rPr>
        <w:footnoteReference w:id="9"/>
      </w:r>
      <w:r w:rsidR="008D1B68" w:rsidRPr="00593418">
        <w:rPr>
          <w:rFonts w:asciiTheme="minorHAnsi" w:hAnsiTheme="minorHAnsi"/>
        </w:rPr>
        <w:t xml:space="preserve">. </w:t>
      </w:r>
      <w:r w:rsidRPr="00593418">
        <w:rPr>
          <w:rFonts w:asciiTheme="minorHAnsi" w:hAnsiTheme="minorHAnsi"/>
        </w:rPr>
        <w:t>Crna Gora je</w:t>
      </w:r>
      <w:r w:rsidR="00235278">
        <w:rPr>
          <w:rFonts w:asciiTheme="minorHAnsi" w:hAnsiTheme="minorHAnsi"/>
        </w:rPr>
        <w:t>,</w:t>
      </w:r>
      <w:r w:rsidRPr="00593418">
        <w:rPr>
          <w:rFonts w:asciiTheme="minorHAnsi" w:hAnsiTheme="minorHAnsi"/>
        </w:rPr>
        <w:t xml:space="preserve"> u </w:t>
      </w:r>
      <w:r w:rsidR="00AF548C">
        <w:rPr>
          <w:rFonts w:asciiTheme="minorHAnsi" w:hAnsiTheme="minorHAnsi"/>
        </w:rPr>
        <w:t>2018. godini</w:t>
      </w:r>
      <w:r w:rsidR="00235278">
        <w:rPr>
          <w:rFonts w:asciiTheme="minorHAnsi" w:hAnsiTheme="minorHAnsi"/>
        </w:rPr>
        <w:t>,</w:t>
      </w:r>
      <w:r w:rsidR="00AF548C">
        <w:rPr>
          <w:rFonts w:asciiTheme="minorHAnsi" w:hAnsiTheme="minorHAnsi"/>
        </w:rPr>
        <w:t xml:space="preserve"> popravila svoju poziciju za 2 mjesta sa najvećim napretkom za stub </w:t>
      </w:r>
      <w:r w:rsidR="00AF548C" w:rsidRPr="00FA5074">
        <w:rPr>
          <w:rFonts w:asciiTheme="minorHAnsi" w:hAnsiTheme="minorHAnsi"/>
          <w:i/>
        </w:rPr>
        <w:t>tržište rada</w:t>
      </w:r>
      <w:r w:rsidR="00AF548C">
        <w:rPr>
          <w:rFonts w:asciiTheme="minorHAnsi" w:hAnsiTheme="minorHAnsi"/>
        </w:rPr>
        <w:t xml:space="preserve"> (25</w:t>
      </w:r>
      <w:r w:rsidR="00235278">
        <w:rPr>
          <w:rFonts w:asciiTheme="minorHAnsi" w:hAnsiTheme="minorHAnsi"/>
        </w:rPr>
        <w:t>.</w:t>
      </w:r>
      <w:r w:rsidR="00AF548C">
        <w:rPr>
          <w:rFonts w:asciiTheme="minorHAnsi" w:hAnsiTheme="minorHAnsi"/>
        </w:rPr>
        <w:t xml:space="preserve"> pozicija), kao i za 12. stub konkurentnosti </w:t>
      </w:r>
      <w:r w:rsidR="00AF548C" w:rsidRPr="00FA5074">
        <w:rPr>
          <w:rFonts w:asciiTheme="minorHAnsi" w:hAnsiTheme="minorHAnsi"/>
          <w:i/>
        </w:rPr>
        <w:t>Inovacioni kapacitet</w:t>
      </w:r>
      <w:r w:rsidR="00AF548C">
        <w:rPr>
          <w:rFonts w:asciiTheme="minorHAnsi" w:hAnsiTheme="minorHAnsi"/>
        </w:rPr>
        <w:t xml:space="preserve"> i nalazi se na 74. poziciji</w:t>
      </w:r>
      <w:r w:rsidR="006511A0">
        <w:rPr>
          <w:rFonts w:asciiTheme="minorHAnsi" w:hAnsiTheme="minorHAnsi"/>
        </w:rPr>
        <w:t>,</w:t>
      </w:r>
      <w:r w:rsidR="00AF548C">
        <w:rPr>
          <w:rFonts w:asciiTheme="minorHAnsi" w:hAnsiTheme="minorHAnsi"/>
        </w:rPr>
        <w:t xml:space="preserve"> od 140 rangiranih zemalja.</w:t>
      </w:r>
    </w:p>
    <w:p w14:paraId="376CF73E" w14:textId="77777777" w:rsidR="009B6010" w:rsidRPr="00593418" w:rsidRDefault="009B6010" w:rsidP="009B6010">
      <w:pPr>
        <w:rPr>
          <w:b/>
        </w:rPr>
      </w:pPr>
      <w:bookmarkStart w:id="17" w:name="_Toc512345210"/>
    </w:p>
    <w:p w14:paraId="302841C4" w14:textId="0B920058" w:rsidR="00264838" w:rsidRPr="00FD39C0" w:rsidRDefault="00A42EC6" w:rsidP="00264838">
      <w:pPr>
        <w:rPr>
          <w:b/>
        </w:rPr>
      </w:pPr>
      <w:r w:rsidRPr="00593418">
        <w:rPr>
          <w:b/>
        </w:rPr>
        <w:t>Mapiranje ekonomskog potencijala – metodologija</w:t>
      </w:r>
      <w:bookmarkEnd w:id="17"/>
    </w:p>
    <w:p w14:paraId="09BDD531" w14:textId="6426A394" w:rsidR="00A42EC6" w:rsidRPr="00593418" w:rsidRDefault="00A42EC6" w:rsidP="00264838">
      <w:pPr>
        <w:spacing w:after="120" w:line="240" w:lineRule="auto"/>
        <w:jc w:val="both"/>
        <w:rPr>
          <w:rFonts w:eastAsia="Times New Roman"/>
          <w:noProof/>
          <w:lang w:eastAsia="en-GB"/>
        </w:rPr>
      </w:pPr>
      <w:r w:rsidRPr="00593418">
        <w:rPr>
          <w:rFonts w:eastAsia="Times New Roman"/>
          <w:noProof/>
          <w:lang w:eastAsia="en-GB"/>
        </w:rPr>
        <w:t xml:space="preserve">Cilj mapiranja ekonomskog potencijala je da se identifikuju </w:t>
      </w:r>
      <w:r w:rsidR="0053137D">
        <w:rPr>
          <w:rFonts w:eastAsia="Times New Roman"/>
          <w:noProof/>
          <w:lang w:eastAsia="en-GB"/>
        </w:rPr>
        <w:t>sektori</w:t>
      </w:r>
      <w:r w:rsidRPr="00593418">
        <w:rPr>
          <w:rFonts w:eastAsia="Times New Roman"/>
          <w:noProof/>
          <w:lang w:eastAsia="en-GB"/>
        </w:rPr>
        <w:t xml:space="preserve"> s dokazanim prednostima i potencijalom za pokretanje ekonomske transformacije. Ekonomsko mapiranje zasniva se na analizi raspoloživih ekonomskih podataka na detaljnom nivou </w:t>
      </w:r>
      <w:r w:rsidR="0053137D">
        <w:rPr>
          <w:rFonts w:eastAsia="Times New Roman"/>
          <w:noProof/>
          <w:lang w:eastAsia="en-GB"/>
        </w:rPr>
        <w:t>sektora</w:t>
      </w:r>
      <w:r w:rsidRPr="00593418">
        <w:rPr>
          <w:rFonts w:eastAsia="Times New Roman"/>
          <w:noProof/>
          <w:lang w:eastAsia="en-GB"/>
        </w:rPr>
        <w:t xml:space="preserve">. </w:t>
      </w:r>
      <w:r w:rsidR="0053137D">
        <w:rPr>
          <w:rFonts w:eastAsia="Times New Roman"/>
          <w:noProof/>
          <w:lang w:eastAsia="en-GB"/>
        </w:rPr>
        <w:t>Sektor</w:t>
      </w:r>
      <w:r w:rsidR="009174C7">
        <w:rPr>
          <w:rFonts w:eastAsia="Times New Roman"/>
          <w:noProof/>
          <w:lang w:eastAsia="en-GB"/>
        </w:rPr>
        <w:t>i</w:t>
      </w:r>
      <w:r w:rsidRPr="00593418">
        <w:rPr>
          <w:rFonts w:eastAsia="Times New Roman"/>
          <w:noProof/>
          <w:lang w:eastAsia="en-GB"/>
        </w:rPr>
        <w:t xml:space="preserve"> </w:t>
      </w:r>
      <w:r w:rsidR="0053137D">
        <w:rPr>
          <w:rFonts w:eastAsia="Times New Roman"/>
          <w:noProof/>
          <w:lang w:eastAsia="en-GB"/>
        </w:rPr>
        <w:t>su izabrani</w:t>
      </w:r>
      <w:r w:rsidRPr="00593418">
        <w:rPr>
          <w:rFonts w:eastAsia="Times New Roman"/>
          <w:noProof/>
          <w:lang w:eastAsia="en-GB"/>
        </w:rPr>
        <w:t xml:space="preserve"> na osnovu kombinacije kriterijuma, uključujući: 1) stepen specijalizacije </w:t>
      </w:r>
      <w:r w:rsidR="0053137D">
        <w:rPr>
          <w:rFonts w:eastAsia="Times New Roman"/>
          <w:noProof/>
          <w:lang w:eastAsia="en-GB"/>
        </w:rPr>
        <w:t>sektora</w:t>
      </w:r>
      <w:r w:rsidRPr="00593418">
        <w:rPr>
          <w:rFonts w:eastAsia="Times New Roman"/>
          <w:noProof/>
          <w:lang w:eastAsia="en-GB"/>
        </w:rPr>
        <w:t xml:space="preserve"> u poređenju s EU28</w:t>
      </w:r>
      <w:r w:rsidR="00310D66">
        <w:rPr>
          <w:rFonts w:eastAsia="Times New Roman"/>
          <w:noProof/>
          <w:lang w:eastAsia="en-GB"/>
        </w:rPr>
        <w:t>;</w:t>
      </w:r>
      <w:r w:rsidR="00882D91">
        <w:rPr>
          <w:rFonts w:eastAsia="Times New Roman"/>
          <w:noProof/>
          <w:lang w:eastAsia="en-GB"/>
        </w:rPr>
        <w:t xml:space="preserve"> </w:t>
      </w:r>
      <w:r w:rsidRPr="00593418">
        <w:rPr>
          <w:rFonts w:eastAsia="Times New Roman"/>
          <w:noProof/>
          <w:lang w:eastAsia="en-GB"/>
        </w:rPr>
        <w:t>2) kritičnu masu, odnosno dovoljno veliki obim mjeren brojem zaposlenih</w:t>
      </w:r>
      <w:r w:rsidR="00AB2A0D">
        <w:rPr>
          <w:rFonts w:eastAsia="Times New Roman"/>
          <w:noProof/>
          <w:lang w:eastAsia="en-GB"/>
        </w:rPr>
        <w:t>;</w:t>
      </w:r>
      <w:r w:rsidRPr="00593418">
        <w:rPr>
          <w:rFonts w:eastAsia="Times New Roman"/>
          <w:noProof/>
          <w:lang w:eastAsia="en-GB"/>
        </w:rPr>
        <w:t xml:space="preserve"> 3) rast zaposlenosti</w:t>
      </w:r>
      <w:r w:rsidR="00AB2A0D">
        <w:rPr>
          <w:rFonts w:eastAsia="Times New Roman"/>
          <w:noProof/>
          <w:lang w:eastAsia="en-GB"/>
        </w:rPr>
        <w:t>;</w:t>
      </w:r>
      <w:r w:rsidRPr="00593418">
        <w:rPr>
          <w:rFonts w:eastAsia="Times New Roman"/>
          <w:noProof/>
          <w:lang w:eastAsia="en-GB"/>
        </w:rPr>
        <w:t xml:space="preserve"> 4) prosječne zarade u poređenju s prosjekom za Crnu Goru</w:t>
      </w:r>
      <w:r w:rsidR="00AB2A0D">
        <w:rPr>
          <w:rFonts w:eastAsia="Times New Roman"/>
          <w:noProof/>
          <w:lang w:eastAsia="en-GB"/>
        </w:rPr>
        <w:t>;</w:t>
      </w:r>
      <w:r w:rsidRPr="00593418">
        <w:rPr>
          <w:rFonts w:eastAsia="Times New Roman"/>
          <w:noProof/>
          <w:lang w:eastAsia="en-GB"/>
        </w:rPr>
        <w:t xml:space="preserve"> 5) izvozni učinak i 6) moguće poklapanje s dva različita tipa širih </w:t>
      </w:r>
      <w:r w:rsidR="0053137D">
        <w:rPr>
          <w:rFonts w:eastAsia="Times New Roman"/>
          <w:noProof/>
          <w:lang w:eastAsia="en-GB"/>
        </w:rPr>
        <w:t>sektorsk</w:t>
      </w:r>
      <w:r w:rsidRPr="00593418">
        <w:rPr>
          <w:rFonts w:eastAsia="Times New Roman"/>
          <w:noProof/>
          <w:lang w:eastAsia="en-GB"/>
        </w:rPr>
        <w:t>ih grupa</w:t>
      </w:r>
      <w:r w:rsidR="008518E3" w:rsidRPr="00593418">
        <w:rPr>
          <w:rFonts w:eastAsia="Times New Roman"/>
          <w:noProof/>
          <w:lang w:eastAsia="en-GB"/>
        </w:rPr>
        <w:t>,</w:t>
      </w:r>
      <w:r w:rsidRPr="00593418">
        <w:rPr>
          <w:rFonts w:eastAsia="Times New Roman"/>
          <w:noProof/>
          <w:lang w:eastAsia="en-GB"/>
        </w:rPr>
        <w:t xml:space="preserve"> uz mjerenje učinka klastera i prisustva rastućih </w:t>
      </w:r>
      <w:r w:rsidR="0053137D">
        <w:rPr>
          <w:rFonts w:eastAsia="Times New Roman"/>
          <w:noProof/>
          <w:lang w:eastAsia="en-GB"/>
        </w:rPr>
        <w:t>sektor</w:t>
      </w:r>
      <w:r w:rsidRPr="00593418">
        <w:rPr>
          <w:rFonts w:eastAsia="Times New Roman"/>
          <w:noProof/>
          <w:lang w:eastAsia="en-GB"/>
        </w:rPr>
        <w:t xml:space="preserve">a. </w:t>
      </w:r>
    </w:p>
    <w:p w14:paraId="52A86036" w14:textId="2F0C305B" w:rsidR="00A42EC6" w:rsidRPr="00593418" w:rsidRDefault="00A42EC6" w:rsidP="00264838">
      <w:pPr>
        <w:spacing w:after="120" w:line="240" w:lineRule="auto"/>
        <w:jc w:val="both"/>
        <w:rPr>
          <w:rFonts w:eastAsia="Times New Roman"/>
          <w:noProof/>
          <w:lang w:eastAsia="en-GB"/>
        </w:rPr>
      </w:pPr>
      <w:r w:rsidRPr="00593418">
        <w:rPr>
          <w:rFonts w:eastAsia="Times New Roman"/>
          <w:i/>
          <w:noProof/>
          <w:lang w:eastAsia="en-GB"/>
        </w:rPr>
        <w:t>Specijalizacija</w:t>
      </w:r>
      <w:r w:rsidRPr="00593418">
        <w:rPr>
          <w:rFonts w:eastAsia="Times New Roman"/>
          <w:noProof/>
          <w:lang w:eastAsia="en-GB"/>
        </w:rPr>
        <w:t xml:space="preserve"> se izračunava upoređivanjem relativnog</w:t>
      </w:r>
      <w:r w:rsidR="0053137D">
        <w:rPr>
          <w:rFonts w:eastAsia="Times New Roman"/>
          <w:noProof/>
          <w:lang w:eastAsia="en-GB"/>
        </w:rPr>
        <w:t xml:space="preserve"> udjela zaposlenosti u određenom</w:t>
      </w:r>
      <w:r w:rsidRPr="00593418">
        <w:rPr>
          <w:rFonts w:eastAsia="Times New Roman"/>
          <w:noProof/>
          <w:lang w:eastAsia="en-GB"/>
        </w:rPr>
        <w:t xml:space="preserve"> </w:t>
      </w:r>
      <w:r w:rsidR="0053137D">
        <w:rPr>
          <w:rFonts w:eastAsia="Times New Roman"/>
          <w:noProof/>
          <w:lang w:eastAsia="en-GB"/>
        </w:rPr>
        <w:t>sektoru</w:t>
      </w:r>
      <w:r w:rsidRPr="00593418">
        <w:rPr>
          <w:rFonts w:eastAsia="Times New Roman"/>
          <w:noProof/>
          <w:lang w:eastAsia="en-GB"/>
        </w:rPr>
        <w:t xml:space="preserve"> u ukupnoj zaposlenosti u Crnoj Gori</w:t>
      </w:r>
      <w:r w:rsidR="00823DC2">
        <w:rPr>
          <w:rFonts w:eastAsia="Times New Roman"/>
          <w:noProof/>
          <w:lang w:eastAsia="en-GB"/>
        </w:rPr>
        <w:t>,</w:t>
      </w:r>
      <w:r w:rsidRPr="00593418">
        <w:rPr>
          <w:rFonts w:eastAsia="Times New Roman"/>
          <w:noProof/>
          <w:lang w:eastAsia="en-GB"/>
        </w:rPr>
        <w:t xml:space="preserve"> s relativnim udjelom zaposlenosti u to</w:t>
      </w:r>
      <w:r w:rsidR="0053137D">
        <w:rPr>
          <w:rFonts w:eastAsia="Times New Roman"/>
          <w:noProof/>
          <w:lang w:eastAsia="en-GB"/>
        </w:rPr>
        <w:t>m sektor</w:t>
      </w:r>
      <w:r w:rsidRPr="00593418">
        <w:rPr>
          <w:rFonts w:eastAsia="Times New Roman"/>
          <w:noProof/>
          <w:lang w:eastAsia="en-GB"/>
        </w:rPr>
        <w:t xml:space="preserve">u </w:t>
      </w:r>
      <w:r w:rsidR="00573C36">
        <w:rPr>
          <w:rFonts w:eastAsia="Times New Roman"/>
          <w:noProof/>
          <w:lang w:eastAsia="en-GB"/>
        </w:rPr>
        <w:t xml:space="preserve">u </w:t>
      </w:r>
      <w:r w:rsidRPr="00593418">
        <w:rPr>
          <w:rFonts w:eastAsia="Times New Roman"/>
          <w:noProof/>
          <w:lang w:eastAsia="en-GB"/>
        </w:rPr>
        <w:t>EU28, s ukupnom zaposlenošću u EU28. Odnos ova dva procentualna udjela poznat je kao količnik lokacije (LQ), pri čemu količnik lokacije iznad 1 pokazuje iznadpros</w:t>
      </w:r>
      <w:r w:rsidR="0053137D">
        <w:rPr>
          <w:rFonts w:eastAsia="Times New Roman"/>
          <w:noProof/>
          <w:lang w:eastAsia="en-GB"/>
        </w:rPr>
        <w:t xml:space="preserve">ječnu koncentraciju u </w:t>
      </w:r>
      <w:r w:rsidR="00573C36">
        <w:rPr>
          <w:rFonts w:eastAsia="Times New Roman"/>
          <w:noProof/>
          <w:lang w:eastAsia="en-GB"/>
        </w:rPr>
        <w:t xml:space="preserve">određenom </w:t>
      </w:r>
      <w:r w:rsidR="0053137D">
        <w:rPr>
          <w:rFonts w:eastAsia="Times New Roman"/>
          <w:noProof/>
          <w:lang w:eastAsia="en-GB"/>
        </w:rPr>
        <w:t>sektoru</w:t>
      </w:r>
      <w:r w:rsidR="00D11030" w:rsidRPr="00593418">
        <w:rPr>
          <w:rFonts w:eastAsia="Times New Roman"/>
          <w:noProof/>
          <w:lang w:eastAsia="en-GB"/>
        </w:rPr>
        <w:t>,</w:t>
      </w:r>
      <w:r w:rsidRPr="00593418">
        <w:rPr>
          <w:rFonts w:eastAsia="Times New Roman"/>
          <w:noProof/>
          <w:lang w:eastAsia="en-GB"/>
        </w:rPr>
        <w:t xml:space="preserve"> a količnik lokacije ispod 1 ispodprosječnu koncentraciju u</w:t>
      </w:r>
      <w:r w:rsidR="002D58A5">
        <w:rPr>
          <w:rFonts w:eastAsia="Times New Roman"/>
          <w:noProof/>
          <w:lang w:eastAsia="en-GB"/>
        </w:rPr>
        <w:t xml:space="preserve"> tom sektoru</w:t>
      </w:r>
      <w:r w:rsidRPr="00593418">
        <w:rPr>
          <w:rFonts w:eastAsia="Times New Roman"/>
          <w:noProof/>
          <w:lang w:eastAsia="en-GB"/>
        </w:rPr>
        <w:t xml:space="preserve">. Za ekonomsko mapiranje korišćen je prag od 1,5, tako da se smatra da je </w:t>
      </w:r>
      <w:r w:rsidR="0053137D">
        <w:rPr>
          <w:rFonts w:eastAsia="Times New Roman"/>
          <w:noProof/>
          <w:lang w:eastAsia="en-GB"/>
        </w:rPr>
        <w:t>sektor specijalizovan</w:t>
      </w:r>
      <w:r w:rsidRPr="00593418">
        <w:rPr>
          <w:rFonts w:eastAsia="Times New Roman"/>
          <w:noProof/>
          <w:lang w:eastAsia="en-GB"/>
        </w:rPr>
        <w:t xml:space="preserve"> ako je nje</w:t>
      </w:r>
      <w:r w:rsidR="00EE3B94">
        <w:rPr>
          <w:rFonts w:eastAsia="Times New Roman"/>
          <w:noProof/>
          <w:lang w:eastAsia="en-GB"/>
        </w:rPr>
        <w:t xml:space="preserve">gov </w:t>
      </w:r>
      <w:r w:rsidRPr="00593418">
        <w:rPr>
          <w:rFonts w:eastAsia="Times New Roman"/>
          <w:noProof/>
          <w:lang w:eastAsia="en-GB"/>
        </w:rPr>
        <w:t>udio u zaposlenosti</w:t>
      </w:r>
      <w:r w:rsidR="0053137D">
        <w:rPr>
          <w:rFonts w:eastAsia="Times New Roman"/>
          <w:noProof/>
          <w:lang w:eastAsia="en-GB"/>
        </w:rPr>
        <w:t xml:space="preserve"> najmanje 50% veći od udjela tog</w:t>
      </w:r>
      <w:r w:rsidRPr="00593418">
        <w:rPr>
          <w:rFonts w:eastAsia="Times New Roman"/>
          <w:noProof/>
          <w:lang w:eastAsia="en-GB"/>
        </w:rPr>
        <w:t xml:space="preserve"> </w:t>
      </w:r>
      <w:r w:rsidR="0053137D">
        <w:rPr>
          <w:rFonts w:eastAsia="Times New Roman"/>
          <w:noProof/>
          <w:lang w:eastAsia="en-GB"/>
        </w:rPr>
        <w:t>sektora</w:t>
      </w:r>
      <w:r w:rsidRPr="00593418">
        <w:rPr>
          <w:rFonts w:eastAsia="Times New Roman"/>
          <w:noProof/>
          <w:lang w:eastAsia="en-GB"/>
        </w:rPr>
        <w:t xml:space="preserve"> u zaposlenosti u EU28. </w:t>
      </w:r>
    </w:p>
    <w:p w14:paraId="207FE64A" w14:textId="51BA2F81" w:rsidR="00A42EC6" w:rsidRPr="00593418" w:rsidRDefault="00A42EC6" w:rsidP="00264838">
      <w:pPr>
        <w:spacing w:after="120" w:line="240" w:lineRule="auto"/>
        <w:jc w:val="both"/>
        <w:rPr>
          <w:rFonts w:eastAsia="Times New Roman"/>
          <w:noProof/>
          <w:lang w:eastAsia="en-GB"/>
        </w:rPr>
      </w:pPr>
      <w:r w:rsidRPr="00593418">
        <w:rPr>
          <w:rFonts w:eastAsia="Times New Roman"/>
          <w:i/>
          <w:noProof/>
          <w:lang w:eastAsia="en-GB"/>
        </w:rPr>
        <w:t>Kritična masa</w:t>
      </w:r>
      <w:r w:rsidRPr="00593418">
        <w:rPr>
          <w:rFonts w:eastAsia="Times New Roman"/>
          <w:noProof/>
          <w:lang w:eastAsia="en-GB"/>
        </w:rPr>
        <w:t xml:space="preserve"> ili obim </w:t>
      </w:r>
      <w:r w:rsidR="0053137D">
        <w:rPr>
          <w:rFonts w:eastAsia="Times New Roman"/>
          <w:noProof/>
          <w:lang w:eastAsia="en-GB"/>
        </w:rPr>
        <w:t>sektora</w:t>
      </w:r>
      <w:r w:rsidRPr="00593418">
        <w:rPr>
          <w:rFonts w:eastAsia="Times New Roman"/>
          <w:noProof/>
          <w:lang w:eastAsia="en-GB"/>
        </w:rPr>
        <w:t xml:space="preserve"> dodat je procesu selekcije kako bi se spriječio izbor veoma malih </w:t>
      </w:r>
      <w:r w:rsidR="0053137D">
        <w:rPr>
          <w:rFonts w:eastAsia="Times New Roman"/>
          <w:noProof/>
          <w:lang w:eastAsia="en-GB"/>
        </w:rPr>
        <w:t>sektor</w:t>
      </w:r>
      <w:r w:rsidRPr="00593418">
        <w:rPr>
          <w:rFonts w:eastAsia="Times New Roman"/>
          <w:noProof/>
          <w:lang w:eastAsia="en-GB"/>
        </w:rPr>
        <w:t xml:space="preserve">a s marginalnom ekonomskom težinom. Kritična masa izračunava se kao udio zaposlenosti u </w:t>
      </w:r>
      <w:r w:rsidR="0053137D">
        <w:rPr>
          <w:rFonts w:eastAsia="Times New Roman"/>
          <w:noProof/>
          <w:lang w:eastAsia="en-GB"/>
        </w:rPr>
        <w:t>sektoru</w:t>
      </w:r>
      <w:r w:rsidRPr="00593418">
        <w:rPr>
          <w:rFonts w:eastAsia="Times New Roman"/>
          <w:noProof/>
          <w:lang w:eastAsia="en-GB"/>
        </w:rPr>
        <w:t xml:space="preserve"> u ukupnoj zaposlenosti. Za svaku široku </w:t>
      </w:r>
      <w:r w:rsidR="0053137D">
        <w:rPr>
          <w:rFonts w:eastAsia="Times New Roman"/>
          <w:noProof/>
          <w:lang w:eastAsia="en-GB"/>
        </w:rPr>
        <w:t>sektorsk</w:t>
      </w:r>
      <w:r w:rsidRPr="00593418">
        <w:rPr>
          <w:rFonts w:eastAsia="Times New Roman"/>
          <w:noProof/>
          <w:lang w:eastAsia="en-GB"/>
        </w:rPr>
        <w:t xml:space="preserve">u grupu, identifikovan je različit minimalni udio, s nižim udjelom ako postoji više </w:t>
      </w:r>
      <w:r w:rsidR="0053137D">
        <w:rPr>
          <w:rFonts w:eastAsia="Times New Roman"/>
          <w:noProof/>
          <w:lang w:eastAsia="en-GB"/>
        </w:rPr>
        <w:t>sektora</w:t>
      </w:r>
      <w:r w:rsidRPr="00593418">
        <w:rPr>
          <w:rFonts w:eastAsia="Times New Roman"/>
          <w:noProof/>
          <w:lang w:eastAsia="en-GB"/>
        </w:rPr>
        <w:t xml:space="preserve"> na najdetaljnijem </w:t>
      </w:r>
      <w:r w:rsidR="0053137D">
        <w:rPr>
          <w:rFonts w:eastAsia="Times New Roman"/>
          <w:noProof/>
          <w:lang w:eastAsia="en-GB"/>
        </w:rPr>
        <w:t>sektorsk</w:t>
      </w:r>
      <w:r w:rsidRPr="00593418">
        <w:rPr>
          <w:rFonts w:eastAsia="Times New Roman"/>
          <w:noProof/>
          <w:lang w:eastAsia="en-GB"/>
        </w:rPr>
        <w:t xml:space="preserve">om nivou i većim udjelom ako postoji manje </w:t>
      </w:r>
      <w:r w:rsidR="0053137D">
        <w:rPr>
          <w:rFonts w:eastAsia="Times New Roman"/>
          <w:noProof/>
          <w:lang w:eastAsia="en-GB"/>
        </w:rPr>
        <w:t>sektora</w:t>
      </w:r>
      <w:r w:rsidRPr="00593418">
        <w:rPr>
          <w:rFonts w:eastAsia="Times New Roman"/>
          <w:noProof/>
          <w:lang w:eastAsia="en-GB"/>
        </w:rPr>
        <w:t xml:space="preserve"> na najdetaljnijem </w:t>
      </w:r>
      <w:r w:rsidR="0053137D">
        <w:rPr>
          <w:rFonts w:eastAsia="Times New Roman"/>
          <w:noProof/>
          <w:lang w:eastAsia="en-GB"/>
        </w:rPr>
        <w:t>sektorsko</w:t>
      </w:r>
      <w:r w:rsidRPr="00593418">
        <w:rPr>
          <w:rFonts w:eastAsia="Times New Roman"/>
          <w:noProof/>
          <w:lang w:eastAsia="en-GB"/>
        </w:rPr>
        <w:t xml:space="preserve">m nivou. </w:t>
      </w:r>
    </w:p>
    <w:p w14:paraId="65B26339" w14:textId="6DD47AC9" w:rsidR="00A42EC6" w:rsidRPr="00593418" w:rsidRDefault="0053137D" w:rsidP="00264838">
      <w:pPr>
        <w:spacing w:after="120" w:line="240" w:lineRule="auto"/>
        <w:jc w:val="both"/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lastRenderedPageBreak/>
        <w:t>Brzo rastući</w:t>
      </w:r>
      <w:r w:rsidR="00A42EC6" w:rsidRPr="00593418">
        <w:rPr>
          <w:rFonts w:eastAsia="Times New Roman"/>
          <w:noProof/>
          <w:lang w:eastAsia="en-GB"/>
        </w:rPr>
        <w:t xml:space="preserve"> </w:t>
      </w:r>
      <w:r>
        <w:rPr>
          <w:rFonts w:eastAsia="Times New Roman"/>
          <w:noProof/>
          <w:lang w:eastAsia="en-GB"/>
        </w:rPr>
        <w:t>sektori</w:t>
      </w:r>
      <w:r w:rsidR="00A42EC6" w:rsidRPr="00593418">
        <w:rPr>
          <w:rFonts w:eastAsia="Times New Roman"/>
          <w:noProof/>
          <w:lang w:eastAsia="en-GB"/>
        </w:rPr>
        <w:t xml:space="preserve"> imaju veći potencijal da dovedu do ekonomskih transformacija. </w:t>
      </w:r>
      <w:r w:rsidR="00A42EC6" w:rsidRPr="00593418">
        <w:rPr>
          <w:rFonts w:eastAsia="Times New Roman"/>
          <w:i/>
          <w:noProof/>
          <w:lang w:eastAsia="en-GB"/>
        </w:rPr>
        <w:t>Rast zaposlenosti</w:t>
      </w:r>
      <w:r w:rsidR="00A42EC6" w:rsidRPr="00593418">
        <w:rPr>
          <w:rFonts w:eastAsia="Times New Roman"/>
          <w:noProof/>
          <w:lang w:eastAsia="en-GB"/>
        </w:rPr>
        <w:t xml:space="preserve"> u periodu između 2011. i 2016. godine korišćen je kao dodatni kriterijum za izbor. </w:t>
      </w:r>
      <w:r>
        <w:rPr>
          <w:rFonts w:eastAsia="Times New Roman"/>
          <w:noProof/>
          <w:lang w:eastAsia="en-GB"/>
        </w:rPr>
        <w:t>Sektori</w:t>
      </w:r>
      <w:r w:rsidR="00A42EC6" w:rsidRPr="00593418">
        <w:rPr>
          <w:rFonts w:eastAsia="Times New Roman"/>
          <w:noProof/>
          <w:lang w:eastAsia="en-GB"/>
        </w:rPr>
        <w:t xml:space="preserve"> se biraju ako je rast zaposlenosti u periodu između 2011. i 2016. godine iznosio najmanje 25%. </w:t>
      </w:r>
    </w:p>
    <w:p w14:paraId="07956058" w14:textId="7D5F8A8F" w:rsidR="00A42EC6" w:rsidRPr="00593418" w:rsidRDefault="0053137D" w:rsidP="00264838">
      <w:pPr>
        <w:spacing w:after="120" w:line="240" w:lineRule="auto"/>
        <w:jc w:val="both"/>
        <w:rPr>
          <w:rFonts w:eastAsia="Times New Roman" w:cs="Times New Roman"/>
          <w:noProof/>
          <w:lang w:eastAsia="en-GB"/>
        </w:rPr>
      </w:pPr>
      <w:r>
        <w:rPr>
          <w:rFonts w:eastAsia="Times New Roman" w:cs="Times New Roman"/>
          <w:noProof/>
          <w:lang w:eastAsia="en-GB"/>
        </w:rPr>
        <w:t>Sektori</w:t>
      </w:r>
      <w:r w:rsidR="00A42EC6" w:rsidRPr="00593418">
        <w:rPr>
          <w:rFonts w:eastAsia="Times New Roman" w:cs="Times New Roman"/>
          <w:noProof/>
          <w:lang w:eastAsia="en-GB"/>
        </w:rPr>
        <w:t xml:space="preserve"> s </w:t>
      </w:r>
      <w:r w:rsidR="00A42EC6" w:rsidRPr="00593418">
        <w:rPr>
          <w:rFonts w:eastAsia="Times New Roman" w:cs="Times New Roman"/>
          <w:i/>
          <w:noProof/>
          <w:lang w:eastAsia="en-GB"/>
        </w:rPr>
        <w:t>iznadprosječnim zaradama</w:t>
      </w:r>
      <w:r w:rsidR="00A42EC6" w:rsidRPr="00593418">
        <w:rPr>
          <w:rFonts w:eastAsia="Times New Roman" w:cs="Times New Roman"/>
          <w:noProof/>
          <w:lang w:eastAsia="en-GB"/>
        </w:rPr>
        <w:t xml:space="preserve"> više doprinose ekonomskom razvoju zemlje. Zarade treba da budu najmanje 25% veće od prosječne zarade u Crnoj Gori.</w:t>
      </w:r>
    </w:p>
    <w:p w14:paraId="089DD342" w14:textId="7C745241" w:rsidR="00A42EC6" w:rsidRPr="00593418" w:rsidRDefault="00A42EC6" w:rsidP="00264838">
      <w:pPr>
        <w:spacing w:after="120" w:line="240" w:lineRule="auto"/>
        <w:jc w:val="both"/>
        <w:rPr>
          <w:rFonts w:eastAsia="Times New Roman" w:cs="Times New Roman"/>
          <w:noProof/>
          <w:lang w:eastAsia="en-GB"/>
        </w:rPr>
      </w:pPr>
      <w:r w:rsidRPr="00593418">
        <w:rPr>
          <w:rFonts w:eastAsia="Times New Roman" w:cs="Times New Roman"/>
          <w:noProof/>
          <w:lang w:eastAsia="en-GB"/>
        </w:rPr>
        <w:t xml:space="preserve">Za identifikaciju stepena specijalizacije, kritične mase, rasta zaposlenosti i relativnih zarada, </w:t>
      </w:r>
      <w:r w:rsidR="00823DC2" w:rsidRPr="00593418">
        <w:rPr>
          <w:rFonts w:eastAsia="Times New Roman" w:cs="Times New Roman"/>
          <w:noProof/>
          <w:lang w:eastAsia="en-GB"/>
        </w:rPr>
        <w:t>M</w:t>
      </w:r>
      <w:r w:rsidR="00823DC2">
        <w:rPr>
          <w:rFonts w:eastAsia="Times New Roman" w:cs="Times New Roman"/>
          <w:noProof/>
          <w:lang w:eastAsia="en-GB"/>
        </w:rPr>
        <w:t>ONSTAT</w:t>
      </w:r>
      <w:r w:rsidR="00823DC2" w:rsidRPr="00593418">
        <w:rPr>
          <w:rFonts w:eastAsia="Times New Roman" w:cs="Times New Roman"/>
          <w:noProof/>
          <w:lang w:eastAsia="en-GB"/>
        </w:rPr>
        <w:t xml:space="preserve"> </w:t>
      </w:r>
      <w:r w:rsidRPr="00593418">
        <w:rPr>
          <w:rFonts w:eastAsia="Times New Roman" w:cs="Times New Roman"/>
          <w:noProof/>
          <w:lang w:eastAsia="en-GB"/>
        </w:rPr>
        <w:t xml:space="preserve">je učinio dostupnim podatke na detaljnom nivou </w:t>
      </w:r>
      <w:r w:rsidR="0053137D">
        <w:rPr>
          <w:rFonts w:eastAsia="Times New Roman" w:cs="Times New Roman"/>
          <w:noProof/>
          <w:lang w:eastAsia="en-GB"/>
        </w:rPr>
        <w:t>sektora</w:t>
      </w:r>
      <w:r w:rsidRPr="00593418">
        <w:rPr>
          <w:rFonts w:eastAsia="Times New Roman" w:cs="Times New Roman"/>
          <w:noProof/>
          <w:lang w:eastAsia="en-GB"/>
        </w:rPr>
        <w:t>, na trećem nivou klasifikacije NACE (trocifreni numerički kodovi)</w:t>
      </w:r>
      <w:r w:rsidR="00573C36">
        <w:rPr>
          <w:rStyle w:val="FootnoteReference"/>
          <w:rFonts w:eastAsia="Times New Roman" w:cs="Times New Roman"/>
          <w:noProof/>
          <w:lang w:eastAsia="en-GB"/>
        </w:rPr>
        <w:footnoteReference w:id="10"/>
      </w:r>
      <w:r w:rsidRPr="00593418">
        <w:rPr>
          <w:rFonts w:eastAsia="Times New Roman" w:cs="Times New Roman"/>
          <w:noProof/>
          <w:lang w:eastAsia="en-GB"/>
        </w:rPr>
        <w:t xml:space="preserve"> za broj zaposlenih i bruto zarade za period od 2011. do 2016. godine. </w:t>
      </w:r>
    </w:p>
    <w:p w14:paraId="29BE42CD" w14:textId="158480D0" w:rsidR="00A42EC6" w:rsidRPr="00593418" w:rsidRDefault="0053137D" w:rsidP="00264838">
      <w:pPr>
        <w:spacing w:after="120" w:line="240" w:lineRule="auto"/>
        <w:jc w:val="both"/>
        <w:rPr>
          <w:rFonts w:eastAsia="Times New Roman" w:cs="Times New Roman"/>
          <w:noProof/>
          <w:lang w:eastAsia="en-GB"/>
        </w:rPr>
      </w:pPr>
      <w:r>
        <w:rPr>
          <w:rFonts w:eastAsia="Times New Roman" w:cs="Times New Roman"/>
          <w:noProof/>
          <w:lang w:eastAsia="en-GB"/>
        </w:rPr>
        <w:t>Sektori su odabrani</w:t>
      </w:r>
      <w:r w:rsidR="00A42EC6" w:rsidRPr="00593418">
        <w:rPr>
          <w:rFonts w:eastAsia="Times New Roman" w:cs="Times New Roman"/>
          <w:noProof/>
          <w:lang w:eastAsia="en-GB"/>
        </w:rPr>
        <w:t xml:space="preserve"> ako se kvalifikuju i za stepen specijalizacije i za kritičnu masu ili ako ispunjavaju uslove za rast zaposlenosti ili relativnu zaradu</w:t>
      </w:r>
      <w:r>
        <w:rPr>
          <w:rFonts w:eastAsia="Times New Roman" w:cs="Times New Roman"/>
          <w:noProof/>
          <w:lang w:eastAsia="en-GB"/>
        </w:rPr>
        <w:t>. Ukupno je, kao specijalizovani</w:t>
      </w:r>
      <w:r w:rsidR="00EE3B94">
        <w:rPr>
          <w:rFonts w:eastAsia="Times New Roman" w:cs="Times New Roman"/>
          <w:noProof/>
          <w:lang w:eastAsia="en-GB"/>
        </w:rPr>
        <w:t>h</w:t>
      </w:r>
      <w:r w:rsidR="00A42EC6" w:rsidRPr="00593418">
        <w:rPr>
          <w:rFonts w:eastAsia="Times New Roman" w:cs="Times New Roman"/>
          <w:noProof/>
          <w:lang w:eastAsia="en-GB"/>
        </w:rPr>
        <w:t xml:space="preserve"> </w:t>
      </w:r>
      <w:r>
        <w:rPr>
          <w:rFonts w:eastAsia="Times New Roman" w:cs="Times New Roman"/>
          <w:noProof/>
          <w:lang w:eastAsia="en-GB"/>
        </w:rPr>
        <w:t>sektor</w:t>
      </w:r>
      <w:r w:rsidR="00EE3B94">
        <w:rPr>
          <w:rFonts w:eastAsia="Times New Roman" w:cs="Times New Roman"/>
          <w:noProof/>
          <w:lang w:eastAsia="en-GB"/>
        </w:rPr>
        <w:t>a</w:t>
      </w:r>
      <w:r w:rsidR="00A42EC6" w:rsidRPr="00593418">
        <w:rPr>
          <w:rFonts w:eastAsia="Times New Roman" w:cs="Times New Roman"/>
          <w:noProof/>
          <w:lang w:eastAsia="en-GB"/>
        </w:rPr>
        <w:t xml:space="preserve">, izabrano 46 </w:t>
      </w:r>
      <w:r>
        <w:rPr>
          <w:rFonts w:eastAsia="Times New Roman" w:cs="Times New Roman"/>
          <w:noProof/>
          <w:lang w:eastAsia="en-GB"/>
        </w:rPr>
        <w:t>sektora</w:t>
      </w:r>
      <w:r w:rsidR="00A42EC6" w:rsidRPr="00593418">
        <w:rPr>
          <w:rFonts w:eastAsia="Times New Roman" w:cs="Times New Roman"/>
          <w:noProof/>
          <w:lang w:eastAsia="en-GB"/>
        </w:rPr>
        <w:t xml:space="preserve"> na trećem nivou klasifikacije NACE. </w:t>
      </w:r>
    </w:p>
    <w:p w14:paraId="03157251" w14:textId="0FD0296E" w:rsidR="00A42EC6" w:rsidRPr="00593418" w:rsidRDefault="00A42EC6" w:rsidP="00264838">
      <w:pPr>
        <w:spacing w:after="120" w:line="240" w:lineRule="auto"/>
        <w:jc w:val="both"/>
        <w:rPr>
          <w:rFonts w:eastAsia="Times New Roman"/>
          <w:noProof/>
          <w:lang w:eastAsia="en-GB"/>
        </w:rPr>
      </w:pPr>
      <w:r w:rsidRPr="00593418">
        <w:rPr>
          <w:rFonts w:eastAsia="Times New Roman"/>
          <w:noProof/>
          <w:lang w:eastAsia="en-GB"/>
        </w:rPr>
        <w:t xml:space="preserve">Kada je u pitanju mjerenje izvoznog učinka, podaci po NACE </w:t>
      </w:r>
      <w:r w:rsidR="001D7F61">
        <w:rPr>
          <w:rFonts w:eastAsia="Times New Roman"/>
          <w:noProof/>
          <w:lang w:eastAsia="en-GB"/>
        </w:rPr>
        <w:t xml:space="preserve">klasifikaciji </w:t>
      </w:r>
      <w:r w:rsidRPr="00593418">
        <w:rPr>
          <w:rFonts w:eastAsia="Times New Roman"/>
          <w:noProof/>
          <w:lang w:eastAsia="en-GB"/>
        </w:rPr>
        <w:t xml:space="preserve">nijesu dostupni. Umjesto toga, korišćeni su podaci za izvoz u različitim grupama proizvoda. Analizom se došlo do različitih grupa proizvoda u kojima je Crna Gora specijalizovana u poređenju s izvoznim učinkom EU 28 uključujući: meso i mesne prerađevine, povrće i voće; pića; kožu, proizvode od kože i krzna; metalne mineralne rude i otpatke metala; električnu energiju; gvožđe i čelik; obojene metale. Ove grupe proizvoda korišćene su da pomognu u mapiranju, uz korišćenje detaljnih podataka na nivou </w:t>
      </w:r>
      <w:r w:rsidR="0053137D">
        <w:rPr>
          <w:rFonts w:eastAsia="Times New Roman"/>
          <w:noProof/>
          <w:lang w:eastAsia="en-GB"/>
        </w:rPr>
        <w:t>sektora</w:t>
      </w:r>
      <w:r w:rsidRPr="00593418">
        <w:rPr>
          <w:rFonts w:eastAsia="Times New Roman"/>
          <w:noProof/>
          <w:lang w:eastAsia="en-GB"/>
        </w:rPr>
        <w:t>.</w:t>
      </w:r>
    </w:p>
    <w:p w14:paraId="7B331B93" w14:textId="7AB71F11" w:rsidR="00FA5074" w:rsidRDefault="00A42EC6" w:rsidP="00FD39C0">
      <w:pPr>
        <w:spacing w:after="120" w:line="240" w:lineRule="auto"/>
        <w:jc w:val="both"/>
        <w:rPr>
          <w:rFonts w:eastAsia="Times New Roman"/>
          <w:noProof/>
          <w:lang w:eastAsia="en-GB"/>
        </w:rPr>
      </w:pPr>
      <w:r w:rsidRPr="00593418">
        <w:rPr>
          <w:rFonts w:eastAsia="Times New Roman"/>
          <w:noProof/>
          <w:lang w:eastAsia="en-GB"/>
        </w:rPr>
        <w:t xml:space="preserve">Za pokretanje ekonomskog razvoja značajni su klasteri. </w:t>
      </w:r>
      <w:r w:rsidRPr="00593418">
        <w:rPr>
          <w:rFonts w:eastAsia="Times New Roman" w:cs="Times New Roman"/>
          <w:noProof/>
          <w:lang w:eastAsia="en-GB"/>
        </w:rPr>
        <w:t xml:space="preserve">Tokom 2006. godine, Evropska komisija je pokrenula Evropsku opservatoriju klastera koja pruža statističke informacije, analize i mapiranje klastera i politike klastera u Evropi za zemlje članice EU i druge </w:t>
      </w:r>
      <w:r w:rsidR="0053137D">
        <w:rPr>
          <w:rFonts w:eastAsia="Times New Roman" w:cs="Times New Roman"/>
          <w:noProof/>
          <w:lang w:eastAsia="en-GB"/>
        </w:rPr>
        <w:t>evropske zemlje. Sektori koji</w:t>
      </w:r>
      <w:r w:rsidRPr="00593418">
        <w:rPr>
          <w:rFonts w:eastAsia="Times New Roman" w:cs="Times New Roman"/>
          <w:noProof/>
          <w:lang w:eastAsia="en-GB"/>
        </w:rPr>
        <w:t xml:space="preserve"> se nalaze na zajedničkoj lokaciji vjerovatno će imati i zajedničke interese ili poveznice. Identifikujući regionalne koncentracije ekonomskih aktivnosti na četvrtom nivou klasifikacije NACE u povezanim </w:t>
      </w:r>
      <w:r w:rsidR="0053137D">
        <w:rPr>
          <w:rFonts w:eastAsia="Times New Roman" w:cs="Times New Roman"/>
          <w:noProof/>
          <w:lang w:eastAsia="en-GB"/>
        </w:rPr>
        <w:t>sektori</w:t>
      </w:r>
      <w:r w:rsidRPr="00593418">
        <w:rPr>
          <w:rFonts w:eastAsia="Times New Roman" w:cs="Times New Roman"/>
          <w:noProof/>
          <w:lang w:eastAsia="en-GB"/>
        </w:rPr>
        <w:t xml:space="preserve">ma, opservatorija je definisala 51 klaster koji opslužuje veće tržište od onog u kojem se nalazi. Takvi regionalni klasteri obuhvataju </w:t>
      </w:r>
      <w:r w:rsidR="0053137D">
        <w:rPr>
          <w:rFonts w:eastAsia="Times New Roman" w:cs="Times New Roman"/>
          <w:noProof/>
          <w:lang w:eastAsia="en-GB"/>
        </w:rPr>
        <w:t>sektore</w:t>
      </w:r>
      <w:r w:rsidRPr="00593418">
        <w:rPr>
          <w:rFonts w:eastAsia="Times New Roman" w:cs="Times New Roman"/>
          <w:noProof/>
          <w:lang w:eastAsia="en-GB"/>
        </w:rPr>
        <w:t xml:space="preserve"> koje opslužuju tržišta veća od lokacije samog klastera</w:t>
      </w:r>
      <w:r w:rsidR="00D11030" w:rsidRPr="00593418">
        <w:rPr>
          <w:rFonts w:eastAsia="Times New Roman" w:cs="Times New Roman"/>
          <w:noProof/>
          <w:lang w:eastAsia="en-GB"/>
        </w:rPr>
        <w:t>,</w:t>
      </w:r>
      <w:r w:rsidRPr="00593418">
        <w:rPr>
          <w:rFonts w:eastAsia="Times New Roman" w:cs="Times New Roman"/>
          <w:noProof/>
          <w:lang w:eastAsia="en-GB"/>
        </w:rPr>
        <w:t xml:space="preserve"> </w:t>
      </w:r>
      <w:r w:rsidR="00823DC2">
        <w:rPr>
          <w:rFonts w:eastAsia="Times New Roman" w:cs="Times New Roman"/>
          <w:noProof/>
          <w:lang w:eastAsia="en-GB"/>
        </w:rPr>
        <w:t>kao i one</w:t>
      </w:r>
      <w:r w:rsidR="00823DC2" w:rsidRPr="00593418">
        <w:rPr>
          <w:rFonts w:eastAsia="Times New Roman" w:cs="Times New Roman"/>
          <w:noProof/>
          <w:lang w:eastAsia="en-GB"/>
        </w:rPr>
        <w:t xml:space="preserve"> </w:t>
      </w:r>
      <w:r w:rsidR="002F5EAC" w:rsidRPr="00593418">
        <w:rPr>
          <w:rFonts w:eastAsia="Times New Roman" w:cs="Times New Roman"/>
          <w:noProof/>
          <w:lang w:eastAsia="en-GB"/>
        </w:rPr>
        <w:t>ko</w:t>
      </w:r>
      <w:r w:rsidR="002F5EAC">
        <w:rPr>
          <w:rFonts w:eastAsia="Times New Roman" w:cs="Times New Roman"/>
          <w:noProof/>
          <w:lang w:eastAsia="en-GB"/>
        </w:rPr>
        <w:t>ji</w:t>
      </w:r>
      <w:r w:rsidR="002F5EAC" w:rsidRPr="00593418">
        <w:rPr>
          <w:rFonts w:eastAsia="Times New Roman" w:cs="Times New Roman"/>
          <w:noProof/>
          <w:lang w:eastAsia="en-GB"/>
        </w:rPr>
        <w:t xml:space="preserve"> </w:t>
      </w:r>
      <w:r w:rsidRPr="00593418">
        <w:rPr>
          <w:rFonts w:eastAsia="Times New Roman" w:cs="Times New Roman"/>
          <w:noProof/>
          <w:lang w:eastAsia="en-GB"/>
        </w:rPr>
        <w:t>su u potpunosti izložen</w:t>
      </w:r>
      <w:r w:rsidR="002F5EAC">
        <w:rPr>
          <w:rFonts w:eastAsia="Times New Roman" w:cs="Times New Roman"/>
          <w:noProof/>
          <w:lang w:eastAsia="en-GB"/>
        </w:rPr>
        <w:t>i</w:t>
      </w:r>
      <w:r w:rsidRPr="00593418">
        <w:rPr>
          <w:rFonts w:eastAsia="Times New Roman" w:cs="Times New Roman"/>
          <w:noProof/>
          <w:lang w:eastAsia="en-GB"/>
        </w:rPr>
        <w:t xml:space="preserve"> konkurenciji s drugih lokacija. Ovi klasteri koncentrisani su u regionima</w:t>
      </w:r>
      <w:r w:rsidR="002F5EAC">
        <w:rPr>
          <w:rFonts w:eastAsia="Times New Roman" w:cs="Times New Roman"/>
          <w:noProof/>
          <w:lang w:eastAsia="en-GB"/>
        </w:rPr>
        <w:t>,</w:t>
      </w:r>
      <w:r w:rsidR="0062739D">
        <w:rPr>
          <w:rFonts w:eastAsia="Times New Roman" w:cs="Times New Roman"/>
          <w:noProof/>
          <w:lang w:eastAsia="en-GB"/>
        </w:rPr>
        <w:t xml:space="preserve"> a</w:t>
      </w:r>
      <w:r w:rsidRPr="00593418">
        <w:rPr>
          <w:rFonts w:eastAsia="Times New Roman" w:cs="Times New Roman"/>
          <w:noProof/>
          <w:lang w:eastAsia="en-GB"/>
        </w:rPr>
        <w:t xml:space="preserve"> njihove visoke zarade i visoki nivoi inovativne aktivnosti čine ih ključnim motorima regionalnih ekonomija. Po definiciji opservatorije, klasteri mjere postojeće veze</w:t>
      </w:r>
      <w:r w:rsidR="002F5EAC">
        <w:rPr>
          <w:rFonts w:eastAsia="Times New Roman" w:cs="Times New Roman"/>
          <w:noProof/>
          <w:lang w:eastAsia="en-GB"/>
        </w:rPr>
        <w:t>,</w:t>
      </w:r>
      <w:r w:rsidRPr="00593418">
        <w:rPr>
          <w:rFonts w:eastAsia="Times New Roman" w:cs="Times New Roman"/>
          <w:noProof/>
          <w:lang w:eastAsia="en-GB"/>
        </w:rPr>
        <w:t xml:space="preserve"> jer se zasnivaju na postojećoj </w:t>
      </w:r>
      <w:r w:rsidR="0053137D">
        <w:rPr>
          <w:rFonts w:eastAsia="Times New Roman" w:cs="Times New Roman"/>
          <w:noProof/>
          <w:lang w:eastAsia="en-GB"/>
        </w:rPr>
        <w:t>sektors</w:t>
      </w:r>
      <w:r w:rsidRPr="00593418">
        <w:rPr>
          <w:rFonts w:eastAsia="Times New Roman" w:cs="Times New Roman"/>
          <w:noProof/>
          <w:lang w:eastAsia="en-GB"/>
        </w:rPr>
        <w:t xml:space="preserve">koj klasifikaciji. </w:t>
      </w:r>
      <w:r w:rsidR="00D11030" w:rsidRPr="00593418">
        <w:rPr>
          <w:rFonts w:eastAsia="Times New Roman" w:cs="Times New Roman"/>
          <w:noProof/>
          <w:lang w:eastAsia="en-GB"/>
        </w:rPr>
        <w:t>Može se očekivati</w:t>
      </w:r>
      <w:r w:rsidRPr="00593418">
        <w:rPr>
          <w:rFonts w:eastAsia="Times New Roman" w:cs="Times New Roman"/>
          <w:noProof/>
          <w:lang w:eastAsia="en-GB"/>
        </w:rPr>
        <w:t xml:space="preserve"> da će se više ekonomske dinamike dešavati na preklapanjima sektora. U tom smislu, koristeći, između ostalog, informacije o merdžerima i akvizicijama među </w:t>
      </w:r>
      <w:r w:rsidR="002D58A5">
        <w:rPr>
          <w:rFonts w:eastAsia="Times New Roman" w:cs="Times New Roman"/>
          <w:noProof/>
          <w:lang w:eastAsia="en-GB"/>
        </w:rPr>
        <w:t>sektorima</w:t>
      </w:r>
      <w:r w:rsidRPr="00593418">
        <w:rPr>
          <w:rFonts w:eastAsia="Times New Roman" w:cs="Times New Roman"/>
          <w:noProof/>
          <w:lang w:eastAsia="en-GB"/>
        </w:rPr>
        <w:t xml:space="preserve">, Evropska opservatorija klastera identifikovala je deset međusektorskih grupa </w:t>
      </w:r>
      <w:r w:rsidR="0053137D">
        <w:rPr>
          <w:rFonts w:eastAsia="Times New Roman" w:cs="Times New Roman"/>
          <w:noProof/>
          <w:lang w:eastAsia="en-GB"/>
        </w:rPr>
        <w:t>sektora</w:t>
      </w:r>
      <w:r w:rsidRPr="00593418">
        <w:rPr>
          <w:rFonts w:eastAsia="Times New Roman" w:cs="Times New Roman"/>
          <w:noProof/>
          <w:lang w:eastAsia="en-GB"/>
        </w:rPr>
        <w:t xml:space="preserve"> kod kojih je rast međusektorskih veza najvjerovatniji. Koristeći detaljne četvorocifrene podatke M</w:t>
      </w:r>
      <w:r w:rsidR="0062739D">
        <w:rPr>
          <w:rFonts w:eastAsia="Times New Roman" w:cs="Times New Roman"/>
          <w:noProof/>
          <w:lang w:eastAsia="en-GB"/>
        </w:rPr>
        <w:t>ONSTAT-a</w:t>
      </w:r>
      <w:r w:rsidRPr="00593418">
        <w:rPr>
          <w:rFonts w:eastAsia="Times New Roman" w:cs="Times New Roman"/>
          <w:noProof/>
          <w:lang w:eastAsia="en-GB"/>
        </w:rPr>
        <w:t xml:space="preserve"> o zapo</w:t>
      </w:r>
      <w:r w:rsidR="006E37D6">
        <w:rPr>
          <w:rFonts w:eastAsia="Times New Roman" w:cs="Times New Roman"/>
          <w:noProof/>
          <w:lang w:eastAsia="en-GB"/>
        </w:rPr>
        <w:t>šljavanju</w:t>
      </w:r>
      <w:r w:rsidRPr="00593418">
        <w:rPr>
          <w:rFonts w:eastAsia="Times New Roman" w:cs="Times New Roman"/>
          <w:noProof/>
          <w:lang w:eastAsia="en-GB"/>
        </w:rPr>
        <w:t>, identifikova</w:t>
      </w:r>
      <w:r w:rsidR="0053137D">
        <w:rPr>
          <w:rFonts w:eastAsia="Times New Roman" w:cs="Times New Roman"/>
          <w:noProof/>
          <w:lang w:eastAsia="en-GB"/>
        </w:rPr>
        <w:t>ni su najveći klasteri i rastući</w:t>
      </w:r>
      <w:r w:rsidRPr="00593418">
        <w:rPr>
          <w:rFonts w:eastAsia="Times New Roman" w:cs="Times New Roman"/>
          <w:noProof/>
          <w:lang w:eastAsia="en-GB"/>
        </w:rPr>
        <w:t xml:space="preserve"> </w:t>
      </w:r>
      <w:r w:rsidR="0053137D">
        <w:rPr>
          <w:rFonts w:eastAsia="Times New Roman" w:cs="Times New Roman"/>
          <w:noProof/>
          <w:lang w:eastAsia="en-GB"/>
        </w:rPr>
        <w:t>sektori</w:t>
      </w:r>
      <w:r w:rsidRPr="00593418">
        <w:rPr>
          <w:rFonts w:eastAsia="Times New Roman" w:cs="Times New Roman"/>
          <w:noProof/>
          <w:lang w:eastAsia="en-GB"/>
        </w:rPr>
        <w:t xml:space="preserve">. </w:t>
      </w:r>
      <w:r w:rsidRPr="00593418">
        <w:rPr>
          <w:rFonts w:eastAsia="Times New Roman"/>
          <w:noProof/>
          <w:lang w:eastAsia="en-GB"/>
        </w:rPr>
        <w:t>Ovo je korišćeno da pomogne u mapiranju, uz upotre</w:t>
      </w:r>
      <w:r w:rsidR="0053137D">
        <w:rPr>
          <w:rFonts w:eastAsia="Times New Roman"/>
          <w:noProof/>
          <w:lang w:eastAsia="en-GB"/>
        </w:rPr>
        <w:t>bu detaljnih podataka na nivou sektora</w:t>
      </w:r>
      <w:r w:rsidR="00FD39C0">
        <w:rPr>
          <w:rFonts w:eastAsia="Times New Roman"/>
          <w:noProof/>
          <w:lang w:eastAsia="en-GB"/>
        </w:rPr>
        <w:t>.</w:t>
      </w:r>
      <w:r w:rsidR="00FD39C0">
        <w:rPr>
          <w:rFonts w:eastAsia="Times New Roman"/>
          <w:noProof/>
          <w:lang w:eastAsia="en-GB"/>
        </w:rPr>
        <w:br w:type="page"/>
      </w:r>
    </w:p>
    <w:p w14:paraId="36BBA1EE" w14:textId="6444861D" w:rsidR="00FD39C0" w:rsidRPr="00FD39C0" w:rsidRDefault="00A42EC6" w:rsidP="00183E2C">
      <w:pPr>
        <w:rPr>
          <w:b/>
        </w:rPr>
      </w:pPr>
      <w:bookmarkStart w:id="18" w:name="_Toc512345211"/>
      <w:r w:rsidRPr="00593418">
        <w:rPr>
          <w:b/>
        </w:rPr>
        <w:lastRenderedPageBreak/>
        <w:t>Mapiranje ekonomskog potencijala – rezultati</w:t>
      </w:r>
    </w:p>
    <w:bookmarkEnd w:id="18"/>
    <w:p w14:paraId="03D9C25A" w14:textId="7526ECC7" w:rsidR="006A15FC" w:rsidRPr="00593418" w:rsidRDefault="00C20566" w:rsidP="00264838">
      <w:pPr>
        <w:spacing w:after="120" w:line="240" w:lineRule="auto"/>
        <w:jc w:val="both"/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t>S</w:t>
      </w:r>
      <w:r w:rsidR="00236B92">
        <w:rPr>
          <w:rFonts w:eastAsia="Times New Roman"/>
          <w:noProof/>
          <w:lang w:eastAsia="en-GB"/>
        </w:rPr>
        <w:t>tatističk</w:t>
      </w:r>
      <w:r>
        <w:rPr>
          <w:rFonts w:eastAsia="Times New Roman"/>
          <w:noProof/>
          <w:lang w:eastAsia="en-GB"/>
        </w:rPr>
        <w:t>i pregled i</w:t>
      </w:r>
      <w:r w:rsidR="00236B92">
        <w:rPr>
          <w:rFonts w:eastAsia="Times New Roman"/>
          <w:noProof/>
          <w:lang w:eastAsia="en-GB"/>
        </w:rPr>
        <w:t xml:space="preserve"> analiz</w:t>
      </w:r>
      <w:r>
        <w:rPr>
          <w:rFonts w:eastAsia="Times New Roman"/>
          <w:noProof/>
          <w:lang w:eastAsia="en-GB"/>
        </w:rPr>
        <w:t>a</w:t>
      </w:r>
      <w:r w:rsidR="00236B92">
        <w:rPr>
          <w:rFonts w:eastAsia="Times New Roman"/>
          <w:noProof/>
          <w:lang w:eastAsia="en-GB"/>
        </w:rPr>
        <w:t xml:space="preserve"> podataka </w:t>
      </w:r>
      <w:r>
        <w:rPr>
          <w:rFonts w:eastAsia="Times New Roman"/>
          <w:noProof/>
          <w:lang w:eastAsia="en-GB"/>
        </w:rPr>
        <w:t xml:space="preserve">nacionalne privrede urađeni u skladu sa </w:t>
      </w:r>
      <w:r w:rsidR="00A42EC6" w:rsidRPr="00593418">
        <w:rPr>
          <w:rFonts w:eastAsia="Times New Roman"/>
          <w:noProof/>
          <w:lang w:eastAsia="en-GB"/>
        </w:rPr>
        <w:t>prethodn</w:t>
      </w:r>
      <w:r>
        <w:rPr>
          <w:rFonts w:eastAsia="Times New Roman"/>
          <w:noProof/>
          <w:lang w:eastAsia="en-GB"/>
        </w:rPr>
        <w:t>o opisanom metodologijom</w:t>
      </w:r>
      <w:r w:rsidR="00A42EC6" w:rsidRPr="00593418">
        <w:rPr>
          <w:rFonts w:eastAsia="Times New Roman"/>
          <w:noProof/>
          <w:lang w:eastAsia="en-GB"/>
        </w:rPr>
        <w:t xml:space="preserve"> sumirani su </w:t>
      </w:r>
      <w:r w:rsidR="00264838" w:rsidRPr="00C3231D">
        <w:rPr>
          <w:rFonts w:eastAsia="Times New Roman"/>
          <w:noProof/>
          <w:lang w:eastAsia="en-GB"/>
        </w:rPr>
        <w:t xml:space="preserve">u </w:t>
      </w:r>
      <w:r w:rsidR="00C3231D">
        <w:rPr>
          <w:rFonts w:eastAsia="Times New Roman"/>
          <w:noProof/>
          <w:lang w:eastAsia="en-GB"/>
        </w:rPr>
        <w:t>T</w:t>
      </w:r>
      <w:r w:rsidR="00264838" w:rsidRPr="00C3231D">
        <w:rPr>
          <w:rFonts w:eastAsia="Times New Roman"/>
          <w:noProof/>
          <w:lang w:eastAsia="en-GB"/>
        </w:rPr>
        <w:t>abeli 1</w:t>
      </w:r>
      <w:r w:rsidR="00733016" w:rsidRPr="00593418">
        <w:rPr>
          <w:rFonts w:eastAsia="Times New Roman"/>
          <w:noProof/>
          <w:lang w:eastAsia="en-GB"/>
        </w:rPr>
        <w:t xml:space="preserve"> koja se nalazi u Anexu</w:t>
      </w:r>
      <w:r w:rsidR="006A15FC" w:rsidRPr="00593418">
        <w:rPr>
          <w:rFonts w:eastAsia="Times New Roman"/>
          <w:noProof/>
          <w:lang w:eastAsia="en-GB"/>
        </w:rPr>
        <w:t xml:space="preserve"> 1</w:t>
      </w:r>
      <w:r w:rsidR="00733016" w:rsidRPr="00593418">
        <w:rPr>
          <w:rFonts w:eastAsia="Times New Roman"/>
          <w:noProof/>
          <w:lang w:eastAsia="en-GB"/>
        </w:rPr>
        <w:t>.</w:t>
      </w:r>
      <w:r w:rsidR="00A42EC6" w:rsidRPr="00593418">
        <w:rPr>
          <w:rFonts w:eastAsia="Times New Roman"/>
          <w:noProof/>
          <w:lang w:eastAsia="en-GB"/>
        </w:rPr>
        <w:t xml:space="preserve"> Prve dvije kolone prikazuju identifikovane specijalizovane </w:t>
      </w:r>
      <w:r w:rsidR="0053137D">
        <w:rPr>
          <w:rFonts w:eastAsia="Times New Roman"/>
          <w:noProof/>
          <w:lang w:eastAsia="en-GB"/>
        </w:rPr>
        <w:t>sektore</w:t>
      </w:r>
      <w:r w:rsidR="00A42EC6" w:rsidRPr="00593418">
        <w:rPr>
          <w:rFonts w:eastAsia="Times New Roman"/>
          <w:noProof/>
          <w:lang w:eastAsia="en-GB"/>
        </w:rPr>
        <w:t xml:space="preserve">. Kolone 3 do 8 sumiraju glavne karakteristike ekonomskog učinka koje se koriste za identifikaciju </w:t>
      </w:r>
      <w:r w:rsidR="0053137D">
        <w:rPr>
          <w:rFonts w:eastAsia="Times New Roman"/>
          <w:noProof/>
          <w:lang w:eastAsia="en-GB"/>
        </w:rPr>
        <w:t>sektora</w:t>
      </w:r>
      <w:r w:rsidR="00A42EC6" w:rsidRPr="00593418">
        <w:rPr>
          <w:rFonts w:eastAsia="Times New Roman"/>
          <w:noProof/>
          <w:lang w:eastAsia="en-GB"/>
        </w:rPr>
        <w:t xml:space="preserve">, gdje su različiti pragovi obima korišćeni za utvrđene specijalizovane </w:t>
      </w:r>
      <w:r w:rsidR="0053137D">
        <w:rPr>
          <w:rFonts w:eastAsia="Times New Roman"/>
          <w:noProof/>
          <w:lang w:eastAsia="en-GB"/>
        </w:rPr>
        <w:t>sektore</w:t>
      </w:r>
      <w:r w:rsidR="00A42EC6" w:rsidRPr="00593418">
        <w:rPr>
          <w:rFonts w:eastAsia="Times New Roman"/>
          <w:noProof/>
          <w:lang w:eastAsia="en-GB"/>
        </w:rPr>
        <w:t xml:space="preserve"> i za utvrđivanje </w:t>
      </w:r>
      <w:r w:rsidR="0053137D">
        <w:rPr>
          <w:rFonts w:eastAsia="Times New Roman"/>
          <w:noProof/>
          <w:lang w:eastAsia="en-GB"/>
        </w:rPr>
        <w:t>sektora</w:t>
      </w:r>
      <w:r w:rsidR="00A42EC6" w:rsidRPr="00593418">
        <w:rPr>
          <w:rFonts w:eastAsia="Times New Roman"/>
          <w:noProof/>
          <w:lang w:eastAsia="en-GB"/>
        </w:rPr>
        <w:t xml:space="preserve"> s visokim rastom zaposlenosti ili visokim relativnim zaradama (ćelije su označene bojom kada </w:t>
      </w:r>
      <w:r w:rsidR="0053137D">
        <w:rPr>
          <w:rFonts w:eastAsia="Times New Roman"/>
          <w:noProof/>
          <w:lang w:eastAsia="en-GB"/>
        </w:rPr>
        <w:t>sektor</w:t>
      </w:r>
      <w:r w:rsidR="00A42EC6" w:rsidRPr="00593418">
        <w:rPr>
          <w:rFonts w:eastAsia="Times New Roman"/>
          <w:noProof/>
          <w:lang w:eastAsia="en-GB"/>
        </w:rPr>
        <w:t xml:space="preserve"> prelazi odgovarajući prag). Kolona 9 pokazuje da li </w:t>
      </w:r>
      <w:r w:rsidR="0053137D">
        <w:rPr>
          <w:rFonts w:eastAsia="Times New Roman"/>
          <w:noProof/>
          <w:lang w:eastAsia="en-GB"/>
        </w:rPr>
        <w:t>sektor</w:t>
      </w:r>
      <w:r w:rsidR="00A42EC6" w:rsidRPr="00593418">
        <w:rPr>
          <w:rFonts w:eastAsia="Times New Roman"/>
          <w:noProof/>
          <w:lang w:eastAsia="en-GB"/>
        </w:rPr>
        <w:t xml:space="preserve"> pripada jednom od klastera koji opslužuje veće tržište od onog u kojem se nalazi ili rastućim </w:t>
      </w:r>
      <w:r w:rsidR="0053137D">
        <w:rPr>
          <w:rFonts w:eastAsia="Times New Roman"/>
          <w:noProof/>
          <w:lang w:eastAsia="en-GB"/>
        </w:rPr>
        <w:t xml:space="preserve">sektorima </w:t>
      </w:r>
      <w:r w:rsidR="00A42EC6" w:rsidRPr="00593418">
        <w:rPr>
          <w:rFonts w:eastAsia="Times New Roman"/>
          <w:noProof/>
          <w:lang w:eastAsia="en-GB"/>
        </w:rPr>
        <w:t>u kojima Crna Gora ima iznadprosječnu snagu. Kolona 10 pokazuje da li se iznadprosječni učinak izvoza robe može dovesti u vezu s</w:t>
      </w:r>
      <w:r w:rsidR="00236B92">
        <w:rPr>
          <w:rFonts w:eastAsia="Times New Roman"/>
          <w:noProof/>
          <w:lang w:eastAsia="en-GB"/>
        </w:rPr>
        <w:t>a</w:t>
      </w:r>
      <w:r w:rsidR="00A42EC6" w:rsidRPr="00593418">
        <w:rPr>
          <w:rFonts w:eastAsia="Times New Roman"/>
          <w:noProof/>
          <w:lang w:eastAsia="en-GB"/>
        </w:rPr>
        <w:t xml:space="preserve"> </w:t>
      </w:r>
      <w:r w:rsidR="0053137D">
        <w:rPr>
          <w:rFonts w:eastAsia="Times New Roman"/>
          <w:noProof/>
          <w:lang w:eastAsia="en-GB"/>
        </w:rPr>
        <w:t>sektor</w:t>
      </w:r>
      <w:r w:rsidR="00A42EC6" w:rsidRPr="00593418">
        <w:rPr>
          <w:rFonts w:eastAsia="Times New Roman"/>
          <w:noProof/>
          <w:lang w:eastAsia="en-GB"/>
        </w:rPr>
        <w:t xml:space="preserve">om. Posljednja kolona pokazuje da li se </w:t>
      </w:r>
      <w:r w:rsidR="00495B3F" w:rsidRPr="00593418">
        <w:rPr>
          <w:rFonts w:eastAsia="Times New Roman"/>
          <w:noProof/>
          <w:lang w:eastAsia="en-GB"/>
        </w:rPr>
        <w:t>specijalizovan</w:t>
      </w:r>
      <w:r w:rsidR="00495B3F">
        <w:rPr>
          <w:rFonts w:eastAsia="Times New Roman"/>
          <w:noProof/>
          <w:lang w:eastAsia="en-GB"/>
        </w:rPr>
        <w:t>i</w:t>
      </w:r>
      <w:r w:rsidR="00495B3F" w:rsidRPr="00593418">
        <w:rPr>
          <w:rFonts w:eastAsia="Times New Roman"/>
          <w:noProof/>
          <w:lang w:eastAsia="en-GB"/>
        </w:rPr>
        <w:t xml:space="preserve"> </w:t>
      </w:r>
      <w:r w:rsidR="0053137D">
        <w:rPr>
          <w:rFonts w:eastAsia="Times New Roman"/>
          <w:noProof/>
          <w:lang w:eastAsia="en-GB"/>
        </w:rPr>
        <w:t>sektor</w:t>
      </w:r>
      <w:r w:rsidR="00A42EC6" w:rsidRPr="00593418">
        <w:rPr>
          <w:rFonts w:eastAsia="Times New Roman"/>
          <w:noProof/>
          <w:lang w:eastAsia="en-GB"/>
        </w:rPr>
        <w:t xml:space="preserve"> može upariti s bilo</w:t>
      </w:r>
      <w:r w:rsidR="00485F44">
        <w:rPr>
          <w:rFonts w:eastAsia="Times New Roman"/>
          <w:noProof/>
          <w:lang w:eastAsia="en-GB"/>
        </w:rPr>
        <w:t xml:space="preserve"> kojim od prioritetnih sektora V</w:t>
      </w:r>
      <w:r w:rsidR="00A42EC6" w:rsidRPr="00593418">
        <w:rPr>
          <w:rFonts w:eastAsia="Times New Roman"/>
          <w:noProof/>
          <w:lang w:eastAsia="en-GB"/>
        </w:rPr>
        <w:t xml:space="preserve">lade. </w:t>
      </w:r>
    </w:p>
    <w:p w14:paraId="3FE274B6" w14:textId="3EF067D3" w:rsidR="005057E7" w:rsidRDefault="005057E7" w:rsidP="005057E7">
      <w:pPr>
        <w:spacing w:after="120" w:line="240" w:lineRule="auto"/>
        <w:jc w:val="both"/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176626" wp14:editId="7CC2FDC2">
                <wp:simplePos x="0" y="0"/>
                <wp:positionH relativeFrom="column">
                  <wp:posOffset>-58420</wp:posOffset>
                </wp:positionH>
                <wp:positionV relativeFrom="paragraph">
                  <wp:posOffset>12700</wp:posOffset>
                </wp:positionV>
                <wp:extent cx="5914239" cy="494950"/>
                <wp:effectExtent l="0" t="0" r="1079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239" cy="49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04F8D" w14:textId="77777777" w:rsidR="00A327C7" w:rsidRDefault="00A32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76626" id="Text Box 5" o:spid="_x0000_s1027" type="#_x0000_t202" style="position:absolute;left:0;text-align:left;margin-left:-4.6pt;margin-top:1pt;width:465.7pt;height:38.9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2gQgIAAIAEAAAOAAAAZHJzL2Uyb0RvYy54bWysVE1vGjEQvVfqf7B8LwsE0oBYIkpEVSlK&#10;IiVVzsbrhVW9Htc27NJf32cvEJT2VPViPB/7PPPeDLPbttZsr5yvyOR80OtzpoykojKbnH9/WX26&#10;4cwHYQqhyaicH5Tnt/OPH2aNnaohbUkXyjGAGD9tbM63Idhplnm5VbXwPbLKIFiSq0WA6TZZ4UQD&#10;9Fpnw37/OmvIFdaRVN7De9cF+Tzhl6WS4bEsvQpM5xy1hXS6dK7jmc1nYrpxwm4reSxD/EMVtagM&#10;Hj1D3Ykg2M5Vf0DVlXTkqQw9SXVGZVlJlXpAN4P+u26et8Kq1AvI8fZMk/9/sPJh/+RYVeR8zJkR&#10;NSR6UW1gX6hl48hOY/0USc8WaaGFGyqf/B7O2HRbujr+oh2GOHg+nLmNYBLO8WQwGl5NOJOIjSaj&#10;yTiRn719bZ0PXxXVLF5y7qBdolTs731AJUg9pcTHDK0qrZN+2rAm59dXgIwRT7oqYjAa8ZOldmwv&#10;MAFrLeSPWD2wLrJgaQNn7LXrKd5Cu24TM+d+11QcQIOjboy8lasK8PfChyfhMDfoHLsQHnGUmlAT&#10;HW+cbcn9+ps/5kNORDlrMIc59z93winO9DcDoUHbKA5uMkbjz0MY7jKyvoyYXb0kNDrA1lmZrjE/&#10;6NO1dFS/YmUW8VWEhJF4O+fhdF2GbjuwclItFikJo2pFuDfPVkboE60v7atw9ihXgNAPdJpYMX2n&#10;Wpfb6bbYBSqrJGnkuWP1SD/GPKlzXMm4R5d2ynr745j/BgAA//8DAFBLAwQUAAYACAAAACEA3yAV&#10;jt0AAAAHAQAADwAAAGRycy9kb3ducmV2LnhtbEyPT0vDQBTE74LfYXmCt3bjgtbEvBQRexBEsIr1&#10;uEme2eD+idltGv30vp70OMww85tyPTsrJhpjHzzCxTIDQb4Jbe87hNeXzeIaREzat9oGTwjfFGFd&#10;nZ6UumjDwT/TtE2d4BIfC41gUhoKKWNjyOm4DAN59j7C6HRiOXayHfWBy52VKsuupNO95wWjB7oz&#10;1Hxu9w7h8W33db95es92VNv+crIr8/BTI56fzbc3IBLN6S8MR3xGh4qZ6rD3bRQWYZErTiIofsR2&#10;rhTrGmGV5yCrUv7nr34BAAD//wMAUEsBAi0AFAAGAAgAAAAhALaDOJL+AAAA4QEAABMAAAAAAAAA&#10;AAAAAAAAAAAAAFtDb250ZW50X1R5cGVzXS54bWxQSwECLQAUAAYACAAAACEAOP0h/9YAAACUAQAA&#10;CwAAAAAAAAAAAAAAAAAvAQAAX3JlbHMvLnJlbHNQSwECLQAUAAYACAAAACEAfjAtoEICAACABAAA&#10;DgAAAAAAAAAAAAAAAAAuAgAAZHJzL2Uyb0RvYy54bWxQSwECLQAUAAYACAAAACEA3yAVjt0AAAAH&#10;AQAADwAAAAAAAAAAAAAAAACcBAAAZHJzL2Rvd25yZXYueG1sUEsFBgAAAAAEAAQA8wAAAKYFAAAA&#10;AA==&#10;" filled="f" strokeweight=".5pt">
                <v:textbox>
                  <w:txbxContent>
                    <w:p w14:paraId="53F04F8D" w14:textId="77777777" w:rsidR="00A327C7" w:rsidRDefault="00A327C7"/>
                  </w:txbxContent>
                </v:textbox>
              </v:shape>
            </w:pict>
          </mc:Fallback>
        </mc:AlternateContent>
      </w:r>
      <w:r w:rsidR="00A42EC6" w:rsidRPr="005D08E6">
        <w:rPr>
          <w:rFonts w:eastAsia="Times New Roman"/>
          <w:noProof/>
          <w:lang w:eastAsia="en-GB"/>
        </w:rPr>
        <w:t xml:space="preserve">Rezultati </w:t>
      </w:r>
      <w:r w:rsidR="00C20566" w:rsidRPr="005D08E6">
        <w:rPr>
          <w:rFonts w:eastAsia="Times New Roman"/>
          <w:noProof/>
          <w:lang w:eastAsia="en-GB"/>
        </w:rPr>
        <w:t xml:space="preserve">analize </w:t>
      </w:r>
      <w:r w:rsidR="00A42EC6" w:rsidRPr="005D08E6">
        <w:rPr>
          <w:rFonts w:eastAsia="Times New Roman"/>
          <w:noProof/>
          <w:lang w:eastAsia="en-GB"/>
        </w:rPr>
        <w:t xml:space="preserve">pokazuju da </w:t>
      </w:r>
      <w:r w:rsidR="00236B92" w:rsidRPr="005D08E6">
        <w:rPr>
          <w:rFonts w:eastAsia="Times New Roman"/>
          <w:noProof/>
          <w:lang w:eastAsia="en-GB"/>
        </w:rPr>
        <w:t xml:space="preserve">su </w:t>
      </w:r>
      <w:r w:rsidR="00495B3F" w:rsidRPr="005D08E6">
        <w:rPr>
          <w:rFonts w:eastAsia="Times New Roman"/>
          <w:noProof/>
          <w:lang w:eastAsia="en-GB"/>
        </w:rPr>
        <w:t xml:space="preserve">i specijalizovani sektori </w:t>
      </w:r>
      <w:r w:rsidR="00236B92" w:rsidRPr="005D08E6">
        <w:rPr>
          <w:rFonts w:eastAsia="Times New Roman"/>
          <w:noProof/>
          <w:lang w:eastAsia="en-GB"/>
        </w:rPr>
        <w:t xml:space="preserve">kojima treba dati </w:t>
      </w:r>
      <w:r w:rsidR="00C20566" w:rsidRPr="005D08E6">
        <w:rPr>
          <w:rFonts w:eastAsia="Times New Roman"/>
          <w:noProof/>
          <w:lang w:eastAsia="en-GB"/>
        </w:rPr>
        <w:t xml:space="preserve">razvojni </w:t>
      </w:r>
      <w:r w:rsidR="00236B92" w:rsidRPr="005D08E6">
        <w:rPr>
          <w:rFonts w:eastAsia="Times New Roman"/>
          <w:noProof/>
          <w:lang w:eastAsia="en-GB"/>
        </w:rPr>
        <w:t xml:space="preserve">prioritet </w:t>
      </w:r>
      <w:r w:rsidR="00A42EC6" w:rsidRPr="005D08E6">
        <w:rPr>
          <w:rFonts w:eastAsia="Times New Roman"/>
          <w:noProof/>
          <w:lang w:eastAsia="en-GB"/>
        </w:rPr>
        <w:t xml:space="preserve"> sljedeći: poljoprivreda i hrana, energetika, ICT, prerađivačka industrija, medicina i kvalitet života,</w:t>
      </w:r>
      <w:r w:rsidR="006A15FC" w:rsidRPr="005D08E6">
        <w:rPr>
          <w:rFonts w:eastAsia="Times New Roman"/>
          <w:noProof/>
          <w:lang w:eastAsia="en-GB"/>
        </w:rPr>
        <w:t xml:space="preserve"> građevinarstvo i </w:t>
      </w:r>
      <w:r>
        <w:rPr>
          <w:rFonts w:eastAsia="Times New Roman"/>
          <w:noProof/>
          <w:lang w:eastAsia="en-GB"/>
        </w:rPr>
        <w:t xml:space="preserve"> turizam.</w:t>
      </w:r>
    </w:p>
    <w:p w14:paraId="1F58C44D" w14:textId="7366EC0C" w:rsidR="005057E7" w:rsidRDefault="005057E7" w:rsidP="005057E7">
      <w:pPr>
        <w:tabs>
          <w:tab w:val="left" w:pos="2676"/>
        </w:tabs>
      </w:pPr>
    </w:p>
    <w:p w14:paraId="09EA78A3" w14:textId="243B0C51" w:rsidR="00A42EC6" w:rsidRPr="005057E7" w:rsidRDefault="005057E7" w:rsidP="005057E7">
      <w:pPr>
        <w:tabs>
          <w:tab w:val="left" w:pos="2676"/>
        </w:tabs>
        <w:sectPr w:rsidR="00A42EC6" w:rsidRPr="005057E7" w:rsidSect="00FD39C0">
          <w:headerReference w:type="default" r:id="rId27"/>
          <w:footerReference w:type="default" r:id="rId2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14:paraId="42A966A2" w14:textId="5DDC53CD" w:rsidR="00DA05D8" w:rsidRPr="00593418" w:rsidRDefault="00F203C3" w:rsidP="00A327C7">
      <w:pPr>
        <w:pStyle w:val="Heading2"/>
      </w:pPr>
      <w:bookmarkStart w:id="19" w:name="_Toc513550475"/>
      <w:bookmarkStart w:id="20" w:name="_Toc521071251"/>
      <w:bookmarkStart w:id="21" w:name="_Toc529890087"/>
      <w:bookmarkStart w:id="22" w:name="_Toc530143282"/>
      <w:r>
        <w:lastRenderedPageBreak/>
        <w:t>I</w:t>
      </w:r>
      <w:r w:rsidR="00253B54" w:rsidRPr="00593418">
        <w:t>V</w:t>
      </w:r>
      <w:r w:rsidR="00AD301E" w:rsidRPr="00593418">
        <w:t xml:space="preserve"> 2. </w:t>
      </w:r>
      <w:r w:rsidR="0025780B" w:rsidRPr="00593418">
        <w:t>ANALIZA IST</w:t>
      </w:r>
      <w:r w:rsidR="0025780B" w:rsidRPr="00FD39C0">
        <w:t>RAŽIVAČKO</w:t>
      </w:r>
      <w:r w:rsidR="0025780B" w:rsidRPr="00593418">
        <w:t>G POTENCIJALA</w:t>
      </w:r>
      <w:bookmarkEnd w:id="19"/>
      <w:bookmarkEnd w:id="20"/>
      <w:bookmarkEnd w:id="21"/>
      <w:bookmarkEnd w:id="22"/>
      <w:r w:rsidR="0025780B" w:rsidRPr="00593418">
        <w:t xml:space="preserve"> </w:t>
      </w:r>
    </w:p>
    <w:p w14:paraId="28363015" w14:textId="77777777" w:rsidR="00CD0F43" w:rsidRPr="00593418" w:rsidRDefault="00CD0F43" w:rsidP="0025780B">
      <w:pPr>
        <w:jc w:val="both"/>
        <w:rPr>
          <w:rFonts w:asciiTheme="minorHAnsi" w:hAnsiTheme="minorHAnsi"/>
          <w:lang w:eastAsia="en-GB"/>
        </w:rPr>
      </w:pPr>
    </w:p>
    <w:p w14:paraId="075B016E" w14:textId="02B883F1" w:rsidR="00CD0F43" w:rsidRPr="00593418" w:rsidRDefault="00CD0F43" w:rsidP="00264838">
      <w:pPr>
        <w:spacing w:after="120" w:line="240" w:lineRule="auto"/>
        <w:jc w:val="both"/>
        <w:rPr>
          <w:rFonts w:asciiTheme="minorHAnsi" w:hAnsiTheme="minorHAnsi"/>
          <w:lang w:eastAsia="en-GB"/>
        </w:rPr>
      </w:pPr>
      <w:r w:rsidRPr="00593418">
        <w:rPr>
          <w:rFonts w:asciiTheme="minorHAnsi" w:hAnsiTheme="minorHAnsi"/>
          <w:lang w:eastAsia="en-GB"/>
        </w:rPr>
        <w:t xml:space="preserve">Vlada Crne Gore </w:t>
      </w:r>
      <w:r w:rsidR="006E37D6">
        <w:rPr>
          <w:rFonts w:asciiTheme="minorHAnsi" w:hAnsiTheme="minorHAnsi"/>
          <w:lang w:eastAsia="en-GB"/>
        </w:rPr>
        <w:t xml:space="preserve">je </w:t>
      </w:r>
      <w:r w:rsidRPr="00593418">
        <w:rPr>
          <w:rFonts w:asciiTheme="minorHAnsi" w:hAnsiTheme="minorHAnsi"/>
          <w:lang w:eastAsia="en-GB"/>
        </w:rPr>
        <w:t>usvojila</w:t>
      </w:r>
      <w:r w:rsidR="00CD28AD" w:rsidRPr="00593418">
        <w:rPr>
          <w:rFonts w:asciiTheme="minorHAnsi" w:hAnsiTheme="minorHAnsi"/>
          <w:lang w:eastAsia="en-GB"/>
        </w:rPr>
        <w:t xml:space="preserve"> </w:t>
      </w:r>
      <w:r w:rsidRPr="00593418">
        <w:rPr>
          <w:rFonts w:asciiTheme="minorHAnsi" w:hAnsiTheme="minorHAnsi"/>
          <w:lang w:eastAsia="en-GB"/>
        </w:rPr>
        <w:t>Strategiju naučnoistraživačke djelatnosti (2017-2021)</w:t>
      </w:r>
      <w:r w:rsidR="00495B3F">
        <w:rPr>
          <w:rFonts w:asciiTheme="minorHAnsi" w:hAnsiTheme="minorHAnsi"/>
          <w:lang w:eastAsia="en-GB"/>
        </w:rPr>
        <w:t xml:space="preserve"> u decembru 2017. godine</w:t>
      </w:r>
      <w:r w:rsidRPr="00593418">
        <w:rPr>
          <w:rFonts w:asciiTheme="minorHAnsi" w:hAnsiTheme="minorHAnsi"/>
          <w:lang w:eastAsia="en-GB"/>
        </w:rPr>
        <w:t xml:space="preserve">. Strategija uvodi nove mjere i instrumente koji će omogućiti bolji kvalitet istraživanja, pristup savremenim tehnologijama i infrastrukturama, bolju apsorpciju EU fondova i jačanje inicijativa za ekonomiju zasnovanu na znanju. </w:t>
      </w:r>
    </w:p>
    <w:p w14:paraId="5172EF66" w14:textId="637AEFB1" w:rsidR="00623B93" w:rsidRDefault="00CD0F43" w:rsidP="00623B93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593418">
        <w:rPr>
          <w:rFonts w:asciiTheme="minorHAnsi" w:hAnsiTheme="minorHAnsi"/>
          <w:lang w:eastAsia="en-GB"/>
        </w:rPr>
        <w:t xml:space="preserve">Strategijom su utvrđena tri strateška cilja, i to: </w:t>
      </w:r>
      <w:r w:rsidR="00D11030" w:rsidRPr="00593418">
        <w:rPr>
          <w:rFonts w:asciiTheme="minorHAnsi" w:hAnsiTheme="minorHAnsi"/>
          <w:lang w:eastAsia="en-GB"/>
        </w:rPr>
        <w:t>r</w:t>
      </w:r>
      <w:r w:rsidRPr="00593418">
        <w:rPr>
          <w:rFonts w:asciiTheme="minorHAnsi" w:hAnsiTheme="minorHAnsi"/>
          <w:lang w:eastAsia="en-GB"/>
        </w:rPr>
        <w:t xml:space="preserve">azvoj ljudskih resursa i istraživačkih kapaciteta, </w:t>
      </w:r>
      <w:r w:rsidR="00D11030" w:rsidRPr="00593418">
        <w:rPr>
          <w:rFonts w:asciiTheme="minorHAnsi" w:hAnsiTheme="minorHAnsi"/>
          <w:lang w:eastAsia="en-GB"/>
        </w:rPr>
        <w:t>u</w:t>
      </w:r>
      <w:r w:rsidRPr="00593418">
        <w:rPr>
          <w:rFonts w:asciiTheme="minorHAnsi" w:hAnsiTheme="minorHAnsi"/>
          <w:lang w:eastAsia="en-GB"/>
        </w:rPr>
        <w:t xml:space="preserve">napređenje međunarodne saradnje i umrežavanja i </w:t>
      </w:r>
      <w:r w:rsidR="00D11030" w:rsidRPr="00593418">
        <w:rPr>
          <w:rFonts w:asciiTheme="minorHAnsi" w:hAnsiTheme="minorHAnsi"/>
          <w:lang w:eastAsia="en-GB"/>
        </w:rPr>
        <w:t>j</w:t>
      </w:r>
      <w:r w:rsidRPr="00593418">
        <w:rPr>
          <w:rFonts w:asciiTheme="minorHAnsi" w:hAnsiTheme="minorHAnsi"/>
          <w:lang w:eastAsia="en-GB"/>
        </w:rPr>
        <w:t xml:space="preserve">ačanje sinergije </w:t>
      </w:r>
      <w:r w:rsidR="001775D2">
        <w:rPr>
          <w:rFonts w:asciiTheme="minorHAnsi" w:hAnsiTheme="minorHAnsi"/>
          <w:lang w:eastAsia="en-GB"/>
        </w:rPr>
        <w:t xml:space="preserve">između </w:t>
      </w:r>
      <w:r w:rsidRPr="00593418">
        <w:rPr>
          <w:rFonts w:asciiTheme="minorHAnsi" w:hAnsiTheme="minorHAnsi"/>
          <w:lang w:eastAsia="en-GB"/>
        </w:rPr>
        <w:t xml:space="preserve">nauke i ekonomije. Ovom </w:t>
      </w:r>
      <w:r w:rsidR="00D11030" w:rsidRPr="00593418">
        <w:rPr>
          <w:rFonts w:asciiTheme="minorHAnsi" w:hAnsiTheme="minorHAnsi"/>
          <w:lang w:eastAsia="en-GB"/>
        </w:rPr>
        <w:t>s</w:t>
      </w:r>
      <w:r w:rsidRPr="00593418">
        <w:rPr>
          <w:rFonts w:asciiTheme="minorHAnsi" w:hAnsiTheme="minorHAnsi"/>
          <w:lang w:eastAsia="en-GB"/>
        </w:rPr>
        <w:t>trategijom identifikovane su istraživačke oblasti u kojima Crna Gora ima najve</w:t>
      </w:r>
      <w:r w:rsidR="00CD28AD" w:rsidRPr="00593418">
        <w:rPr>
          <w:rFonts w:asciiTheme="minorHAnsi" w:hAnsiTheme="minorHAnsi"/>
          <w:lang w:eastAsia="en-GB"/>
        </w:rPr>
        <w:t>ć</w:t>
      </w:r>
      <w:r w:rsidRPr="00593418">
        <w:rPr>
          <w:rFonts w:asciiTheme="minorHAnsi" w:hAnsiTheme="minorHAnsi"/>
          <w:lang w:eastAsia="en-GB"/>
        </w:rPr>
        <w:t xml:space="preserve">i potencijal i od prioritetnog su značaja: </w:t>
      </w:r>
      <w:r w:rsidR="00D11030" w:rsidRPr="00593418">
        <w:rPr>
          <w:rFonts w:asciiTheme="minorHAnsi" w:hAnsiTheme="minorHAnsi"/>
          <w:lang w:eastAsia="en-GB"/>
        </w:rPr>
        <w:t>e</w:t>
      </w:r>
      <w:r w:rsidRPr="00593418">
        <w:rPr>
          <w:rFonts w:asciiTheme="minorHAnsi" w:hAnsiTheme="minorHAnsi"/>
          <w:lang w:eastAsia="en-GB"/>
        </w:rPr>
        <w:t>nergija</w:t>
      </w:r>
      <w:r w:rsidR="004D1FB2">
        <w:rPr>
          <w:rFonts w:asciiTheme="minorHAnsi" w:hAnsiTheme="minorHAnsi"/>
          <w:lang w:eastAsia="en-GB"/>
        </w:rPr>
        <w:t>;</w:t>
      </w:r>
      <w:r w:rsidRPr="00593418">
        <w:rPr>
          <w:rFonts w:asciiTheme="minorHAnsi" w:hAnsiTheme="minorHAnsi"/>
          <w:lang w:eastAsia="en-GB"/>
        </w:rPr>
        <w:t xml:space="preserve"> </w:t>
      </w:r>
      <w:r w:rsidR="00D11030" w:rsidRPr="00593418">
        <w:rPr>
          <w:rFonts w:asciiTheme="minorHAnsi" w:hAnsiTheme="minorHAnsi"/>
          <w:lang w:eastAsia="en-GB"/>
        </w:rPr>
        <w:t>i</w:t>
      </w:r>
      <w:r w:rsidRPr="00593418">
        <w:rPr>
          <w:rFonts w:asciiTheme="minorHAnsi" w:hAnsiTheme="minorHAnsi"/>
          <w:lang w:eastAsia="en-GB"/>
        </w:rPr>
        <w:t>nformacio</w:t>
      </w:r>
      <w:r w:rsidR="00D11030" w:rsidRPr="00593418">
        <w:rPr>
          <w:rFonts w:asciiTheme="minorHAnsi" w:hAnsiTheme="minorHAnsi"/>
          <w:lang w:eastAsia="en-GB"/>
        </w:rPr>
        <w:t>no-</w:t>
      </w:r>
      <w:r w:rsidR="006A15FC" w:rsidRPr="00593418">
        <w:rPr>
          <w:rFonts w:asciiTheme="minorHAnsi" w:hAnsiTheme="minorHAnsi"/>
          <w:lang w:eastAsia="en-GB"/>
        </w:rPr>
        <w:t>komunikacione tehnologije</w:t>
      </w:r>
      <w:r w:rsidR="004D1FB2">
        <w:rPr>
          <w:rFonts w:asciiTheme="minorHAnsi" w:hAnsiTheme="minorHAnsi"/>
          <w:lang w:eastAsia="en-GB"/>
        </w:rPr>
        <w:t>;</w:t>
      </w:r>
      <w:r w:rsidR="006A15FC" w:rsidRPr="00593418">
        <w:rPr>
          <w:rFonts w:asciiTheme="minorHAnsi" w:hAnsiTheme="minorHAnsi"/>
          <w:lang w:eastAsia="en-GB"/>
        </w:rPr>
        <w:t xml:space="preserve"> </w:t>
      </w:r>
      <w:r w:rsidR="00D11030" w:rsidRPr="00593418">
        <w:rPr>
          <w:rFonts w:asciiTheme="minorHAnsi" w:hAnsiTheme="minorHAnsi"/>
          <w:lang w:eastAsia="en-GB"/>
        </w:rPr>
        <w:t>n</w:t>
      </w:r>
      <w:r w:rsidRPr="00593418">
        <w:rPr>
          <w:rFonts w:asciiTheme="minorHAnsi" w:hAnsiTheme="minorHAnsi"/>
          <w:lang w:eastAsia="en-GB"/>
        </w:rPr>
        <w:t>ovi materijali, proizvodi i servisi</w:t>
      </w:r>
      <w:r w:rsidR="004D1FB2">
        <w:rPr>
          <w:rFonts w:asciiTheme="minorHAnsi" w:hAnsiTheme="minorHAnsi"/>
          <w:lang w:eastAsia="en-GB"/>
        </w:rPr>
        <w:t>;</w:t>
      </w:r>
      <w:r w:rsidRPr="00593418">
        <w:rPr>
          <w:rFonts w:asciiTheme="minorHAnsi" w:hAnsiTheme="minorHAnsi"/>
          <w:lang w:eastAsia="en-GB"/>
        </w:rPr>
        <w:t xml:space="preserve">  </w:t>
      </w:r>
      <w:r w:rsidR="00D11030" w:rsidRPr="00593418">
        <w:rPr>
          <w:rFonts w:asciiTheme="minorHAnsi" w:hAnsiTheme="minorHAnsi"/>
          <w:lang w:eastAsia="en-GB"/>
        </w:rPr>
        <w:t>m</w:t>
      </w:r>
      <w:r w:rsidRPr="00593418">
        <w:rPr>
          <w:rFonts w:asciiTheme="minorHAnsi" w:hAnsiTheme="minorHAnsi"/>
          <w:lang w:eastAsia="en-GB"/>
        </w:rPr>
        <w:t>edicina i zdravlje ljudi</w:t>
      </w:r>
      <w:r w:rsidR="004D1FB2">
        <w:rPr>
          <w:rFonts w:asciiTheme="minorHAnsi" w:hAnsiTheme="minorHAnsi"/>
          <w:lang w:eastAsia="en-GB"/>
        </w:rPr>
        <w:t>;</w:t>
      </w:r>
      <w:r w:rsidRPr="00593418">
        <w:rPr>
          <w:rFonts w:asciiTheme="minorHAnsi" w:hAnsiTheme="minorHAnsi"/>
          <w:lang w:eastAsia="en-GB"/>
        </w:rPr>
        <w:t xml:space="preserve">  </w:t>
      </w:r>
      <w:r w:rsidR="00D11030" w:rsidRPr="00593418">
        <w:rPr>
          <w:rFonts w:asciiTheme="minorHAnsi" w:hAnsiTheme="minorHAnsi"/>
          <w:lang w:eastAsia="en-GB"/>
        </w:rPr>
        <w:t>p</w:t>
      </w:r>
      <w:r w:rsidRPr="00593418">
        <w:rPr>
          <w:rFonts w:asciiTheme="minorHAnsi" w:hAnsiTheme="minorHAnsi"/>
          <w:lang w:eastAsia="en-GB"/>
        </w:rPr>
        <w:t>oljoprivreda i proizvodnja hrane</w:t>
      </w:r>
      <w:r w:rsidR="004D1FB2">
        <w:rPr>
          <w:rFonts w:asciiTheme="minorHAnsi" w:hAnsiTheme="minorHAnsi"/>
          <w:lang w:eastAsia="en-GB"/>
        </w:rPr>
        <w:t>;</w:t>
      </w:r>
      <w:r w:rsidRPr="00593418">
        <w:rPr>
          <w:rFonts w:asciiTheme="minorHAnsi" w:hAnsiTheme="minorHAnsi"/>
          <w:lang w:eastAsia="en-GB"/>
        </w:rPr>
        <w:t xml:space="preserve"> </w:t>
      </w:r>
      <w:r w:rsidR="00D11030" w:rsidRPr="00593418">
        <w:rPr>
          <w:rFonts w:asciiTheme="minorHAnsi" w:hAnsiTheme="minorHAnsi"/>
          <w:lang w:eastAsia="en-GB"/>
        </w:rPr>
        <w:t>o</w:t>
      </w:r>
      <w:r w:rsidRPr="00593418">
        <w:rPr>
          <w:rFonts w:asciiTheme="minorHAnsi" w:hAnsiTheme="minorHAnsi"/>
          <w:lang w:eastAsia="en-GB"/>
        </w:rPr>
        <w:t>drživi razvoj i turizam</w:t>
      </w:r>
      <w:r w:rsidR="004D1FB2">
        <w:rPr>
          <w:rFonts w:asciiTheme="minorHAnsi" w:hAnsiTheme="minorHAnsi"/>
          <w:lang w:eastAsia="en-GB"/>
        </w:rPr>
        <w:t>;</w:t>
      </w:r>
      <w:r w:rsidRPr="00593418">
        <w:rPr>
          <w:rFonts w:asciiTheme="minorHAnsi" w:hAnsiTheme="minorHAnsi"/>
          <w:lang w:eastAsia="en-GB"/>
        </w:rPr>
        <w:t xml:space="preserve"> i </w:t>
      </w:r>
      <w:r w:rsidR="00D11030" w:rsidRPr="00593418">
        <w:rPr>
          <w:rFonts w:asciiTheme="minorHAnsi" w:hAnsiTheme="minorHAnsi"/>
          <w:lang w:eastAsia="en-GB"/>
        </w:rPr>
        <w:t>n</w:t>
      </w:r>
      <w:r w:rsidRPr="00593418">
        <w:rPr>
          <w:rFonts w:asciiTheme="minorHAnsi" w:hAnsiTheme="minorHAnsi"/>
          <w:lang w:eastAsia="en-GB"/>
        </w:rPr>
        <w:t>auka, obrazovanje i identitet</w:t>
      </w:r>
      <w:r w:rsidRPr="00464720">
        <w:rPr>
          <w:rFonts w:asciiTheme="minorHAnsi" w:hAnsiTheme="minorHAnsi"/>
          <w:lang w:eastAsia="en-GB"/>
        </w:rPr>
        <w:t>.</w:t>
      </w:r>
      <w:r w:rsidR="00623B93" w:rsidRPr="00464720">
        <w:rPr>
          <w:rFonts w:asciiTheme="minorHAnsi" w:hAnsiTheme="minorHAnsi"/>
          <w:lang w:eastAsia="en-GB"/>
        </w:rPr>
        <w:t xml:space="preserve"> </w:t>
      </w:r>
      <w:r w:rsidR="00623B93" w:rsidRPr="002E6DA0">
        <w:rPr>
          <w:rFonts w:asciiTheme="minorHAnsi" w:hAnsiTheme="minorHAnsi"/>
          <w:lang w:eastAsia="en-GB"/>
        </w:rPr>
        <w:t>Mjere i instrumenti definisani u ovoj strategiji tematski će biti usmjeravani ka prioritetima S3 strategije.</w:t>
      </w:r>
      <w:r w:rsidR="00623B93">
        <w:rPr>
          <w:rFonts w:ascii="Cambria" w:hAnsi="Cambria"/>
          <w:sz w:val="24"/>
          <w:szCs w:val="24"/>
          <w:lang w:val="it-IT"/>
        </w:rPr>
        <w:t xml:space="preserve"> </w:t>
      </w:r>
    </w:p>
    <w:p w14:paraId="4952A05E" w14:textId="3C48D728" w:rsidR="00CD0F43" w:rsidRPr="00593418" w:rsidRDefault="00CD0F43" w:rsidP="00264838">
      <w:pPr>
        <w:spacing w:after="120" w:line="240" w:lineRule="auto"/>
        <w:jc w:val="both"/>
        <w:rPr>
          <w:rFonts w:asciiTheme="minorHAnsi" w:hAnsiTheme="minorHAnsi"/>
          <w:lang w:eastAsia="en-GB"/>
        </w:rPr>
      </w:pPr>
    </w:p>
    <w:p w14:paraId="01DF13F6" w14:textId="51A81A43" w:rsidR="00CD0F43" w:rsidRPr="00593418" w:rsidRDefault="00CD0F43" w:rsidP="00264838">
      <w:pPr>
        <w:spacing w:after="120" w:line="240" w:lineRule="auto"/>
        <w:jc w:val="both"/>
        <w:rPr>
          <w:rFonts w:asciiTheme="minorHAnsi" w:hAnsiTheme="minorHAnsi"/>
          <w:lang w:eastAsia="en-GB"/>
        </w:rPr>
      </w:pPr>
      <w:r w:rsidRPr="00593418">
        <w:rPr>
          <w:rFonts w:asciiTheme="minorHAnsi" w:hAnsiTheme="minorHAnsi"/>
          <w:lang w:eastAsia="en-GB"/>
        </w:rPr>
        <w:t>Naučnoistraživačke institucije realizuju naučna istraživanja u istraživačkim prioritetima u skladu sa svojom djelatnošću i to su: Crnogorska akademija nauka i umjetnosti (CANU) i ustanove koje su dobile licencu za obavljanje naučnoistraživačke djelatnosti u određenim oblastima nauka (univerziteti, instituti, fakulteti i preduzeća). Među njima, po broju istraživača i istraživačko</w:t>
      </w:r>
      <w:r w:rsidR="00D11030" w:rsidRPr="00593418">
        <w:rPr>
          <w:rFonts w:asciiTheme="minorHAnsi" w:hAnsiTheme="minorHAnsi"/>
          <w:lang w:eastAsia="en-GB"/>
        </w:rPr>
        <w:t>j</w:t>
      </w:r>
      <w:r w:rsidRPr="00593418">
        <w:rPr>
          <w:rFonts w:asciiTheme="minorHAnsi" w:hAnsiTheme="minorHAnsi"/>
          <w:lang w:eastAsia="en-GB"/>
        </w:rPr>
        <w:t xml:space="preserve"> infrastruktur</w:t>
      </w:r>
      <w:r w:rsidR="00D11030" w:rsidRPr="00593418">
        <w:rPr>
          <w:rFonts w:asciiTheme="minorHAnsi" w:hAnsiTheme="minorHAnsi"/>
          <w:lang w:eastAsia="en-GB"/>
        </w:rPr>
        <w:t>i</w:t>
      </w:r>
      <w:r w:rsidR="005C20C8">
        <w:rPr>
          <w:rFonts w:asciiTheme="minorHAnsi" w:hAnsiTheme="minorHAnsi"/>
          <w:lang w:eastAsia="en-GB"/>
        </w:rPr>
        <w:t>,</w:t>
      </w:r>
      <w:r w:rsidRPr="00593418">
        <w:rPr>
          <w:rFonts w:asciiTheme="minorHAnsi" w:hAnsiTheme="minorHAnsi"/>
          <w:lang w:eastAsia="en-GB"/>
        </w:rPr>
        <w:t xml:space="preserve"> kao i ostvarenim naučnoistraživačkim rezultatima</w:t>
      </w:r>
      <w:r w:rsidR="00E84459">
        <w:rPr>
          <w:rFonts w:asciiTheme="minorHAnsi" w:hAnsiTheme="minorHAnsi"/>
          <w:lang w:eastAsia="en-GB"/>
        </w:rPr>
        <w:t>,</w:t>
      </w:r>
      <w:r w:rsidRPr="00593418">
        <w:rPr>
          <w:rFonts w:asciiTheme="minorHAnsi" w:hAnsiTheme="minorHAnsi"/>
          <w:lang w:eastAsia="en-GB"/>
        </w:rPr>
        <w:t xml:space="preserve"> naročito se ističe državni Univerzitet Crne Gore (UCG) sa svojih 19 fakulteta i 3 instituta. Značajnim  resursima raspolažu i tri privatna univerziteta (Univerzitet Donja Gorica, Univerzitet Mediteran i Univerzitet Adriatik). </w:t>
      </w:r>
    </w:p>
    <w:p w14:paraId="5CD8BEFC" w14:textId="180087E5" w:rsidR="005E0155" w:rsidRPr="002E6DA0" w:rsidRDefault="00CD0F43" w:rsidP="00264838">
      <w:pPr>
        <w:spacing w:after="120" w:line="240" w:lineRule="auto"/>
        <w:jc w:val="both"/>
        <w:rPr>
          <w:rFonts w:asciiTheme="minorHAnsi" w:hAnsiTheme="minorHAnsi"/>
          <w:b/>
          <w:sz w:val="18"/>
          <w:szCs w:val="18"/>
          <w:lang w:eastAsia="en-GB"/>
        </w:rPr>
      </w:pPr>
      <w:r w:rsidRPr="002E6DA0">
        <w:rPr>
          <w:rFonts w:asciiTheme="minorHAnsi" w:eastAsia="Times New Roman" w:hAnsiTheme="minorHAnsi"/>
          <w:noProof/>
          <w:lang w:eastAsia="en-GB"/>
        </w:rPr>
        <w:t xml:space="preserve">Na osnovu </w:t>
      </w:r>
      <w:r w:rsidRPr="002E6DA0">
        <w:rPr>
          <w:rFonts w:asciiTheme="minorHAnsi" w:eastAsia="Times New Roman" w:hAnsiTheme="minorHAnsi"/>
          <w:i/>
          <w:noProof/>
          <w:lang w:eastAsia="en-GB"/>
        </w:rPr>
        <w:t xml:space="preserve">Izvještaja </w:t>
      </w:r>
      <w:r w:rsidR="00754B9F" w:rsidRPr="002E6DA0">
        <w:rPr>
          <w:rFonts w:asciiTheme="minorHAnsi" w:eastAsia="Times New Roman" w:hAnsiTheme="minorHAnsi"/>
          <w:i/>
          <w:noProof/>
          <w:lang w:eastAsia="en-GB"/>
        </w:rPr>
        <w:t xml:space="preserve">o </w:t>
      </w:r>
      <w:r w:rsidRPr="002E6DA0">
        <w:rPr>
          <w:rFonts w:asciiTheme="minorHAnsi" w:eastAsia="Times New Roman" w:hAnsiTheme="minorHAnsi"/>
          <w:i/>
          <w:noProof/>
          <w:lang w:eastAsia="en-GB"/>
        </w:rPr>
        <w:t>globaln</w:t>
      </w:r>
      <w:r w:rsidR="00754B9F" w:rsidRPr="002E6DA0">
        <w:rPr>
          <w:rFonts w:asciiTheme="minorHAnsi" w:eastAsia="Times New Roman" w:hAnsiTheme="minorHAnsi"/>
          <w:i/>
          <w:noProof/>
          <w:lang w:eastAsia="en-GB"/>
        </w:rPr>
        <w:t>oj</w:t>
      </w:r>
      <w:r w:rsidRPr="002E6DA0">
        <w:rPr>
          <w:rFonts w:asciiTheme="minorHAnsi" w:eastAsia="Times New Roman" w:hAnsiTheme="minorHAnsi"/>
          <w:i/>
          <w:noProof/>
          <w:lang w:eastAsia="en-GB"/>
        </w:rPr>
        <w:t xml:space="preserve"> konkurentn</w:t>
      </w:r>
      <w:r w:rsidR="00CD28AD" w:rsidRPr="002E6DA0">
        <w:rPr>
          <w:rFonts w:asciiTheme="minorHAnsi" w:eastAsia="Times New Roman" w:hAnsiTheme="minorHAnsi"/>
          <w:i/>
          <w:noProof/>
          <w:lang w:eastAsia="en-GB"/>
        </w:rPr>
        <w:t>ost</w:t>
      </w:r>
      <w:r w:rsidR="00754B9F" w:rsidRPr="002E6DA0">
        <w:rPr>
          <w:rFonts w:asciiTheme="minorHAnsi" w:eastAsia="Times New Roman" w:hAnsiTheme="minorHAnsi"/>
          <w:i/>
          <w:noProof/>
          <w:lang w:eastAsia="en-GB"/>
        </w:rPr>
        <w:t>i</w:t>
      </w:r>
      <w:r w:rsidR="005E0155" w:rsidRPr="002E6DA0">
        <w:rPr>
          <w:rFonts w:asciiTheme="minorHAnsi" w:eastAsia="Times New Roman" w:hAnsiTheme="minorHAnsi"/>
          <w:i/>
          <w:noProof/>
          <w:lang w:eastAsia="en-GB"/>
        </w:rPr>
        <w:t xml:space="preserve"> </w:t>
      </w:r>
      <w:r w:rsidR="003079F3" w:rsidRPr="002E6DA0">
        <w:rPr>
          <w:rFonts w:asciiTheme="minorHAnsi" w:eastAsia="Times New Roman" w:hAnsiTheme="minorHAnsi"/>
          <w:i/>
          <w:noProof/>
          <w:lang w:eastAsia="en-GB"/>
        </w:rPr>
        <w:t xml:space="preserve">za </w:t>
      </w:r>
      <w:r w:rsidR="005E0155" w:rsidRPr="002E6DA0">
        <w:rPr>
          <w:rFonts w:asciiTheme="minorHAnsi" w:eastAsia="Times New Roman" w:hAnsiTheme="minorHAnsi"/>
          <w:i/>
          <w:noProof/>
          <w:lang w:eastAsia="en-GB"/>
        </w:rPr>
        <w:t>2018</w:t>
      </w:r>
      <w:r w:rsidR="00A52AB8">
        <w:rPr>
          <w:rFonts w:asciiTheme="minorHAnsi" w:eastAsia="Times New Roman" w:hAnsiTheme="minorHAnsi"/>
          <w:i/>
          <w:noProof/>
          <w:lang w:eastAsia="en-GB"/>
        </w:rPr>
        <w:t>. godinu</w:t>
      </w:r>
      <w:r w:rsidR="005E0155" w:rsidRPr="002E6DA0">
        <w:rPr>
          <w:rFonts w:asciiTheme="minorHAnsi" w:eastAsia="Times New Roman" w:hAnsiTheme="minorHAnsi"/>
          <w:noProof/>
          <w:lang w:eastAsia="en-GB"/>
        </w:rPr>
        <w:t>,</w:t>
      </w:r>
      <w:r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A52AB8">
        <w:rPr>
          <w:rFonts w:asciiTheme="minorHAnsi" w:eastAsia="Times New Roman" w:hAnsiTheme="minorHAnsi"/>
          <w:noProof/>
          <w:lang w:eastAsia="en-GB"/>
        </w:rPr>
        <w:t>Crna Gora se</w:t>
      </w:r>
      <w:r w:rsidR="00A52AB8"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3E2EE1">
        <w:rPr>
          <w:rFonts w:asciiTheme="minorHAnsi" w:eastAsia="Times New Roman" w:hAnsiTheme="minorHAnsi"/>
          <w:noProof/>
          <w:lang w:eastAsia="en-GB"/>
        </w:rPr>
        <w:t>po</w:t>
      </w:r>
      <w:r w:rsidR="003E2EE1" w:rsidRPr="002E6DA0">
        <w:rPr>
          <w:rFonts w:asciiTheme="minorHAnsi" w:eastAsia="Times New Roman" w:hAnsiTheme="minorHAnsi"/>
          <w:noProof/>
          <w:lang w:eastAsia="en-GB"/>
        </w:rPr>
        <w:t xml:space="preserve"> konkurentnost</w:t>
      </w:r>
      <w:r w:rsidR="003E2EE1">
        <w:rPr>
          <w:rFonts w:asciiTheme="minorHAnsi" w:eastAsia="Times New Roman" w:hAnsiTheme="minorHAnsi"/>
          <w:noProof/>
          <w:lang w:eastAsia="en-GB"/>
        </w:rPr>
        <w:t>i</w:t>
      </w:r>
      <w:r w:rsidR="003E2EE1" w:rsidRPr="002E6DA0">
        <w:rPr>
          <w:rFonts w:asciiTheme="minorHAnsi" w:eastAsia="Times New Roman" w:hAnsiTheme="minorHAnsi"/>
          <w:noProof/>
          <w:lang w:eastAsia="en-GB"/>
        </w:rPr>
        <w:t xml:space="preserve"> ekonomije</w:t>
      </w:r>
      <w:r w:rsidR="003E2EE1">
        <w:rPr>
          <w:rFonts w:asciiTheme="minorHAnsi" w:eastAsia="Times New Roman" w:hAnsiTheme="minorHAnsi"/>
          <w:noProof/>
          <w:lang w:eastAsia="en-GB"/>
        </w:rPr>
        <w:t xml:space="preserve"> </w:t>
      </w:r>
      <w:r w:rsidR="00A52AB8" w:rsidRPr="002E6DA0">
        <w:rPr>
          <w:rFonts w:asciiTheme="minorHAnsi" w:eastAsia="Times New Roman" w:hAnsiTheme="minorHAnsi"/>
          <w:noProof/>
          <w:lang w:eastAsia="en-GB"/>
        </w:rPr>
        <w:t>nalazi na 71 mjestu</w:t>
      </w:r>
      <w:r w:rsidR="00A52AB8">
        <w:rPr>
          <w:rFonts w:asciiTheme="minorHAnsi" w:eastAsia="Times New Roman" w:hAnsiTheme="minorHAnsi"/>
          <w:noProof/>
          <w:lang w:eastAsia="en-GB"/>
        </w:rPr>
        <w:t xml:space="preserve"> od ukupno 140 zemalja</w:t>
      </w:r>
      <w:r w:rsidR="00A52AB8" w:rsidRPr="002E6DA0">
        <w:rPr>
          <w:rFonts w:asciiTheme="minorHAnsi" w:eastAsia="Times New Roman" w:hAnsiTheme="minorHAnsi"/>
          <w:noProof/>
          <w:lang w:eastAsia="en-GB"/>
        </w:rPr>
        <w:t xml:space="preserve">.  </w:t>
      </w:r>
      <w:r w:rsidR="00A52AB8">
        <w:rPr>
          <w:rFonts w:asciiTheme="minorHAnsi" w:eastAsia="Times New Roman" w:hAnsiTheme="minorHAnsi"/>
          <w:noProof/>
          <w:lang w:eastAsia="en-GB"/>
        </w:rPr>
        <w:t xml:space="preserve">U </w:t>
      </w:r>
      <w:r w:rsidR="00007936" w:rsidRPr="002E6DA0">
        <w:rPr>
          <w:rFonts w:asciiTheme="minorHAnsi" w:eastAsia="Times New Roman" w:hAnsiTheme="minorHAnsi"/>
          <w:noProof/>
          <w:lang w:eastAsia="en-GB"/>
        </w:rPr>
        <w:t xml:space="preserve">okviru stuba </w:t>
      </w:r>
      <w:r w:rsidR="002E6DA0" w:rsidRPr="002E6DA0">
        <w:rPr>
          <w:rFonts w:asciiTheme="minorHAnsi" w:eastAsia="Times New Roman" w:hAnsiTheme="minorHAnsi"/>
          <w:noProof/>
          <w:lang w:eastAsia="en-GB"/>
        </w:rPr>
        <w:t>Inovacioni</w:t>
      </w:r>
      <w:r w:rsidR="003079F3" w:rsidRPr="002E6DA0">
        <w:rPr>
          <w:rFonts w:asciiTheme="minorHAnsi" w:eastAsia="Times New Roman" w:hAnsiTheme="minorHAnsi"/>
          <w:noProof/>
          <w:lang w:eastAsia="en-GB"/>
        </w:rPr>
        <w:t xml:space="preserve"> k</w:t>
      </w:r>
      <w:r w:rsidR="002E6DA0" w:rsidRPr="002E6DA0">
        <w:rPr>
          <w:rFonts w:asciiTheme="minorHAnsi" w:eastAsia="Times New Roman" w:hAnsiTheme="minorHAnsi"/>
          <w:noProof/>
          <w:lang w:eastAsia="en-GB"/>
        </w:rPr>
        <w:t>apaciteti</w:t>
      </w:r>
      <w:r w:rsidR="003079F3"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A52AB8">
        <w:rPr>
          <w:rFonts w:asciiTheme="minorHAnsi" w:eastAsia="Times New Roman" w:hAnsiTheme="minorHAnsi"/>
          <w:noProof/>
          <w:lang w:eastAsia="en-GB"/>
        </w:rPr>
        <w:t xml:space="preserve">Crna Gora se </w:t>
      </w:r>
      <w:r w:rsidR="005C20C8" w:rsidRPr="002E6DA0">
        <w:rPr>
          <w:rFonts w:asciiTheme="minorHAnsi" w:eastAsia="Times New Roman" w:hAnsiTheme="minorHAnsi"/>
          <w:noProof/>
          <w:lang w:eastAsia="en-GB"/>
        </w:rPr>
        <w:t>pozicionira</w:t>
      </w:r>
      <w:r w:rsidR="002E6DA0" w:rsidRPr="002E6DA0">
        <w:rPr>
          <w:rFonts w:asciiTheme="minorHAnsi" w:eastAsia="Times New Roman" w:hAnsiTheme="minorHAnsi"/>
          <w:noProof/>
          <w:lang w:eastAsia="en-GB"/>
        </w:rPr>
        <w:t>la</w:t>
      </w:r>
      <w:r w:rsidR="005C20C8" w:rsidRPr="002E6DA0">
        <w:rPr>
          <w:rFonts w:asciiTheme="minorHAnsi" w:eastAsia="Times New Roman" w:hAnsiTheme="minorHAnsi"/>
          <w:noProof/>
          <w:lang w:eastAsia="en-GB"/>
        </w:rPr>
        <w:t xml:space="preserve"> na</w:t>
      </w:r>
      <w:r w:rsidR="005E0155"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3079F3" w:rsidRPr="002E6DA0">
        <w:rPr>
          <w:rFonts w:asciiTheme="minorHAnsi" w:eastAsia="Times New Roman" w:hAnsiTheme="minorHAnsi"/>
          <w:noProof/>
          <w:lang w:eastAsia="en-GB"/>
        </w:rPr>
        <w:t>74</w:t>
      </w:r>
      <w:r w:rsidR="005E0155" w:rsidRPr="002E6DA0">
        <w:rPr>
          <w:rFonts w:asciiTheme="minorHAnsi" w:eastAsia="Times New Roman" w:hAnsiTheme="minorHAnsi"/>
          <w:noProof/>
          <w:lang w:eastAsia="en-GB"/>
        </w:rPr>
        <w:t xml:space="preserve">. </w:t>
      </w:r>
      <w:r w:rsidR="00A52AB8">
        <w:rPr>
          <w:rFonts w:asciiTheme="minorHAnsi" w:eastAsia="Times New Roman" w:hAnsiTheme="minorHAnsi"/>
          <w:noProof/>
          <w:lang w:eastAsia="en-GB"/>
        </w:rPr>
        <w:t>m</w:t>
      </w:r>
      <w:r w:rsidR="003079F3" w:rsidRPr="002E6DA0">
        <w:rPr>
          <w:rFonts w:asciiTheme="minorHAnsi" w:eastAsia="Times New Roman" w:hAnsiTheme="minorHAnsi"/>
          <w:noProof/>
          <w:lang w:eastAsia="en-GB"/>
        </w:rPr>
        <w:t>jestu</w:t>
      </w:r>
      <w:r w:rsidR="00863B86">
        <w:rPr>
          <w:rFonts w:asciiTheme="minorHAnsi" w:eastAsia="Times New Roman" w:hAnsiTheme="minorHAnsi"/>
          <w:noProof/>
          <w:lang w:eastAsia="en-GB"/>
        </w:rPr>
        <w:t>.</w:t>
      </w:r>
      <w:r w:rsidR="00A52AB8">
        <w:rPr>
          <w:rFonts w:asciiTheme="minorHAnsi" w:eastAsia="Times New Roman" w:hAnsiTheme="minorHAnsi"/>
          <w:noProof/>
          <w:lang w:eastAsia="en-GB"/>
        </w:rPr>
        <w:t xml:space="preserve"> </w:t>
      </w:r>
      <w:r w:rsidR="00863B86">
        <w:rPr>
          <w:rFonts w:asciiTheme="minorHAnsi" w:eastAsia="Times New Roman" w:hAnsiTheme="minorHAnsi"/>
          <w:noProof/>
          <w:lang w:eastAsia="en-GB"/>
        </w:rPr>
        <w:t>U okviru ovog stuba</w:t>
      </w:r>
      <w:r w:rsidR="007A5D75">
        <w:rPr>
          <w:rFonts w:asciiTheme="minorHAnsi" w:eastAsia="Times New Roman" w:hAnsiTheme="minorHAnsi"/>
          <w:noProof/>
          <w:lang w:eastAsia="en-GB"/>
        </w:rPr>
        <w:t>,</w:t>
      </w:r>
      <w:r w:rsidR="005E0155"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Pr="002E6DA0">
        <w:rPr>
          <w:rFonts w:asciiTheme="minorHAnsi" w:eastAsia="Times New Roman" w:hAnsiTheme="minorHAnsi"/>
          <w:noProof/>
          <w:lang w:eastAsia="en-GB"/>
        </w:rPr>
        <w:t xml:space="preserve">istraživačke institucije </w:t>
      </w:r>
      <w:r w:rsidR="00863B86">
        <w:rPr>
          <w:rFonts w:asciiTheme="minorHAnsi" w:eastAsia="Times New Roman" w:hAnsiTheme="minorHAnsi"/>
          <w:noProof/>
          <w:lang w:eastAsia="en-GB"/>
        </w:rPr>
        <w:t xml:space="preserve">se </w:t>
      </w:r>
      <w:r w:rsidR="005E0155" w:rsidRPr="002E6DA0">
        <w:rPr>
          <w:rFonts w:asciiTheme="minorHAnsi" w:eastAsia="Times New Roman" w:hAnsiTheme="minorHAnsi"/>
          <w:noProof/>
          <w:lang w:eastAsia="en-GB"/>
        </w:rPr>
        <w:t xml:space="preserve">po kvalitetu </w:t>
      </w:r>
      <w:r w:rsidRPr="002E6DA0">
        <w:rPr>
          <w:rFonts w:asciiTheme="minorHAnsi" w:eastAsia="Times New Roman" w:hAnsiTheme="minorHAnsi"/>
          <w:noProof/>
          <w:lang w:eastAsia="en-GB"/>
        </w:rPr>
        <w:t xml:space="preserve">nalaze na 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>94</w:t>
      </w:r>
      <w:r w:rsidR="00D11030" w:rsidRPr="002E6DA0">
        <w:rPr>
          <w:rFonts w:asciiTheme="minorHAnsi" w:eastAsia="Times New Roman" w:hAnsiTheme="minorHAnsi"/>
          <w:noProof/>
          <w:lang w:eastAsia="en-GB"/>
        </w:rPr>
        <w:t>.</w:t>
      </w:r>
      <w:r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>m</w:t>
      </w:r>
      <w:r w:rsidRPr="002E6DA0">
        <w:rPr>
          <w:rFonts w:asciiTheme="minorHAnsi" w:eastAsia="Times New Roman" w:hAnsiTheme="minorHAnsi"/>
          <w:noProof/>
          <w:lang w:eastAsia="en-GB"/>
        </w:rPr>
        <w:t>jestu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>,</w:t>
      </w:r>
      <w:r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>međuinstitucionaln</w:t>
      </w:r>
      <w:r w:rsidR="00863B86">
        <w:rPr>
          <w:rFonts w:asciiTheme="minorHAnsi" w:eastAsia="Times New Roman" w:hAnsiTheme="minorHAnsi"/>
          <w:noProof/>
          <w:lang w:eastAsia="en-GB"/>
        </w:rPr>
        <w:t>a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 xml:space="preserve"> saradnj</w:t>
      </w:r>
      <w:r w:rsidR="00863B86">
        <w:rPr>
          <w:rFonts w:asciiTheme="minorHAnsi" w:eastAsia="Times New Roman" w:hAnsiTheme="minorHAnsi"/>
          <w:noProof/>
          <w:lang w:eastAsia="en-GB"/>
        </w:rPr>
        <w:t>a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Pr="002E6DA0">
        <w:rPr>
          <w:rFonts w:asciiTheme="minorHAnsi" w:eastAsia="Times New Roman" w:hAnsiTheme="minorHAnsi"/>
          <w:noProof/>
          <w:lang w:eastAsia="en-GB"/>
        </w:rPr>
        <w:t xml:space="preserve">na 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>59</w:t>
      </w:r>
      <w:r w:rsidR="00D11030" w:rsidRPr="002E6DA0">
        <w:rPr>
          <w:rFonts w:asciiTheme="minorHAnsi" w:eastAsia="Times New Roman" w:hAnsiTheme="minorHAnsi"/>
          <w:noProof/>
          <w:lang w:eastAsia="en-GB"/>
        </w:rPr>
        <w:t>.</w:t>
      </w:r>
      <w:r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A52AB8">
        <w:rPr>
          <w:rFonts w:asciiTheme="minorHAnsi" w:eastAsia="Times New Roman" w:hAnsiTheme="minorHAnsi"/>
          <w:noProof/>
          <w:lang w:eastAsia="en-GB"/>
        </w:rPr>
        <w:t>m</w:t>
      </w:r>
      <w:r w:rsidRPr="002E6DA0">
        <w:rPr>
          <w:rFonts w:asciiTheme="minorHAnsi" w:eastAsia="Times New Roman" w:hAnsiTheme="minorHAnsi"/>
          <w:noProof/>
          <w:lang w:eastAsia="en-GB"/>
        </w:rPr>
        <w:t>jestu</w:t>
      </w:r>
      <w:r w:rsidR="002E6DA0">
        <w:rPr>
          <w:rFonts w:asciiTheme="minorHAnsi" w:eastAsia="Times New Roman" w:hAnsiTheme="minorHAnsi"/>
          <w:noProof/>
          <w:lang w:eastAsia="en-GB"/>
        </w:rPr>
        <w:t xml:space="preserve">, 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 xml:space="preserve">dok se po </w:t>
      </w:r>
      <w:r w:rsidR="002E6DA0" w:rsidRPr="002E6DA0">
        <w:rPr>
          <w:rFonts w:asciiTheme="minorHAnsi" w:eastAsia="Times New Roman" w:hAnsiTheme="minorHAnsi"/>
          <w:noProof/>
          <w:lang w:eastAsia="en-GB"/>
        </w:rPr>
        <w:t>ulaganjima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2E6DA0" w:rsidRPr="002E6DA0">
        <w:rPr>
          <w:rFonts w:asciiTheme="minorHAnsi" w:eastAsia="Times New Roman" w:hAnsiTheme="minorHAnsi"/>
          <w:noProof/>
          <w:lang w:eastAsia="en-GB"/>
        </w:rPr>
        <w:t>u</w:t>
      </w:r>
      <w:r w:rsidR="00CD28AD" w:rsidRPr="002E6DA0">
        <w:rPr>
          <w:rFonts w:asciiTheme="minorHAnsi" w:eastAsia="Times New Roman" w:hAnsiTheme="minorHAnsi"/>
          <w:noProof/>
          <w:lang w:eastAsia="en-GB"/>
        </w:rPr>
        <w:t xml:space="preserve"> 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>istraživanj</w:t>
      </w:r>
      <w:r w:rsidR="002E6DA0" w:rsidRPr="002E6DA0">
        <w:rPr>
          <w:rFonts w:asciiTheme="minorHAnsi" w:eastAsia="Times New Roman" w:hAnsiTheme="minorHAnsi"/>
          <w:noProof/>
          <w:lang w:eastAsia="en-GB"/>
        </w:rPr>
        <w:t>e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 xml:space="preserve"> i razvoj </w:t>
      </w:r>
      <w:r w:rsidR="00863B86">
        <w:rPr>
          <w:rFonts w:asciiTheme="minorHAnsi" w:eastAsia="Times New Roman" w:hAnsiTheme="minorHAnsi"/>
          <w:noProof/>
          <w:lang w:eastAsia="en-GB"/>
        </w:rPr>
        <w:t xml:space="preserve">Crna Gora </w:t>
      </w:r>
      <w:r w:rsidR="00F062C0" w:rsidRPr="002E6DA0">
        <w:rPr>
          <w:rFonts w:asciiTheme="minorHAnsi" w:eastAsia="Times New Roman" w:hAnsiTheme="minorHAnsi"/>
          <w:noProof/>
          <w:lang w:eastAsia="en-GB"/>
        </w:rPr>
        <w:t>nalazi na 74 mjestu.</w:t>
      </w:r>
      <w:r w:rsidR="00A52AB8">
        <w:rPr>
          <w:rFonts w:asciiTheme="minorHAnsi" w:eastAsia="Times New Roman" w:hAnsiTheme="minorHAnsi"/>
          <w:noProof/>
          <w:lang w:eastAsia="en-GB"/>
        </w:rPr>
        <w:t xml:space="preserve"> </w:t>
      </w:r>
    </w:p>
    <w:p w14:paraId="660D87BA" w14:textId="12A4F1B1" w:rsidR="00CD0F43" w:rsidRPr="00593418" w:rsidRDefault="00CD28AD" w:rsidP="00403D8B">
      <w:pPr>
        <w:spacing w:after="120" w:line="240" w:lineRule="auto"/>
        <w:ind w:left="4320" w:firstLine="720"/>
        <w:rPr>
          <w:rFonts w:asciiTheme="minorHAnsi" w:eastAsia="Times New Roman" w:hAnsiTheme="minorHAnsi"/>
          <w:noProof/>
          <w:lang w:eastAsia="en-GB"/>
        </w:rPr>
      </w:pPr>
      <w:r w:rsidRPr="00593418">
        <w:rPr>
          <w:rFonts w:asciiTheme="minorHAnsi" w:hAnsiTheme="minorHAnsi"/>
          <w:b/>
          <w:sz w:val="18"/>
          <w:szCs w:val="18"/>
          <w:lang w:eastAsia="en-GB"/>
        </w:rPr>
        <w:t xml:space="preserve">Slika </w:t>
      </w:r>
      <w:r w:rsidR="00CA63E0">
        <w:rPr>
          <w:rFonts w:asciiTheme="minorHAnsi" w:hAnsiTheme="minorHAnsi"/>
          <w:b/>
          <w:sz w:val="18"/>
          <w:szCs w:val="18"/>
          <w:lang w:eastAsia="en-GB"/>
        </w:rPr>
        <w:t>7.</w:t>
      </w:r>
      <w:r w:rsidR="00E42A59">
        <w:rPr>
          <w:rFonts w:asciiTheme="minorHAnsi" w:hAnsiTheme="minorHAnsi"/>
          <w:b/>
          <w:sz w:val="18"/>
          <w:szCs w:val="18"/>
          <w:lang w:eastAsia="en-GB"/>
        </w:rPr>
        <w:t xml:space="preserve"> </w:t>
      </w:r>
      <w:r w:rsidR="00264838" w:rsidRPr="00593418">
        <w:rPr>
          <w:rFonts w:asciiTheme="minorHAnsi" w:hAnsiTheme="minorHAnsi"/>
          <w:b/>
          <w:sz w:val="18"/>
          <w:szCs w:val="18"/>
          <w:lang w:eastAsia="en-GB"/>
        </w:rPr>
        <w:t>Broj naučnih publikacija</w:t>
      </w:r>
    </w:p>
    <w:tbl>
      <w:tblPr>
        <w:tblStyle w:val="TableGrid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16"/>
      </w:tblGrid>
      <w:tr w:rsidR="00CD0F43" w:rsidRPr="00593418" w14:paraId="3F2E64B4" w14:textId="77777777" w:rsidTr="00CD0F43">
        <w:trPr>
          <w:trHeight w:val="306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01CCFBA" w14:textId="3B76ABD5" w:rsidR="00CD0F43" w:rsidRPr="00593418" w:rsidRDefault="00CD0F43" w:rsidP="00403D8B">
            <w:pPr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593418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Broj naučnih publikacija (2006-2014)</w:t>
            </w:r>
          </w:p>
          <w:p w14:paraId="5C59E54A" w14:textId="77777777" w:rsidR="00CD0F43" w:rsidRPr="00593418" w:rsidRDefault="00CD0F43" w:rsidP="00CD0F43">
            <w:pPr>
              <w:rPr>
                <w:rFonts w:asciiTheme="minorHAnsi" w:hAnsiTheme="minorHAnsi"/>
                <w:b/>
                <w:noProof/>
              </w:rPr>
            </w:pPr>
            <w:r w:rsidRPr="00593418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6CA2EA3A" wp14:editId="41009D52">
                  <wp:extent cx="2981325" cy="1461135"/>
                  <wp:effectExtent l="0" t="0" r="0" b="0"/>
                  <wp:docPr id="30" name="Chart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4FC1CE-93D9-4EC0-BF4B-34A43F346D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  <w:p w14:paraId="7FBE3619" w14:textId="77777777" w:rsidR="00CD0F43" w:rsidRPr="00403D8B" w:rsidRDefault="00CD0F43" w:rsidP="00403D8B">
            <w:pPr>
              <w:jc w:val="cent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403D8B"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  <w:t>Izvor podataka: Naučna mreža (</w:t>
            </w:r>
            <w:r w:rsidRPr="00403D8B">
              <w:rPr>
                <w:rFonts w:asciiTheme="minorHAnsi" w:eastAsia="Times New Roman" w:hAnsiTheme="minorHAnsi" w:cs="Times New Roman"/>
                <w:i/>
                <w:noProof/>
                <w:sz w:val="18"/>
                <w:szCs w:val="18"/>
                <w:lang w:eastAsia="en-GB"/>
              </w:rPr>
              <w:t>Web of Science</w:t>
            </w:r>
            <w:r w:rsidRPr="00403D8B">
              <w:rPr>
                <w:rFonts w:asciiTheme="minorHAnsi" w:eastAsia="Times New Roman" w:hAnsiTheme="minorHAnsi" w:cs="Times New Roman"/>
                <w:noProof/>
                <w:sz w:val="18"/>
                <w:szCs w:val="18"/>
                <w:lang w:eastAsia="en-GB"/>
              </w:rPr>
              <w:t>).</w:t>
            </w:r>
          </w:p>
        </w:tc>
      </w:tr>
    </w:tbl>
    <w:p w14:paraId="71DA1E89" w14:textId="40E45C23" w:rsidR="00CD0F43" w:rsidRPr="00593418" w:rsidRDefault="00CD0F43" w:rsidP="00CD0F43">
      <w:pPr>
        <w:jc w:val="both"/>
        <w:rPr>
          <w:rFonts w:asciiTheme="minorHAnsi" w:hAnsiTheme="minorHAnsi"/>
          <w:lang w:eastAsia="en-GB"/>
        </w:rPr>
      </w:pPr>
      <w:r w:rsidRPr="00593418">
        <w:rPr>
          <w:rFonts w:asciiTheme="minorHAnsi" w:hAnsiTheme="minorHAnsi"/>
          <w:lang w:eastAsia="en-GB"/>
        </w:rPr>
        <w:t xml:space="preserve">Kada je u pitanju analiza naučnog potencijala, podaci o naučnim publikacijama korišćeni su iz dva međunarodna izvora podataka: </w:t>
      </w:r>
      <w:r w:rsidRPr="00923467">
        <w:rPr>
          <w:rFonts w:asciiTheme="minorHAnsi" w:hAnsiTheme="minorHAnsi"/>
          <w:i/>
          <w:lang w:eastAsia="en-GB"/>
        </w:rPr>
        <w:t>Web of Science</w:t>
      </w:r>
      <w:r w:rsidRPr="00593418">
        <w:rPr>
          <w:rFonts w:asciiTheme="minorHAnsi" w:hAnsiTheme="minorHAnsi"/>
          <w:lang w:eastAsia="en-GB"/>
        </w:rPr>
        <w:t xml:space="preserve"> i </w:t>
      </w:r>
      <w:r w:rsidRPr="00923467">
        <w:rPr>
          <w:rFonts w:asciiTheme="minorHAnsi" w:hAnsiTheme="minorHAnsi"/>
          <w:i/>
          <w:lang w:eastAsia="en-GB"/>
        </w:rPr>
        <w:t>Scimago</w:t>
      </w:r>
      <w:r w:rsidRPr="00593418">
        <w:rPr>
          <w:rFonts w:asciiTheme="minorHAnsi" w:hAnsiTheme="minorHAnsi"/>
          <w:lang w:eastAsia="en-GB"/>
        </w:rPr>
        <w:t>.</w:t>
      </w:r>
    </w:p>
    <w:p w14:paraId="57D2631B" w14:textId="185A1CE8" w:rsidR="00CD0F43" w:rsidRPr="00593418" w:rsidRDefault="00CD0F43" w:rsidP="00264838">
      <w:pPr>
        <w:spacing w:after="120" w:line="240" w:lineRule="auto"/>
        <w:jc w:val="both"/>
        <w:rPr>
          <w:rFonts w:asciiTheme="minorHAnsi" w:hAnsiTheme="minorHAnsi"/>
          <w:sz w:val="18"/>
          <w:szCs w:val="18"/>
          <w:lang w:eastAsia="en-GB"/>
        </w:rPr>
      </w:pPr>
      <w:r w:rsidRPr="00593418">
        <w:rPr>
          <w:rFonts w:asciiTheme="minorHAnsi" w:hAnsiTheme="minorHAnsi"/>
          <w:lang w:eastAsia="en-GB"/>
        </w:rPr>
        <w:t xml:space="preserve">Podaci </w:t>
      </w:r>
      <w:r w:rsidRPr="00923467">
        <w:rPr>
          <w:rFonts w:asciiTheme="minorHAnsi" w:hAnsiTheme="minorHAnsi"/>
          <w:i/>
          <w:lang w:eastAsia="en-GB"/>
        </w:rPr>
        <w:t>Web of Science</w:t>
      </w:r>
      <w:r w:rsidRPr="00593418">
        <w:rPr>
          <w:rFonts w:asciiTheme="minorHAnsi" w:hAnsiTheme="minorHAnsi"/>
          <w:lang w:eastAsia="en-GB"/>
        </w:rPr>
        <w:t xml:space="preserve"> ukazuju na to da je u periodu od 2006. do 2014. broj naučnih publikacija ubrzano rastao, stopom od više od 20% godišnje (Slika </w:t>
      </w:r>
      <w:r w:rsidR="00CA63E0">
        <w:rPr>
          <w:rFonts w:asciiTheme="minorHAnsi" w:hAnsiTheme="minorHAnsi"/>
          <w:lang w:eastAsia="en-GB"/>
        </w:rPr>
        <w:t>7</w:t>
      </w:r>
      <w:r w:rsidR="00E42A59">
        <w:rPr>
          <w:rFonts w:asciiTheme="minorHAnsi" w:hAnsiTheme="minorHAnsi"/>
          <w:lang w:eastAsia="en-GB"/>
        </w:rPr>
        <w:t>.</w:t>
      </w:r>
      <w:r w:rsidRPr="00593418">
        <w:rPr>
          <w:rFonts w:asciiTheme="minorHAnsi" w:hAnsiTheme="minorHAnsi"/>
          <w:lang w:eastAsia="en-GB"/>
        </w:rPr>
        <w:t xml:space="preserve">). Većina publikacija je u </w:t>
      </w:r>
      <w:r w:rsidR="002E6DA0">
        <w:rPr>
          <w:rFonts w:asciiTheme="minorHAnsi" w:hAnsiTheme="minorHAnsi"/>
          <w:lang w:eastAsia="en-GB"/>
        </w:rPr>
        <w:t>oblastima</w:t>
      </w:r>
      <w:r w:rsidRPr="00593418">
        <w:rPr>
          <w:rFonts w:asciiTheme="minorHAnsi" w:hAnsiTheme="minorHAnsi"/>
          <w:lang w:eastAsia="en-GB"/>
        </w:rPr>
        <w:t xml:space="preserve"> bioloških nauka, inženjerstva, geonauke, matematike, medicinskih nauka i fizike. </w:t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</w:r>
      <w:r w:rsidRPr="00593418">
        <w:rPr>
          <w:rFonts w:asciiTheme="minorHAnsi" w:hAnsiTheme="minorHAnsi"/>
          <w:lang w:eastAsia="en-GB"/>
        </w:rPr>
        <w:tab/>
        <w:t xml:space="preserve">                                                                                                  </w:t>
      </w:r>
      <w:r w:rsidR="00CD28AD" w:rsidRPr="00593418">
        <w:rPr>
          <w:rFonts w:asciiTheme="minorHAnsi" w:hAnsiTheme="minorHAnsi"/>
          <w:lang w:eastAsia="en-GB"/>
        </w:rPr>
        <w:t xml:space="preserve">                      </w:t>
      </w:r>
    </w:p>
    <w:p w14:paraId="3D30EE08" w14:textId="77777777" w:rsidR="00CD0F43" w:rsidRPr="00593418" w:rsidRDefault="00CD0F43" w:rsidP="00264838">
      <w:pPr>
        <w:spacing w:after="120" w:line="240" w:lineRule="auto"/>
        <w:jc w:val="both"/>
        <w:rPr>
          <w:rFonts w:asciiTheme="minorHAnsi" w:hAnsiTheme="minorHAnsi"/>
          <w:lang w:eastAsia="en-GB"/>
        </w:rPr>
      </w:pPr>
      <w:r w:rsidRPr="00593418">
        <w:rPr>
          <w:rFonts w:asciiTheme="minorHAnsi" w:hAnsiTheme="minorHAnsi"/>
          <w:lang w:eastAsia="en-GB"/>
        </w:rPr>
        <w:t xml:space="preserve">Kvalitet naučnog učinka, mjeren udjelom zemlje u prvih 1% ili prvih 10% najviše citiranih publikacija širom svijeta, je ispod prosjeka, dok je u medicini i fizici udio crnogorskih publikacija iznad svjetskog prosjeka. </w:t>
      </w:r>
    </w:p>
    <w:p w14:paraId="19287FFA" w14:textId="093042DC" w:rsidR="00CD0F43" w:rsidRDefault="00CD0F43" w:rsidP="00264838">
      <w:pPr>
        <w:spacing w:after="120" w:line="240" w:lineRule="auto"/>
        <w:jc w:val="both"/>
        <w:rPr>
          <w:rFonts w:asciiTheme="minorHAnsi" w:hAnsiTheme="minorHAnsi"/>
          <w:lang w:eastAsia="en-GB"/>
        </w:rPr>
      </w:pPr>
      <w:r w:rsidRPr="00923467">
        <w:rPr>
          <w:rFonts w:asciiTheme="minorHAnsi" w:hAnsiTheme="minorHAnsi"/>
          <w:i/>
          <w:lang w:eastAsia="en-GB"/>
        </w:rPr>
        <w:lastRenderedPageBreak/>
        <w:t>Scimago</w:t>
      </w:r>
      <w:r w:rsidRPr="00593418">
        <w:rPr>
          <w:rFonts w:asciiTheme="minorHAnsi" w:hAnsiTheme="minorHAnsi"/>
          <w:lang w:eastAsia="en-GB"/>
        </w:rPr>
        <w:t xml:space="preserve"> podaci takođe ukazuju na to da je Crna Gora, u odnosu na druge zemlje, specijalizovana za poljoprivredne i biološke nauke, umjetnosti i humanističke nauke, kompjuterske nauke, ekonomiju, ekonometriju i finansije, energetiku, inženjerstvo, matematiku i društvene nauke (</w:t>
      </w:r>
      <w:r w:rsidR="00264838" w:rsidRPr="00593418">
        <w:rPr>
          <w:rFonts w:asciiTheme="minorHAnsi" w:hAnsiTheme="minorHAnsi"/>
          <w:lang w:eastAsia="en-GB"/>
        </w:rPr>
        <w:t>Tabela 2</w:t>
      </w:r>
      <w:r w:rsidRPr="00593418">
        <w:rPr>
          <w:rFonts w:asciiTheme="minorHAnsi" w:hAnsiTheme="minorHAnsi"/>
          <w:lang w:eastAsia="en-GB"/>
        </w:rPr>
        <w:t>).</w:t>
      </w:r>
    </w:p>
    <w:p w14:paraId="1B81ABB2" w14:textId="77777777" w:rsidR="005057E7" w:rsidRPr="00593418" w:rsidRDefault="005057E7" w:rsidP="00264838">
      <w:pPr>
        <w:spacing w:after="120" w:line="240" w:lineRule="auto"/>
        <w:jc w:val="both"/>
        <w:rPr>
          <w:rFonts w:asciiTheme="minorHAnsi" w:hAnsiTheme="minorHAnsi"/>
          <w:lang w:eastAsia="en-GB"/>
        </w:rPr>
      </w:pPr>
    </w:p>
    <w:p w14:paraId="41C24FD8" w14:textId="69550DC0" w:rsidR="00CD0F43" w:rsidRPr="005057E7" w:rsidRDefault="00264838" w:rsidP="00CD0F43">
      <w:pPr>
        <w:jc w:val="center"/>
        <w:rPr>
          <w:rFonts w:asciiTheme="minorHAnsi" w:eastAsia="Times New Roman" w:hAnsiTheme="minorHAnsi" w:cs="Times New Roman"/>
          <w:b/>
          <w:noProof/>
          <w:sz w:val="20"/>
          <w:szCs w:val="20"/>
          <w:lang w:eastAsia="en-GB"/>
        </w:rPr>
      </w:pPr>
      <w:bookmarkStart w:id="23" w:name="_Ref503251568"/>
      <w:r w:rsidRPr="005057E7">
        <w:rPr>
          <w:rFonts w:asciiTheme="minorHAnsi" w:hAnsiTheme="minorHAnsi" w:cstheme="minorHAnsi"/>
          <w:b/>
          <w:noProof/>
          <w:sz w:val="20"/>
          <w:szCs w:val="20"/>
        </w:rPr>
        <w:t>Tabela 2</w:t>
      </w:r>
      <w:r w:rsidR="00CD0F43" w:rsidRPr="005057E7">
        <w:rPr>
          <w:rFonts w:asciiTheme="minorHAnsi" w:hAnsiTheme="minorHAnsi" w:cstheme="minorHAnsi"/>
          <w:b/>
          <w:noProof/>
          <w:sz w:val="20"/>
          <w:szCs w:val="20"/>
        </w:rPr>
        <w:t>. Naučne specijalizacije</w:t>
      </w:r>
      <w:bookmarkEnd w:id="2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657"/>
        <w:gridCol w:w="3657"/>
      </w:tblGrid>
      <w:tr w:rsidR="00CD0F43" w:rsidRPr="00593418" w14:paraId="4DEB984A" w14:textId="77777777" w:rsidTr="008808D0">
        <w:trPr>
          <w:jc w:val="center"/>
        </w:trPr>
        <w:tc>
          <w:tcPr>
            <w:tcW w:w="944" w:type="pct"/>
            <w:shd w:val="clear" w:color="auto" w:fill="DBE5F1" w:themeFill="accent1" w:themeFillTint="33"/>
          </w:tcPr>
          <w:p w14:paraId="567DE9E2" w14:textId="77777777" w:rsidR="00CD0F43" w:rsidRPr="00593418" w:rsidRDefault="00CD0F43" w:rsidP="00CD0F43">
            <w:pPr>
              <w:spacing w:before="20" w:after="20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28" w:type="pct"/>
            <w:shd w:val="clear" w:color="auto" w:fill="DBE5F1" w:themeFill="accent1" w:themeFillTint="33"/>
          </w:tcPr>
          <w:p w14:paraId="378269D4" w14:textId="708AC118" w:rsidR="00CD0F43" w:rsidRPr="00593418" w:rsidRDefault="00CD0F43" w:rsidP="00CD0F43">
            <w:pPr>
              <w:spacing w:before="20" w:after="20"/>
              <w:rPr>
                <w:rFonts w:asciiTheme="minorHAnsi" w:eastAsia="Times New Roman" w:hAnsiTheme="minorHAnsi" w:cs="Times New Roman"/>
                <w:b/>
                <w:noProof/>
                <w:sz w:val="20"/>
                <w:szCs w:val="20"/>
                <w:lang w:eastAsia="en-GB"/>
              </w:rPr>
            </w:pPr>
            <w:r w:rsidRPr="00593418">
              <w:rPr>
                <w:rFonts w:asciiTheme="minorHAnsi" w:eastAsia="Times New Roman" w:hAnsiTheme="minorHAnsi" w:cs="Times New Roman"/>
                <w:b/>
                <w:noProof/>
                <w:sz w:val="20"/>
                <w:szCs w:val="20"/>
                <w:lang w:eastAsia="en-GB"/>
              </w:rPr>
              <w:t>2006-2016</w:t>
            </w:r>
            <w:r w:rsidR="00D11030" w:rsidRPr="00593418">
              <w:rPr>
                <w:rFonts w:asciiTheme="minorHAnsi" w:eastAsia="Times New Roman" w:hAnsiTheme="minorHAnsi" w:cs="Times New Roman"/>
                <w:b/>
                <w:noProof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028" w:type="pct"/>
            <w:shd w:val="clear" w:color="auto" w:fill="DBE5F1" w:themeFill="accent1" w:themeFillTint="33"/>
          </w:tcPr>
          <w:p w14:paraId="2122C4FB" w14:textId="29095E95" w:rsidR="00CD0F43" w:rsidRPr="00593418" w:rsidRDefault="00CD0F43" w:rsidP="00CD0F43">
            <w:pPr>
              <w:spacing w:before="20" w:after="20"/>
              <w:rPr>
                <w:rFonts w:asciiTheme="minorHAnsi" w:eastAsia="Times New Roman" w:hAnsiTheme="minorHAnsi" w:cs="Times New Roman"/>
                <w:b/>
                <w:noProof/>
                <w:sz w:val="20"/>
                <w:szCs w:val="20"/>
                <w:lang w:eastAsia="en-GB"/>
              </w:rPr>
            </w:pPr>
            <w:r w:rsidRPr="00593418">
              <w:rPr>
                <w:rFonts w:asciiTheme="minorHAnsi" w:eastAsia="Times New Roman" w:hAnsiTheme="minorHAnsi" w:cs="Times New Roman"/>
                <w:b/>
                <w:noProof/>
                <w:sz w:val="20"/>
                <w:szCs w:val="20"/>
                <w:lang w:eastAsia="en-GB"/>
              </w:rPr>
              <w:t>2011-2016</w:t>
            </w:r>
            <w:r w:rsidR="00D11030" w:rsidRPr="00593418">
              <w:rPr>
                <w:rFonts w:asciiTheme="minorHAnsi" w:eastAsia="Times New Roman" w:hAnsiTheme="minorHAnsi" w:cs="Times New Roman"/>
                <w:b/>
                <w:noProof/>
                <w:sz w:val="20"/>
                <w:szCs w:val="20"/>
                <w:lang w:eastAsia="en-GB"/>
              </w:rPr>
              <w:t>.</w:t>
            </w:r>
          </w:p>
        </w:tc>
      </w:tr>
      <w:tr w:rsidR="00CD0F43" w:rsidRPr="00593418" w14:paraId="29216A97" w14:textId="77777777" w:rsidTr="008808D0">
        <w:trPr>
          <w:jc w:val="center"/>
        </w:trPr>
        <w:tc>
          <w:tcPr>
            <w:tcW w:w="944" w:type="pct"/>
          </w:tcPr>
          <w:p w14:paraId="623E372E" w14:textId="77777777" w:rsidR="00CD0F43" w:rsidRPr="00593418" w:rsidRDefault="00CD0F43" w:rsidP="00CD0F43">
            <w:pPr>
              <w:spacing w:before="20" w:after="20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eastAsia="en-GB"/>
              </w:rPr>
            </w:pPr>
            <w:r w:rsidRPr="00593418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eastAsia="en-GB"/>
              </w:rPr>
              <w:t>Visoka specijalizovanost</w:t>
            </w:r>
          </w:p>
          <w:p w14:paraId="07D7D9EC" w14:textId="77777777" w:rsidR="00CD0F43" w:rsidRPr="00593418" w:rsidRDefault="00CD0F43" w:rsidP="00CD0F43">
            <w:pPr>
              <w:spacing w:before="20" w:after="20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28" w:type="pct"/>
          </w:tcPr>
          <w:p w14:paraId="7ECFF006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Poljoprivredne i biološke nauke (416)</w:t>
            </w:r>
          </w:p>
          <w:p w14:paraId="0A38065A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Kompjuterske nauke (575)</w:t>
            </w:r>
          </w:p>
          <w:p w14:paraId="22585B07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Ekonomija, ekonometrija i finansije (79)</w:t>
            </w:r>
          </w:p>
          <w:p w14:paraId="32A8D517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Energetika (114)</w:t>
            </w:r>
          </w:p>
          <w:p w14:paraId="12039A04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Inženjerstvo (787)</w:t>
            </w:r>
          </w:p>
        </w:tc>
        <w:tc>
          <w:tcPr>
            <w:tcW w:w="2028" w:type="pct"/>
          </w:tcPr>
          <w:p w14:paraId="2F3849F2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Poljoprivredne i biološke nauke (341)</w:t>
            </w:r>
          </w:p>
          <w:p w14:paraId="1D798F20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Kompjuterske nauke (442)</w:t>
            </w:r>
          </w:p>
          <w:p w14:paraId="5B7479AB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Ekonomija, ekonometrija i finansije (76)</w:t>
            </w:r>
          </w:p>
          <w:p w14:paraId="1E6C740F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Inženjerstvo (574)</w:t>
            </w:r>
          </w:p>
          <w:p w14:paraId="41AD1C3F" w14:textId="77777777" w:rsidR="00CD0F43" w:rsidRPr="00593418" w:rsidRDefault="00CD0F43" w:rsidP="00CD0F43">
            <w:pPr>
              <w:pStyle w:val="ListParagraph"/>
              <w:numPr>
                <w:ilvl w:val="0"/>
                <w:numId w:val="3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Matematika (199)</w:t>
            </w:r>
          </w:p>
        </w:tc>
      </w:tr>
      <w:tr w:rsidR="00CD0F43" w:rsidRPr="00593418" w14:paraId="3EE3A78D" w14:textId="77777777" w:rsidTr="008808D0">
        <w:trPr>
          <w:jc w:val="center"/>
        </w:trPr>
        <w:tc>
          <w:tcPr>
            <w:tcW w:w="944" w:type="pct"/>
          </w:tcPr>
          <w:p w14:paraId="0202E432" w14:textId="77777777" w:rsidR="00CD0F43" w:rsidRPr="00593418" w:rsidRDefault="00CD0F43" w:rsidP="00CD0F43">
            <w:pPr>
              <w:spacing w:before="20" w:after="20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eastAsia="en-GB"/>
              </w:rPr>
            </w:pPr>
            <w:r w:rsidRPr="00593418"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eastAsia="en-GB"/>
              </w:rPr>
              <w:t>Snažna specijalizovanost</w:t>
            </w:r>
          </w:p>
          <w:p w14:paraId="43F914A0" w14:textId="77777777" w:rsidR="00CD0F43" w:rsidRPr="00593418" w:rsidRDefault="00CD0F43" w:rsidP="00CD0F43">
            <w:pPr>
              <w:spacing w:before="20" w:after="20"/>
              <w:rPr>
                <w:rFonts w:asciiTheme="minorHAnsi" w:eastAsia="Times New Roman" w:hAnsiTheme="minorHAnsi" w:cs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028" w:type="pct"/>
          </w:tcPr>
          <w:p w14:paraId="45991C63" w14:textId="77777777" w:rsidR="00CD0F43" w:rsidRPr="00593418" w:rsidRDefault="00CD0F43" w:rsidP="00CD0F43">
            <w:pPr>
              <w:pStyle w:val="ListParagraph"/>
              <w:numPr>
                <w:ilvl w:val="0"/>
                <w:numId w:val="4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Umjetnosti i humanističke nauke (416)</w:t>
            </w:r>
          </w:p>
          <w:p w14:paraId="1DE2DFC7" w14:textId="77777777" w:rsidR="00CD0F43" w:rsidRPr="00593418" w:rsidRDefault="00CD0F43" w:rsidP="00CD0F43">
            <w:pPr>
              <w:pStyle w:val="ListParagraph"/>
              <w:numPr>
                <w:ilvl w:val="0"/>
                <w:numId w:val="4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Matematika (245)</w:t>
            </w:r>
          </w:p>
          <w:p w14:paraId="23AF98A8" w14:textId="77777777" w:rsidR="00CD0F43" w:rsidRPr="00593418" w:rsidRDefault="00CD0F43" w:rsidP="00CD0F43">
            <w:pPr>
              <w:pStyle w:val="ListParagraph"/>
              <w:numPr>
                <w:ilvl w:val="0"/>
                <w:numId w:val="4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Društvene nauke (185)</w:t>
            </w:r>
          </w:p>
        </w:tc>
        <w:tc>
          <w:tcPr>
            <w:tcW w:w="2028" w:type="pct"/>
          </w:tcPr>
          <w:p w14:paraId="228023D3" w14:textId="77777777" w:rsidR="00CD0F43" w:rsidRPr="00593418" w:rsidRDefault="00CD0F43" w:rsidP="00CD0F43">
            <w:pPr>
              <w:pStyle w:val="ListParagraph"/>
              <w:numPr>
                <w:ilvl w:val="0"/>
                <w:numId w:val="4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Umjetnosti i humanističke nauke (90)</w:t>
            </w:r>
          </w:p>
          <w:p w14:paraId="28EB115F" w14:textId="77777777" w:rsidR="00CD0F43" w:rsidRPr="00593418" w:rsidRDefault="00CD0F43" w:rsidP="00CD0F43">
            <w:pPr>
              <w:pStyle w:val="ListParagraph"/>
              <w:numPr>
                <w:ilvl w:val="0"/>
                <w:numId w:val="4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 xml:space="preserve">Energetika (89) </w:t>
            </w:r>
          </w:p>
          <w:p w14:paraId="5D063A6F" w14:textId="77777777" w:rsidR="00CD0F43" w:rsidRPr="00593418" w:rsidRDefault="00CD0F43" w:rsidP="00CD0F43">
            <w:pPr>
              <w:pStyle w:val="ListParagraph"/>
              <w:numPr>
                <w:ilvl w:val="0"/>
                <w:numId w:val="4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Nauka o životnoj sredini (132)</w:t>
            </w:r>
          </w:p>
          <w:p w14:paraId="52FC94C2" w14:textId="77777777" w:rsidR="00CD0F43" w:rsidRPr="00593418" w:rsidRDefault="00CD0F43" w:rsidP="00CD0F43">
            <w:pPr>
              <w:pStyle w:val="ListParagraph"/>
              <w:numPr>
                <w:ilvl w:val="0"/>
                <w:numId w:val="4"/>
              </w:numPr>
              <w:spacing w:before="20" w:after="20"/>
              <w:ind w:left="227" w:hanging="227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</w:pPr>
            <w:r w:rsidRPr="00593418">
              <w:rPr>
                <w:rFonts w:eastAsia="Times New Roman" w:cs="Times New Roman"/>
                <w:noProof/>
                <w:sz w:val="20"/>
                <w:szCs w:val="20"/>
                <w:lang w:val="sr-Latn-ME" w:eastAsia="en-GB"/>
              </w:rPr>
              <w:t>Društvene nauke (168)</w:t>
            </w:r>
          </w:p>
        </w:tc>
      </w:tr>
    </w:tbl>
    <w:p w14:paraId="3E9F943B" w14:textId="77777777" w:rsidR="00CD0F43" w:rsidRPr="00593418" w:rsidRDefault="00CD0F43" w:rsidP="00CD0F43">
      <w:pPr>
        <w:rPr>
          <w:rFonts w:asciiTheme="minorHAnsi" w:eastAsia="Times New Roman" w:hAnsiTheme="minorHAnsi" w:cs="Times New Roman"/>
          <w:noProof/>
          <w:sz w:val="18"/>
          <w:szCs w:val="18"/>
          <w:lang w:eastAsia="en-GB"/>
        </w:rPr>
      </w:pPr>
      <w:r w:rsidRPr="00593418">
        <w:rPr>
          <w:rFonts w:asciiTheme="minorHAnsi" w:eastAsia="Times New Roman" w:hAnsiTheme="minorHAnsi" w:cs="Times New Roman"/>
          <w:noProof/>
          <w:sz w:val="18"/>
          <w:szCs w:val="18"/>
          <w:lang w:eastAsia="en-GB"/>
        </w:rPr>
        <w:t xml:space="preserve">Izvor podataka: </w:t>
      </w:r>
      <w:r w:rsidRPr="00593418">
        <w:rPr>
          <w:rFonts w:asciiTheme="minorHAnsi" w:eastAsia="Times New Roman" w:hAnsiTheme="minorHAnsi" w:cs="Times New Roman"/>
          <w:i/>
          <w:noProof/>
          <w:sz w:val="18"/>
          <w:szCs w:val="18"/>
          <w:lang w:eastAsia="en-GB"/>
        </w:rPr>
        <w:t>SCImago</w:t>
      </w:r>
      <w:r w:rsidRPr="00593418">
        <w:rPr>
          <w:rFonts w:asciiTheme="minorHAnsi" w:eastAsia="Times New Roman" w:hAnsiTheme="minorHAnsi" w:cs="Times New Roman"/>
          <w:noProof/>
          <w:sz w:val="18"/>
          <w:szCs w:val="18"/>
          <w:lang w:eastAsia="en-GB"/>
        </w:rPr>
        <w:t xml:space="preserve"> (2018). SJR — </w:t>
      </w:r>
      <w:r w:rsidRPr="00593418">
        <w:rPr>
          <w:rFonts w:asciiTheme="minorHAnsi" w:eastAsia="Times New Roman" w:hAnsiTheme="minorHAnsi" w:cs="Times New Roman"/>
          <w:i/>
          <w:noProof/>
          <w:sz w:val="18"/>
          <w:szCs w:val="18"/>
          <w:lang w:eastAsia="en-GB"/>
        </w:rPr>
        <w:t>SCImago Journal &amp; Country Rank</w:t>
      </w:r>
      <w:r w:rsidRPr="00593418">
        <w:rPr>
          <w:rFonts w:asciiTheme="minorHAnsi" w:eastAsia="Times New Roman" w:hAnsiTheme="minorHAnsi" w:cs="Times New Roman"/>
          <w:noProof/>
          <w:sz w:val="18"/>
          <w:szCs w:val="18"/>
          <w:lang w:eastAsia="en-GB"/>
        </w:rPr>
        <w:t xml:space="preserve">. Pristup podacima ostvaren u januaru 2018. godine, s adrese </w:t>
      </w:r>
      <w:hyperlink r:id="rId30" w:history="1">
        <w:r w:rsidRPr="00593418">
          <w:rPr>
            <w:rStyle w:val="Hyperlink"/>
            <w:rFonts w:asciiTheme="minorHAnsi" w:eastAsia="Times New Roman" w:hAnsiTheme="minorHAnsi"/>
            <w:noProof/>
            <w:sz w:val="18"/>
            <w:szCs w:val="18"/>
            <w:lang w:eastAsia="en-GB"/>
          </w:rPr>
          <w:t>http://www.scimagojr.com</w:t>
        </w:r>
      </w:hyperlink>
      <w:r w:rsidRPr="00593418">
        <w:rPr>
          <w:rFonts w:asciiTheme="minorHAnsi" w:eastAsia="Times New Roman" w:hAnsiTheme="minorHAnsi" w:cs="Times New Roman"/>
          <w:noProof/>
          <w:sz w:val="18"/>
          <w:szCs w:val="18"/>
          <w:lang w:eastAsia="en-GB"/>
        </w:rPr>
        <w:t>. U zagradama je dat ukupan broj dokumenata za dati period.</w:t>
      </w:r>
    </w:p>
    <w:p w14:paraId="46EA68CF" w14:textId="566A3428" w:rsidR="00E00090" w:rsidRPr="00593418" w:rsidRDefault="00E00090" w:rsidP="00264838">
      <w:pPr>
        <w:spacing w:before="100" w:beforeAutospacing="1" w:after="120" w:line="240" w:lineRule="auto"/>
        <w:jc w:val="both"/>
        <w:rPr>
          <w:rFonts w:asciiTheme="minorHAnsi" w:hAnsiTheme="minorHAnsi" w:cstheme="minorHAnsi"/>
        </w:rPr>
      </w:pPr>
      <w:bookmarkStart w:id="24" w:name="_Ref522657144"/>
      <w:r w:rsidRPr="00593418">
        <w:rPr>
          <w:rFonts w:asciiTheme="minorHAnsi" w:hAnsiTheme="minorHAnsi" w:cstheme="minorHAnsi"/>
        </w:rPr>
        <w:t>Efekti internacionalizacije, tj. direktnih kontakata s vodećim istraživačkim timovima u nekoliko oblasti</w:t>
      </w:r>
      <w:r w:rsidR="00F9613D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već daju vidne rezultate i po osnovu novih aplikacija za projekte u Horizontu 2020. Od 2014. godine, crnogorski istraživački timovi učestvuju u 14 projekata, od kojih su 4 završena. </w:t>
      </w:r>
    </w:p>
    <w:p w14:paraId="29C3B5CD" w14:textId="77777777" w:rsidR="00E00090" w:rsidRPr="00593418" w:rsidRDefault="00E00090" w:rsidP="00264838">
      <w:pPr>
        <w:spacing w:before="100" w:beforeAutospacing="1"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Projekti su iz sljedećih oblasti: </w:t>
      </w:r>
    </w:p>
    <w:p w14:paraId="542242D4" w14:textId="2D5CC374" w:rsidR="00E00090" w:rsidRPr="00593418" w:rsidRDefault="00E00090" w:rsidP="00622C4F">
      <w:pPr>
        <w:pStyle w:val="ListParagraph"/>
        <w:numPr>
          <w:ilvl w:val="0"/>
          <w:numId w:val="22"/>
        </w:numPr>
        <w:spacing w:before="100" w:beforeAutospacing="1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5 projekata iz oblasti </w:t>
      </w:r>
      <w:r w:rsidR="00E536D1" w:rsidRPr="00593418">
        <w:rPr>
          <w:rFonts w:cstheme="minorHAnsi"/>
          <w:lang w:val="sr-Latn-ME"/>
        </w:rPr>
        <w:t>i</w:t>
      </w:r>
      <w:r w:rsidRPr="00593418">
        <w:rPr>
          <w:rFonts w:cstheme="minorHAnsi"/>
          <w:lang w:val="sr-Latn-ME"/>
        </w:rPr>
        <w:t xml:space="preserve">straživačke infrastrukture, uključujući e-infrastrukture; </w:t>
      </w:r>
    </w:p>
    <w:p w14:paraId="416A9230" w14:textId="2FB0C914" w:rsidR="00E00090" w:rsidRPr="00593418" w:rsidRDefault="00E00090" w:rsidP="00622C4F">
      <w:pPr>
        <w:pStyle w:val="ListParagraph"/>
        <w:numPr>
          <w:ilvl w:val="0"/>
          <w:numId w:val="22"/>
        </w:numPr>
        <w:spacing w:before="100" w:beforeAutospacing="1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2 pro</w:t>
      </w:r>
      <w:r w:rsidR="00E536D1" w:rsidRPr="00593418">
        <w:rPr>
          <w:rFonts w:cstheme="minorHAnsi"/>
          <w:lang w:val="sr-Latn-ME"/>
        </w:rPr>
        <w:t>jekta iz oblasti</w:t>
      </w:r>
      <w:r w:rsidRPr="00593418">
        <w:rPr>
          <w:rFonts w:cstheme="minorHAnsi"/>
          <w:lang w:val="sr-Latn-ME"/>
        </w:rPr>
        <w:t xml:space="preserve"> </w:t>
      </w:r>
      <w:r w:rsidR="00E536D1" w:rsidRPr="00593418">
        <w:rPr>
          <w:rFonts w:cstheme="minorHAnsi"/>
          <w:lang w:val="sr-Latn-ME"/>
        </w:rPr>
        <w:t>z</w:t>
      </w:r>
      <w:r w:rsidRPr="00593418">
        <w:rPr>
          <w:rFonts w:cstheme="minorHAnsi"/>
          <w:lang w:val="sr-Latn-ME"/>
        </w:rPr>
        <w:t xml:space="preserve">dravlje, demografske promjene i blagostanje; </w:t>
      </w:r>
    </w:p>
    <w:p w14:paraId="307706BE" w14:textId="5F13BF80" w:rsidR="00E00090" w:rsidRPr="00593418" w:rsidRDefault="00E00090" w:rsidP="00622C4F">
      <w:pPr>
        <w:pStyle w:val="ListParagraph"/>
        <w:numPr>
          <w:ilvl w:val="0"/>
          <w:numId w:val="22"/>
        </w:numPr>
        <w:spacing w:before="100" w:beforeAutospacing="1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2 projekta iz oblasti </w:t>
      </w:r>
      <w:r w:rsidR="00E536D1" w:rsidRPr="00593418">
        <w:rPr>
          <w:rFonts w:cstheme="minorHAnsi"/>
          <w:lang w:val="sr-Latn-ME"/>
        </w:rPr>
        <w:t>s</w:t>
      </w:r>
      <w:r w:rsidRPr="00593418">
        <w:rPr>
          <w:rFonts w:cstheme="minorHAnsi"/>
          <w:lang w:val="sr-Latn-ME"/>
        </w:rPr>
        <w:t xml:space="preserve">igurnost hrane, održiva poljoprivreda, marinska i pomorska istraživanja i bioekonomija; </w:t>
      </w:r>
    </w:p>
    <w:p w14:paraId="614A6F8D" w14:textId="77777777" w:rsidR="00E00090" w:rsidRPr="00593418" w:rsidRDefault="00E00090" w:rsidP="00264838">
      <w:pPr>
        <w:spacing w:before="100" w:beforeAutospacing="1"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i po jedan projekat iz sljedećih oblasti: </w:t>
      </w:r>
    </w:p>
    <w:p w14:paraId="7FA66DD4" w14:textId="77777777" w:rsidR="00E00090" w:rsidRPr="00593418" w:rsidRDefault="00E00090" w:rsidP="00622C4F">
      <w:pPr>
        <w:pStyle w:val="ListParagraph"/>
        <w:numPr>
          <w:ilvl w:val="0"/>
          <w:numId w:val="23"/>
        </w:numPr>
        <w:spacing w:before="100" w:beforeAutospacing="1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Bezbjedna, čista i efikasna energija; </w:t>
      </w:r>
    </w:p>
    <w:p w14:paraId="2ED056A7" w14:textId="77777777" w:rsidR="00E00090" w:rsidRPr="00593418" w:rsidRDefault="00E00090" w:rsidP="00622C4F">
      <w:pPr>
        <w:pStyle w:val="ListParagraph"/>
        <w:numPr>
          <w:ilvl w:val="0"/>
          <w:numId w:val="23"/>
        </w:numPr>
        <w:spacing w:before="100" w:beforeAutospacing="1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Klimatska akcija, životna sredina, efikasnost resursa i sirovine; </w:t>
      </w:r>
    </w:p>
    <w:p w14:paraId="0999093B" w14:textId="77777777" w:rsidR="00E00090" w:rsidRPr="00593418" w:rsidRDefault="00E00090" w:rsidP="00622C4F">
      <w:pPr>
        <w:pStyle w:val="ListParagraph"/>
        <w:numPr>
          <w:ilvl w:val="0"/>
          <w:numId w:val="23"/>
        </w:numPr>
        <w:spacing w:before="100" w:beforeAutospacing="1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Marija Sklodovska Kiri akcije – Noć istraživača; </w:t>
      </w:r>
    </w:p>
    <w:p w14:paraId="4F03D7A0" w14:textId="77777777" w:rsidR="00E00090" w:rsidRPr="00593418" w:rsidRDefault="00E00090" w:rsidP="00622C4F">
      <w:pPr>
        <w:pStyle w:val="ListParagraph"/>
        <w:numPr>
          <w:ilvl w:val="0"/>
          <w:numId w:val="23"/>
        </w:numPr>
        <w:spacing w:before="100" w:beforeAutospacing="1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Liderstvo u budućim i industrijskim tehnologijama – Svemir; </w:t>
      </w:r>
    </w:p>
    <w:p w14:paraId="617401FE" w14:textId="4747F127" w:rsidR="00E00090" w:rsidRPr="00593418" w:rsidRDefault="00E00090" w:rsidP="00622C4F">
      <w:pPr>
        <w:pStyle w:val="ListParagraph"/>
        <w:numPr>
          <w:ilvl w:val="0"/>
          <w:numId w:val="23"/>
        </w:numPr>
        <w:spacing w:before="100" w:beforeAutospacing="1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Inovacije u malim i srednjim preduzećima (poseban ugovor o grantu sa Evropskom mrežom preduzetništva (EEN)</w:t>
      </w:r>
      <w:r w:rsidR="00F9613D">
        <w:rPr>
          <w:rFonts w:cstheme="minorHAnsi"/>
          <w:lang w:val="sr-Latn-ME"/>
        </w:rPr>
        <w:t>)</w:t>
      </w:r>
      <w:r w:rsidRPr="00593418">
        <w:rPr>
          <w:rFonts w:cstheme="minorHAnsi"/>
          <w:lang w:val="sr-Latn-ME"/>
        </w:rPr>
        <w:t>.</w:t>
      </w:r>
    </w:p>
    <w:p w14:paraId="6E884A17" w14:textId="1B61EBE6" w:rsidR="009925F1" w:rsidRPr="00593418" w:rsidRDefault="00F37B38" w:rsidP="009925F1">
      <w:pPr>
        <w:spacing w:before="100" w:beforeAutospacing="1"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osnovu raspoloživih podataka,</w:t>
      </w:r>
      <w:r w:rsidR="00E00090" w:rsidRPr="00593418">
        <w:rPr>
          <w:rFonts w:asciiTheme="minorHAnsi" w:hAnsiTheme="minorHAnsi" w:cstheme="minorHAnsi"/>
        </w:rPr>
        <w:t xml:space="preserve"> iz H2020 se finansira</w:t>
      </w:r>
      <w:r>
        <w:rPr>
          <w:rFonts w:asciiTheme="minorHAnsi" w:hAnsiTheme="minorHAnsi" w:cstheme="minorHAnsi"/>
        </w:rPr>
        <w:t xml:space="preserve"> i</w:t>
      </w:r>
      <w:r w:rsidR="00E00090" w:rsidRPr="00593418">
        <w:rPr>
          <w:rFonts w:asciiTheme="minorHAnsi" w:hAnsiTheme="minorHAnsi" w:cstheme="minorHAnsi"/>
        </w:rPr>
        <w:t xml:space="preserve"> </w:t>
      </w:r>
      <w:r w:rsidR="00CB1207">
        <w:rPr>
          <w:rFonts w:asciiTheme="minorHAnsi" w:hAnsiTheme="minorHAnsi" w:cstheme="minorHAnsi"/>
        </w:rPr>
        <w:t xml:space="preserve">šest </w:t>
      </w:r>
      <w:r w:rsidR="00E00090" w:rsidRPr="00593418">
        <w:rPr>
          <w:rFonts w:asciiTheme="minorHAnsi" w:hAnsiTheme="minorHAnsi" w:cstheme="minorHAnsi"/>
        </w:rPr>
        <w:t>projekata sa statusom "</w:t>
      </w:r>
      <w:r w:rsidR="00CB1207" w:rsidRPr="00CB1207">
        <w:rPr>
          <w:rFonts w:asciiTheme="minorHAnsi" w:hAnsiTheme="minorHAnsi" w:cstheme="minorHAnsi"/>
        </w:rPr>
        <w:t>third party</w:t>
      </w:r>
      <w:r w:rsidR="00E00090" w:rsidRPr="00593418">
        <w:rPr>
          <w:rFonts w:asciiTheme="minorHAnsi" w:hAnsiTheme="minorHAnsi" w:cstheme="minorHAnsi"/>
        </w:rPr>
        <w:t xml:space="preserve">": dva iz oblasti </w:t>
      </w:r>
      <w:r w:rsidR="00E536D1" w:rsidRPr="00593418">
        <w:rPr>
          <w:rFonts w:asciiTheme="minorHAnsi" w:hAnsiTheme="minorHAnsi" w:cstheme="minorHAnsi"/>
        </w:rPr>
        <w:t>i</w:t>
      </w:r>
      <w:r w:rsidR="00E00090" w:rsidRPr="00593418">
        <w:rPr>
          <w:rFonts w:asciiTheme="minorHAnsi" w:hAnsiTheme="minorHAnsi" w:cstheme="minorHAnsi"/>
        </w:rPr>
        <w:t xml:space="preserve">straživačke infrastrukture, uključujući e-infrastrukture; jedan iz oblasti </w:t>
      </w:r>
      <w:r w:rsidR="00E536D1" w:rsidRPr="00593418">
        <w:rPr>
          <w:rFonts w:asciiTheme="minorHAnsi" w:hAnsiTheme="minorHAnsi" w:cstheme="minorHAnsi"/>
        </w:rPr>
        <w:t>z</w:t>
      </w:r>
      <w:r w:rsidR="00E00090" w:rsidRPr="00593418">
        <w:rPr>
          <w:rFonts w:asciiTheme="minorHAnsi" w:hAnsiTheme="minorHAnsi" w:cstheme="minorHAnsi"/>
        </w:rPr>
        <w:t xml:space="preserve">dravlje, demografske promjene i blagostanje; i </w:t>
      </w:r>
      <w:r w:rsidR="00CB1207">
        <w:rPr>
          <w:rFonts w:asciiTheme="minorHAnsi" w:hAnsiTheme="minorHAnsi" w:cstheme="minorHAnsi"/>
        </w:rPr>
        <w:t>tri</w:t>
      </w:r>
      <w:r w:rsidR="00CB1207" w:rsidRPr="00593418">
        <w:rPr>
          <w:rFonts w:asciiTheme="minorHAnsi" w:hAnsiTheme="minorHAnsi" w:cstheme="minorHAnsi"/>
        </w:rPr>
        <w:t xml:space="preserve"> </w:t>
      </w:r>
      <w:r w:rsidR="00E00090" w:rsidRPr="00593418">
        <w:rPr>
          <w:rFonts w:asciiTheme="minorHAnsi" w:hAnsiTheme="minorHAnsi" w:cstheme="minorHAnsi"/>
        </w:rPr>
        <w:t xml:space="preserve">iz oblasti </w:t>
      </w:r>
      <w:r w:rsidR="00E536D1" w:rsidRPr="00593418">
        <w:rPr>
          <w:rFonts w:asciiTheme="minorHAnsi" w:hAnsiTheme="minorHAnsi" w:cstheme="minorHAnsi"/>
        </w:rPr>
        <w:t>i</w:t>
      </w:r>
      <w:r w:rsidR="00E00090" w:rsidRPr="00593418">
        <w:rPr>
          <w:rFonts w:asciiTheme="minorHAnsi" w:hAnsiTheme="minorHAnsi" w:cstheme="minorHAnsi"/>
        </w:rPr>
        <w:t>nformaciono-komunikacione tehnologije.</w:t>
      </w:r>
      <w:bookmarkEnd w:id="24"/>
      <w:r w:rsidR="009925F1" w:rsidRPr="00593418">
        <w:rPr>
          <w:rFonts w:asciiTheme="minorHAnsi" w:hAnsiTheme="minorHAnsi" w:cstheme="minorHAnsi"/>
        </w:rPr>
        <w:t xml:space="preserve"> </w:t>
      </w:r>
    </w:p>
    <w:p w14:paraId="0669DBA4" w14:textId="77777777" w:rsidR="005057E7" w:rsidRDefault="00CD0F43" w:rsidP="005057E7">
      <w:pPr>
        <w:spacing w:before="100" w:beforeAutospacing="1" w:after="120" w:line="240" w:lineRule="auto"/>
        <w:jc w:val="both"/>
      </w:pPr>
      <w:r w:rsidRPr="00593418">
        <w:rPr>
          <w:rFonts w:asciiTheme="minorHAnsi" w:eastAsia="Times New Roman" w:hAnsiTheme="minorHAnsi"/>
          <w:noProof/>
          <w:lang w:eastAsia="en-GB"/>
        </w:rPr>
        <w:t xml:space="preserve">Prema izvještaju sa projekta </w:t>
      </w:r>
      <w:r w:rsidR="00E536D1" w:rsidRPr="00593418">
        <w:rPr>
          <w:rFonts w:asciiTheme="minorHAnsi" w:eastAsia="Times New Roman" w:hAnsiTheme="minorHAnsi"/>
          <w:noProof/>
          <w:lang w:eastAsia="en-GB"/>
        </w:rPr>
        <w:t>„</w:t>
      </w:r>
      <w:r w:rsidRPr="00593418">
        <w:rPr>
          <w:rFonts w:asciiTheme="minorHAnsi" w:eastAsia="Times New Roman" w:hAnsiTheme="minorHAnsi"/>
          <w:noProof/>
          <w:lang w:eastAsia="en-GB"/>
        </w:rPr>
        <w:t>Istraživački kapaciteti Zapadnog Bal</w:t>
      </w:r>
      <w:r w:rsidR="009925F1" w:rsidRPr="00593418">
        <w:rPr>
          <w:rFonts w:asciiTheme="minorHAnsi" w:eastAsia="Times New Roman" w:hAnsiTheme="minorHAnsi"/>
          <w:noProof/>
          <w:lang w:eastAsia="en-GB"/>
        </w:rPr>
        <w:t>kana</w:t>
      </w:r>
      <w:r w:rsidR="00E536D1" w:rsidRPr="00593418">
        <w:rPr>
          <w:rFonts w:asciiTheme="minorHAnsi" w:eastAsia="Times New Roman" w:hAnsiTheme="minorHAnsi"/>
          <w:noProof/>
          <w:lang w:eastAsia="en-GB"/>
        </w:rPr>
        <w:t>“</w:t>
      </w:r>
      <w:r w:rsidR="009925F1" w:rsidRPr="00593418">
        <w:rPr>
          <w:rFonts w:asciiTheme="minorHAnsi" w:eastAsia="Times New Roman" w:hAnsiTheme="minorHAnsi"/>
          <w:noProof/>
          <w:lang w:eastAsia="en-GB"/>
        </w:rPr>
        <w:t xml:space="preserve"> (decembar 2017. godine), 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finansiranog kroz EU program Erasmus+, od tri </w:t>
      </w:r>
      <w:r w:rsidR="0094317D">
        <w:rPr>
          <w:rFonts w:asciiTheme="minorHAnsi" w:eastAsia="Times New Roman" w:hAnsiTheme="minorHAnsi"/>
          <w:noProof/>
          <w:lang w:eastAsia="en-GB"/>
        </w:rPr>
        <w:t xml:space="preserve">razmatrana 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crnogorska univerziteta </w:t>
      </w:r>
      <w:r w:rsidR="00B20BAB">
        <w:t>uočava se da najveći udio u gotovo svim istraživačkim oblas</w:t>
      </w:r>
      <w:r w:rsidR="005057E7">
        <w:t>tima ima Univerzitet Crne Gore.</w:t>
      </w:r>
    </w:p>
    <w:p w14:paraId="3C572619" w14:textId="77777777" w:rsidR="005057E7" w:rsidRDefault="005057E7">
      <w:pPr>
        <w:suppressAutoHyphens w:val="0"/>
        <w:spacing w:after="0" w:line="240" w:lineRule="auto"/>
      </w:pPr>
      <w:r>
        <w:br w:type="page"/>
      </w:r>
    </w:p>
    <w:p w14:paraId="574569A7" w14:textId="16405059" w:rsidR="00CD0F43" w:rsidRPr="005057E7" w:rsidRDefault="00CD0F43" w:rsidP="005057E7">
      <w:pPr>
        <w:spacing w:before="100" w:beforeAutospacing="1" w:after="120" w:line="240" w:lineRule="auto"/>
        <w:jc w:val="center"/>
      </w:pPr>
      <w:r w:rsidRPr="00593418">
        <w:rPr>
          <w:rFonts w:asciiTheme="minorHAnsi" w:hAnsiTheme="minorHAnsi" w:cstheme="minorHAnsi"/>
          <w:b/>
          <w:noProof/>
          <w:sz w:val="20"/>
          <w:szCs w:val="20"/>
        </w:rPr>
        <w:lastRenderedPageBreak/>
        <w:t>Tabela 3.  Raspodjela b</w:t>
      </w:r>
      <w:r w:rsidR="00E536D1" w:rsidRPr="00593418">
        <w:rPr>
          <w:rFonts w:asciiTheme="minorHAnsi" w:hAnsiTheme="minorHAnsi" w:cstheme="minorHAnsi"/>
          <w:b/>
          <w:noProof/>
          <w:sz w:val="20"/>
          <w:szCs w:val="20"/>
        </w:rPr>
        <w:t>roja radova u periodu 2012-2016.</w:t>
      </w:r>
      <w:r w:rsidRPr="00593418">
        <w:rPr>
          <w:rFonts w:asciiTheme="minorHAnsi" w:hAnsiTheme="minorHAnsi" w:cstheme="minorHAnsi"/>
          <w:b/>
          <w:noProof/>
          <w:sz w:val="20"/>
          <w:szCs w:val="20"/>
        </w:rPr>
        <w:t xml:space="preserve"> (za šest najproduktivnijih oblasti)</w:t>
      </w:r>
    </w:p>
    <w:tbl>
      <w:tblPr>
        <w:tblStyle w:val="TableGrid"/>
        <w:tblW w:w="8620" w:type="dxa"/>
        <w:jc w:val="center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980539" w14:paraId="133A3027" w14:textId="77777777" w:rsidTr="008808D0">
        <w:trPr>
          <w:trHeight w:val="68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5EF53972" w14:textId="77777777" w:rsidR="00980539" w:rsidRPr="00980539" w:rsidRDefault="00980539">
            <w:pPr>
              <w:jc w:val="center"/>
              <w:rPr>
                <w:rFonts w:eastAsia="Times New Roman"/>
                <w:b/>
                <w:noProof/>
                <w:lang w:val="en-GB" w:eastAsia="en-GB"/>
              </w:rPr>
            </w:pPr>
            <w:r w:rsidRPr="00980539">
              <w:rPr>
                <w:rFonts w:eastAsia="Times New Roman"/>
                <w:b/>
                <w:noProof/>
                <w:lang w:val="en-GB" w:eastAsia="en-GB"/>
              </w:rPr>
              <w:t>Oblast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00A9AE86" w14:textId="77777777" w:rsidR="00980539" w:rsidRPr="00980539" w:rsidRDefault="00980539">
            <w:pPr>
              <w:jc w:val="center"/>
              <w:rPr>
                <w:rFonts w:eastAsia="Times New Roman"/>
                <w:b/>
                <w:noProof/>
                <w:lang w:val="en-GB" w:eastAsia="en-GB"/>
              </w:rPr>
            </w:pPr>
            <w:r w:rsidRPr="00980539">
              <w:rPr>
                <w:rFonts w:eastAsia="Times New Roman"/>
                <w:b/>
                <w:noProof/>
                <w:lang w:val="en-GB" w:eastAsia="en-GB"/>
              </w:rPr>
              <w:t>Univerzitet Crne Gore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0898F192" w14:textId="77777777" w:rsidR="00980539" w:rsidRPr="00980539" w:rsidRDefault="00980539">
            <w:pPr>
              <w:jc w:val="center"/>
              <w:rPr>
                <w:rFonts w:eastAsia="Times New Roman"/>
                <w:b/>
                <w:noProof/>
                <w:lang w:val="en-GB" w:eastAsia="en-GB"/>
              </w:rPr>
            </w:pPr>
            <w:r w:rsidRPr="00980539">
              <w:rPr>
                <w:rFonts w:eastAsia="Times New Roman"/>
                <w:b/>
                <w:noProof/>
                <w:lang w:val="en-GB" w:eastAsia="en-GB"/>
              </w:rPr>
              <w:t>Univerzitet Mediteran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E782BEE" w14:textId="77777777" w:rsidR="00980539" w:rsidRPr="00980539" w:rsidRDefault="00980539">
            <w:pPr>
              <w:jc w:val="center"/>
              <w:rPr>
                <w:rFonts w:eastAsia="Times New Roman"/>
                <w:b/>
                <w:noProof/>
                <w:lang w:val="en-GB" w:eastAsia="en-GB"/>
              </w:rPr>
            </w:pPr>
            <w:r w:rsidRPr="00980539">
              <w:rPr>
                <w:rFonts w:eastAsia="Times New Roman"/>
                <w:b/>
                <w:noProof/>
                <w:lang w:val="en-GB" w:eastAsia="en-GB"/>
              </w:rPr>
              <w:t xml:space="preserve">Univerzitet </w:t>
            </w:r>
            <w:r w:rsidRPr="00980539">
              <w:rPr>
                <w:rFonts w:eastAsia="Times New Roman"/>
                <w:b/>
                <w:noProof/>
                <w:lang w:val="en-GB" w:eastAsia="en-GB"/>
              </w:rPr>
              <w:br/>
              <w:t>Donja Gorica</w:t>
            </w:r>
          </w:p>
        </w:tc>
      </w:tr>
      <w:tr w:rsidR="00980539" w14:paraId="64A2960F" w14:textId="77777777" w:rsidTr="008808D0">
        <w:trPr>
          <w:trHeight w:val="42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0C6E" w14:textId="77777777" w:rsidR="00980539" w:rsidRPr="00980539" w:rsidRDefault="00980539">
            <w:pPr>
              <w:pStyle w:val="HTMLPreformatted"/>
              <w:shd w:val="clear" w:color="auto" w:fill="FFFFFF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80539">
              <w:rPr>
                <w:rFonts w:asciiTheme="minorHAnsi" w:hAnsiTheme="minorHAnsi"/>
                <w:sz w:val="18"/>
                <w:szCs w:val="18"/>
                <w:lang w:eastAsia="en-US"/>
              </w:rPr>
              <w:t>Inženjering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9DA6" w14:textId="77777777" w:rsidR="00980539" w:rsidRPr="00980539" w:rsidRDefault="00980539">
            <w:pPr>
              <w:pStyle w:val="HTMLPreformatted"/>
              <w:shd w:val="clear" w:color="auto" w:fill="FFFFFF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980539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99F0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3B3E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9</w:t>
            </w:r>
          </w:p>
        </w:tc>
      </w:tr>
      <w:tr w:rsidR="00980539" w14:paraId="60AE16BC" w14:textId="77777777" w:rsidTr="008808D0">
        <w:trPr>
          <w:trHeight w:val="42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A3CD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hAnsiTheme="minorHAnsi"/>
                <w:sz w:val="18"/>
                <w:szCs w:val="18"/>
                <w:lang w:val="en-GB"/>
              </w:rPr>
              <w:t>Informatika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CDF6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336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0BB8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51E8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7</w:t>
            </w:r>
          </w:p>
        </w:tc>
      </w:tr>
      <w:tr w:rsidR="00980539" w14:paraId="0686A64B" w14:textId="77777777" w:rsidTr="008808D0">
        <w:trPr>
          <w:trHeight w:val="42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01E4" w14:textId="77777777" w:rsidR="00980539" w:rsidRPr="00980539" w:rsidRDefault="00980539">
            <w:pPr>
              <w:pStyle w:val="HTMLPreformatted"/>
              <w:shd w:val="clear" w:color="auto" w:fill="FFFFFF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80539">
              <w:rPr>
                <w:rFonts w:asciiTheme="minorHAnsi" w:hAnsiTheme="minorHAnsi"/>
                <w:sz w:val="18"/>
                <w:szCs w:val="18"/>
                <w:lang w:eastAsia="en-US"/>
              </w:rPr>
              <w:t>Poljoprivreda i</w:t>
            </w:r>
          </w:p>
          <w:p w14:paraId="68744844" w14:textId="77777777" w:rsidR="00980539" w:rsidRPr="00980539" w:rsidRDefault="00980539">
            <w:pPr>
              <w:pStyle w:val="HTMLPreformatted"/>
              <w:shd w:val="clear" w:color="auto" w:fill="FFFFFF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80539">
              <w:rPr>
                <w:rFonts w:asciiTheme="minorHAnsi" w:hAnsiTheme="minorHAnsi"/>
                <w:sz w:val="18"/>
                <w:szCs w:val="18"/>
                <w:lang w:eastAsia="en-US"/>
              </w:rPr>
              <w:t>biološke nauke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3AA2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223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233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733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980539" w14:paraId="217FE249" w14:textId="77777777" w:rsidTr="008808D0">
        <w:trPr>
          <w:trHeight w:val="24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3AF9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noProof/>
                <w:sz w:val="18"/>
                <w:szCs w:val="18"/>
                <w:lang w:val="en-GB" w:eastAsia="en-GB"/>
              </w:rPr>
              <w:t>Matematika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758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B299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5313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8</w:t>
            </w:r>
          </w:p>
        </w:tc>
      </w:tr>
      <w:tr w:rsidR="00980539" w14:paraId="3F4DDD3D" w14:textId="77777777" w:rsidTr="008808D0">
        <w:trPr>
          <w:trHeight w:val="42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D0F4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noProof/>
                <w:sz w:val="18"/>
                <w:szCs w:val="18"/>
                <w:lang w:val="en-GB" w:eastAsia="en-GB"/>
              </w:rPr>
              <w:t>Društvene nauke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F097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122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A36D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6CE1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4</w:t>
            </w:r>
          </w:p>
        </w:tc>
      </w:tr>
      <w:tr w:rsidR="00980539" w14:paraId="05709678" w14:textId="77777777" w:rsidTr="008808D0">
        <w:trPr>
          <w:trHeight w:val="42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3D69" w14:textId="77777777" w:rsidR="00980539" w:rsidRPr="00980539" w:rsidRDefault="00980539">
            <w:pPr>
              <w:pStyle w:val="HTMLPreformatted"/>
              <w:shd w:val="clear" w:color="auto" w:fill="FFFFFF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80539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t xml:space="preserve">Ekonomija, </w:t>
            </w:r>
            <w:r w:rsidRPr="00980539">
              <w:rPr>
                <w:rFonts w:asciiTheme="minorHAnsi" w:hAnsiTheme="minorHAnsi"/>
                <w:sz w:val="18"/>
                <w:szCs w:val="18"/>
                <w:lang w:eastAsia="en-US"/>
              </w:rPr>
              <w:t>Ekonometrija i finansije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D3A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9DE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84A5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4</w:t>
            </w:r>
          </w:p>
        </w:tc>
      </w:tr>
      <w:tr w:rsidR="00980539" w14:paraId="0A7BC2D4" w14:textId="77777777" w:rsidTr="008808D0">
        <w:trPr>
          <w:trHeight w:val="42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3BFB" w14:textId="77777777" w:rsidR="00980539" w:rsidRPr="00980539" w:rsidRDefault="00980539">
            <w:pPr>
              <w:pStyle w:val="HTMLPreformatted"/>
              <w:shd w:val="clear" w:color="auto" w:fill="FFFFFF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980539">
              <w:rPr>
                <w:rFonts w:asciiTheme="minorHAnsi" w:hAnsiTheme="minorHAnsi"/>
                <w:sz w:val="18"/>
                <w:szCs w:val="18"/>
                <w:lang w:eastAsia="en-US"/>
              </w:rPr>
              <w:t>Biznis, menadžment i računovodstvo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379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A40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  <w:r w:rsidRPr="00980539"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54E" w14:textId="77777777" w:rsidR="00980539" w:rsidRPr="00980539" w:rsidRDefault="00980539">
            <w:pPr>
              <w:jc w:val="center"/>
              <w:rPr>
                <w:rFonts w:asciiTheme="minorHAnsi" w:eastAsia="Times New Roman" w:hAnsiTheme="minorHAnsi"/>
                <w:b/>
                <w:noProof/>
                <w:sz w:val="18"/>
                <w:szCs w:val="18"/>
                <w:lang w:val="en-GB" w:eastAsia="en-GB"/>
              </w:rPr>
            </w:pPr>
          </w:p>
        </w:tc>
      </w:tr>
      <w:tr w:rsidR="00980539" w14:paraId="02BDF913" w14:textId="77777777" w:rsidTr="008808D0">
        <w:trPr>
          <w:trHeight w:val="25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48EDE90D" w14:textId="77777777" w:rsidR="00980539" w:rsidRPr="00980539" w:rsidRDefault="00980539">
            <w:pPr>
              <w:jc w:val="center"/>
              <w:rPr>
                <w:rFonts w:eastAsia="Times New Roman"/>
                <w:b/>
                <w:noProof/>
                <w:lang w:val="en-GB" w:eastAsia="en-GB"/>
              </w:rPr>
            </w:pPr>
            <w:r w:rsidRPr="00980539">
              <w:rPr>
                <w:rFonts w:eastAsia="Times New Roman"/>
                <w:b/>
                <w:noProof/>
                <w:lang w:val="en-GB" w:eastAsia="en-GB"/>
              </w:rPr>
              <w:t>Total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A126DBD" w14:textId="77777777" w:rsidR="00980539" w:rsidRPr="00980539" w:rsidRDefault="00980539">
            <w:pPr>
              <w:jc w:val="center"/>
              <w:rPr>
                <w:rFonts w:eastAsia="Times New Roman"/>
                <w:b/>
                <w:noProof/>
                <w:lang w:val="en-GB" w:eastAsia="en-GB"/>
              </w:rPr>
            </w:pPr>
            <w:r w:rsidRPr="00980539">
              <w:rPr>
                <w:rFonts w:eastAsia="Times New Roman"/>
                <w:b/>
                <w:noProof/>
                <w:lang w:val="en-GB" w:eastAsia="en-GB"/>
              </w:rPr>
              <w:t>1235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6008D994" w14:textId="77777777" w:rsidR="00980539" w:rsidRPr="00980539" w:rsidRDefault="00980539">
            <w:pPr>
              <w:jc w:val="center"/>
              <w:rPr>
                <w:rFonts w:eastAsia="Times New Roman"/>
                <w:b/>
                <w:noProof/>
                <w:lang w:val="en-GB" w:eastAsia="en-GB"/>
              </w:rPr>
            </w:pPr>
            <w:r w:rsidRPr="00980539">
              <w:rPr>
                <w:rFonts w:eastAsia="Times New Roman"/>
                <w:b/>
                <w:noProof/>
                <w:lang w:val="en-GB" w:eastAsia="en-GB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4E8FEE83" w14:textId="77777777" w:rsidR="00980539" w:rsidRPr="00980539" w:rsidRDefault="00980539">
            <w:pPr>
              <w:jc w:val="center"/>
              <w:rPr>
                <w:rFonts w:eastAsia="Times New Roman"/>
                <w:b/>
                <w:noProof/>
                <w:lang w:val="en-GB" w:eastAsia="en-GB"/>
              </w:rPr>
            </w:pPr>
            <w:r w:rsidRPr="00980539">
              <w:rPr>
                <w:rFonts w:eastAsia="Times New Roman"/>
                <w:b/>
                <w:noProof/>
                <w:lang w:val="en-GB" w:eastAsia="en-GB"/>
              </w:rPr>
              <w:t>32</w:t>
            </w:r>
          </w:p>
        </w:tc>
      </w:tr>
    </w:tbl>
    <w:p w14:paraId="1CF317F1" w14:textId="479196D5" w:rsidR="00CD0F43" w:rsidRPr="00593418" w:rsidRDefault="00CD0F43" w:rsidP="00CD0F43">
      <w:pPr>
        <w:jc w:val="center"/>
        <w:rPr>
          <w:rFonts w:asciiTheme="minorHAnsi" w:eastAsia="Times New Roman" w:hAnsiTheme="minorHAnsi"/>
          <w:noProof/>
          <w:lang w:eastAsia="en-GB"/>
        </w:rPr>
      </w:pPr>
    </w:p>
    <w:p w14:paraId="34EA3E16" w14:textId="41D8AB29" w:rsidR="00CD0F43" w:rsidRPr="00593418" w:rsidRDefault="00CD0F43" w:rsidP="00CD0F43">
      <w:pPr>
        <w:jc w:val="both"/>
        <w:rPr>
          <w:rFonts w:asciiTheme="minorHAnsi" w:eastAsia="Times New Roman" w:hAnsiTheme="minorHAnsi"/>
          <w:noProof/>
          <w:lang w:eastAsia="en-GB"/>
        </w:rPr>
      </w:pPr>
      <w:r w:rsidRPr="00593418">
        <w:rPr>
          <w:rFonts w:asciiTheme="minorHAnsi" w:eastAsia="Times New Roman" w:hAnsiTheme="minorHAnsi"/>
          <w:noProof/>
          <w:lang w:eastAsia="en-GB"/>
        </w:rPr>
        <w:t xml:space="preserve">Dominantne </w:t>
      </w:r>
      <w:r w:rsidR="0094317D">
        <w:rPr>
          <w:rFonts w:asciiTheme="minorHAnsi" w:eastAsia="Times New Roman" w:hAnsiTheme="minorHAnsi"/>
          <w:noProof/>
          <w:lang w:eastAsia="en-GB"/>
        </w:rPr>
        <w:t xml:space="preserve">istraživačke 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oblasti za Univerzitet Crne Gore su inženjerstvo, informatika, poljoprivredne i biološke nauke. </w:t>
      </w:r>
    </w:p>
    <w:p w14:paraId="02696190" w14:textId="2EAB9A7D" w:rsidR="00FD39C0" w:rsidRPr="00593418" w:rsidRDefault="00CD0F43" w:rsidP="00CD0F43">
      <w:pPr>
        <w:jc w:val="both"/>
        <w:rPr>
          <w:rFonts w:asciiTheme="minorHAnsi" w:eastAsia="Times New Roman" w:hAnsiTheme="minorHAnsi"/>
          <w:noProof/>
          <w:lang w:eastAsia="en-GB"/>
        </w:rPr>
      </w:pPr>
      <w:r w:rsidRPr="00593418">
        <w:rPr>
          <w:rFonts w:asciiTheme="minorHAnsi" w:eastAsia="Times New Roman" w:hAnsiTheme="minorHAnsi"/>
          <w:noProof/>
          <w:lang w:eastAsia="en-GB"/>
        </w:rPr>
        <w:t>Analiza performansi istraživanja instituta koji nijesu povezani sa univerzitetima prikazana je</w:t>
      </w:r>
      <w:r w:rsidR="00CD28AD" w:rsidRPr="00593418">
        <w:rPr>
          <w:rFonts w:asciiTheme="minorHAnsi" w:eastAsia="Times New Roman" w:hAnsiTheme="minorHAnsi"/>
          <w:noProof/>
          <w:lang w:eastAsia="en-GB"/>
        </w:rPr>
        <w:t xml:space="preserve"> u </w:t>
      </w:r>
      <w:r w:rsidRPr="00593418">
        <w:rPr>
          <w:rFonts w:asciiTheme="minorHAnsi" w:eastAsia="Times New Roman" w:hAnsiTheme="minorHAnsi"/>
          <w:noProof/>
          <w:lang w:eastAsia="en-GB"/>
        </w:rPr>
        <w:t>Tabel</w:t>
      </w:r>
      <w:r w:rsidR="00CD28AD" w:rsidRPr="00593418">
        <w:rPr>
          <w:rFonts w:asciiTheme="minorHAnsi" w:eastAsia="Times New Roman" w:hAnsiTheme="minorHAnsi"/>
          <w:noProof/>
          <w:lang w:eastAsia="en-GB"/>
        </w:rPr>
        <w:t>i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4</w:t>
      </w:r>
      <w:r w:rsidR="00CD28AD" w:rsidRPr="00593418">
        <w:rPr>
          <w:rFonts w:asciiTheme="minorHAnsi" w:eastAsia="Times New Roman" w:hAnsiTheme="minorHAnsi"/>
          <w:noProof/>
          <w:lang w:eastAsia="en-GB"/>
        </w:rPr>
        <w:t>.</w:t>
      </w:r>
    </w:p>
    <w:p w14:paraId="10B4F906" w14:textId="77777777" w:rsidR="00CD0F43" w:rsidRPr="00FD39C0" w:rsidRDefault="00CD0F43" w:rsidP="00CD0F43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FD39C0">
        <w:rPr>
          <w:rFonts w:asciiTheme="minorHAnsi" w:hAnsiTheme="minorHAnsi" w:cstheme="minorHAnsi"/>
          <w:b/>
          <w:noProof/>
          <w:sz w:val="20"/>
          <w:szCs w:val="20"/>
        </w:rPr>
        <w:t>Tabela 4.  Raspodjela broja radova po institutima 2012-2016.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71"/>
        <w:gridCol w:w="777"/>
        <w:gridCol w:w="777"/>
        <w:gridCol w:w="777"/>
        <w:gridCol w:w="777"/>
        <w:gridCol w:w="782"/>
        <w:gridCol w:w="1039"/>
      </w:tblGrid>
      <w:tr w:rsidR="00980539" w14:paraId="192CBCE7" w14:textId="77777777" w:rsidTr="00980539">
        <w:trPr>
          <w:trHeight w:val="204"/>
          <w:jc w:val="center"/>
        </w:trPr>
        <w:tc>
          <w:tcPr>
            <w:tcW w:w="3471" w:type="dxa"/>
            <w:vMerge w:val="restart"/>
            <w:shd w:val="clear" w:color="auto" w:fill="33CCCC"/>
          </w:tcPr>
          <w:p w14:paraId="1C0F2FF3" w14:textId="77777777" w:rsidR="00980539" w:rsidRPr="00980539" w:rsidRDefault="00980539" w:rsidP="00E051CD">
            <w:pPr>
              <w:jc w:val="center"/>
              <w:rPr>
                <w:rFonts w:cstheme="minorHAnsi"/>
                <w:b/>
                <w:noProof/>
              </w:rPr>
            </w:pPr>
            <w:r w:rsidRPr="00980539">
              <w:rPr>
                <w:rFonts w:cstheme="minorHAnsi"/>
                <w:b/>
                <w:noProof/>
              </w:rPr>
              <w:t>Ime</w:t>
            </w:r>
          </w:p>
        </w:tc>
        <w:tc>
          <w:tcPr>
            <w:tcW w:w="4929" w:type="dxa"/>
            <w:gridSpan w:val="6"/>
            <w:shd w:val="clear" w:color="auto" w:fill="33CCCC"/>
          </w:tcPr>
          <w:p w14:paraId="0DAF4D14" w14:textId="3AE17263" w:rsidR="00980539" w:rsidRPr="00980539" w:rsidRDefault="00980539" w:rsidP="00980539">
            <w:pPr>
              <w:jc w:val="center"/>
              <w:rPr>
                <w:rFonts w:cstheme="minorHAnsi"/>
                <w:b/>
                <w:noProof/>
              </w:rPr>
            </w:pPr>
            <w:r w:rsidRPr="00980539">
              <w:rPr>
                <w:rFonts w:cstheme="minorHAnsi"/>
                <w:b/>
                <w:noProof/>
              </w:rPr>
              <w:t>Broj radova</w:t>
            </w:r>
          </w:p>
        </w:tc>
      </w:tr>
      <w:tr w:rsidR="00980539" w14:paraId="7632A69E" w14:textId="77777777" w:rsidTr="00980539">
        <w:trPr>
          <w:trHeight w:val="204"/>
          <w:jc w:val="center"/>
        </w:trPr>
        <w:tc>
          <w:tcPr>
            <w:tcW w:w="3471" w:type="dxa"/>
            <w:vMerge/>
            <w:shd w:val="clear" w:color="auto" w:fill="33CCCC"/>
          </w:tcPr>
          <w:p w14:paraId="6457AC14" w14:textId="77777777" w:rsidR="00980539" w:rsidRPr="00980539" w:rsidRDefault="00980539" w:rsidP="00E051CD">
            <w:pPr>
              <w:jc w:val="center"/>
              <w:rPr>
                <w:rFonts w:cstheme="minorHAnsi"/>
                <w:b/>
                <w:noProof/>
              </w:rPr>
            </w:pPr>
          </w:p>
        </w:tc>
        <w:tc>
          <w:tcPr>
            <w:tcW w:w="777" w:type="dxa"/>
            <w:shd w:val="clear" w:color="auto" w:fill="33CCCC"/>
          </w:tcPr>
          <w:p w14:paraId="12716405" w14:textId="77777777" w:rsidR="00980539" w:rsidRPr="00980539" w:rsidRDefault="00980539" w:rsidP="00E051CD">
            <w:pPr>
              <w:jc w:val="center"/>
              <w:rPr>
                <w:rFonts w:cstheme="minorHAnsi"/>
                <w:b/>
                <w:noProof/>
              </w:rPr>
            </w:pPr>
            <w:r w:rsidRPr="00980539">
              <w:rPr>
                <w:rFonts w:cstheme="minorHAnsi"/>
                <w:b/>
                <w:noProof/>
              </w:rPr>
              <w:t>2012</w:t>
            </w:r>
          </w:p>
        </w:tc>
        <w:tc>
          <w:tcPr>
            <w:tcW w:w="777" w:type="dxa"/>
            <w:shd w:val="clear" w:color="auto" w:fill="33CCCC"/>
          </w:tcPr>
          <w:p w14:paraId="2316C4BF" w14:textId="77777777" w:rsidR="00980539" w:rsidRPr="00980539" w:rsidRDefault="00980539" w:rsidP="00E051CD">
            <w:pPr>
              <w:jc w:val="center"/>
              <w:rPr>
                <w:rFonts w:cstheme="minorHAnsi"/>
                <w:b/>
                <w:noProof/>
              </w:rPr>
            </w:pPr>
            <w:r w:rsidRPr="00980539">
              <w:rPr>
                <w:rFonts w:cstheme="minorHAnsi"/>
                <w:b/>
                <w:noProof/>
              </w:rPr>
              <w:t>2013</w:t>
            </w:r>
          </w:p>
        </w:tc>
        <w:tc>
          <w:tcPr>
            <w:tcW w:w="777" w:type="dxa"/>
            <w:shd w:val="clear" w:color="auto" w:fill="33CCCC"/>
          </w:tcPr>
          <w:p w14:paraId="3B869E51" w14:textId="77777777" w:rsidR="00980539" w:rsidRPr="00980539" w:rsidRDefault="00980539" w:rsidP="00E051CD">
            <w:pPr>
              <w:jc w:val="center"/>
              <w:rPr>
                <w:rFonts w:cstheme="minorHAnsi"/>
                <w:b/>
                <w:noProof/>
              </w:rPr>
            </w:pPr>
            <w:r w:rsidRPr="00980539">
              <w:rPr>
                <w:rFonts w:cstheme="minorHAnsi"/>
                <w:b/>
                <w:noProof/>
              </w:rPr>
              <w:t>2014</w:t>
            </w:r>
          </w:p>
        </w:tc>
        <w:tc>
          <w:tcPr>
            <w:tcW w:w="777" w:type="dxa"/>
            <w:shd w:val="clear" w:color="auto" w:fill="33CCCC"/>
          </w:tcPr>
          <w:p w14:paraId="3674557B" w14:textId="77777777" w:rsidR="00980539" w:rsidRPr="00980539" w:rsidRDefault="00980539" w:rsidP="00E051CD">
            <w:pPr>
              <w:jc w:val="center"/>
              <w:rPr>
                <w:rFonts w:cstheme="minorHAnsi"/>
                <w:b/>
                <w:noProof/>
              </w:rPr>
            </w:pPr>
            <w:r w:rsidRPr="00980539">
              <w:rPr>
                <w:rFonts w:cstheme="minorHAnsi"/>
                <w:b/>
                <w:noProof/>
              </w:rPr>
              <w:t>2015</w:t>
            </w:r>
          </w:p>
        </w:tc>
        <w:tc>
          <w:tcPr>
            <w:tcW w:w="782" w:type="dxa"/>
            <w:shd w:val="clear" w:color="auto" w:fill="33CCCC"/>
          </w:tcPr>
          <w:p w14:paraId="2800112C" w14:textId="77777777" w:rsidR="00980539" w:rsidRPr="00980539" w:rsidRDefault="00980539" w:rsidP="00E051CD">
            <w:pPr>
              <w:jc w:val="center"/>
              <w:rPr>
                <w:rFonts w:cstheme="minorHAnsi"/>
                <w:b/>
                <w:noProof/>
              </w:rPr>
            </w:pPr>
            <w:r w:rsidRPr="00980539">
              <w:rPr>
                <w:rFonts w:cstheme="minorHAnsi"/>
                <w:b/>
                <w:noProof/>
              </w:rPr>
              <w:t>2016</w:t>
            </w:r>
          </w:p>
        </w:tc>
        <w:tc>
          <w:tcPr>
            <w:tcW w:w="1038" w:type="dxa"/>
            <w:shd w:val="clear" w:color="auto" w:fill="33CCCC"/>
          </w:tcPr>
          <w:p w14:paraId="259F9562" w14:textId="77777777" w:rsidR="00980539" w:rsidRPr="00980539" w:rsidRDefault="00980539" w:rsidP="00E051CD">
            <w:pPr>
              <w:jc w:val="center"/>
              <w:rPr>
                <w:rFonts w:cstheme="minorHAnsi"/>
                <w:b/>
                <w:noProof/>
              </w:rPr>
            </w:pPr>
            <w:r w:rsidRPr="00980539">
              <w:rPr>
                <w:rFonts w:cstheme="minorHAnsi"/>
                <w:b/>
                <w:noProof/>
              </w:rPr>
              <w:t>5y total</w:t>
            </w:r>
          </w:p>
        </w:tc>
      </w:tr>
      <w:tr w:rsidR="00980539" w14:paraId="149345F5" w14:textId="77777777" w:rsidTr="00E332D0">
        <w:trPr>
          <w:trHeight w:val="398"/>
          <w:jc w:val="center"/>
        </w:trPr>
        <w:tc>
          <w:tcPr>
            <w:tcW w:w="3471" w:type="dxa"/>
          </w:tcPr>
          <w:p w14:paraId="102EE952" w14:textId="77777777" w:rsidR="00980539" w:rsidRPr="00C3010F" w:rsidRDefault="00980539" w:rsidP="00E051CD">
            <w:pPr>
              <w:pStyle w:val="HTMLPreformatted"/>
              <w:shd w:val="clear" w:color="auto" w:fill="FFFFFF"/>
              <w:rPr>
                <w:rFonts w:ascii="Calibri" w:hAnsi="Calibri"/>
                <w:sz w:val="18"/>
                <w:szCs w:val="18"/>
              </w:rPr>
            </w:pPr>
            <w:r w:rsidRPr="00C3010F">
              <w:rPr>
                <w:rFonts w:ascii="Calibri" w:hAnsi="Calibri"/>
                <w:sz w:val="18"/>
                <w:szCs w:val="18"/>
              </w:rPr>
              <w:t>Institut za javno zdravlje</w:t>
            </w:r>
          </w:p>
        </w:tc>
        <w:tc>
          <w:tcPr>
            <w:tcW w:w="777" w:type="dxa"/>
            <w:vAlign w:val="center"/>
          </w:tcPr>
          <w:p w14:paraId="72B9B43F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777" w:type="dxa"/>
            <w:vAlign w:val="center"/>
          </w:tcPr>
          <w:p w14:paraId="5944BD56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14</w:t>
            </w:r>
          </w:p>
        </w:tc>
        <w:tc>
          <w:tcPr>
            <w:tcW w:w="777" w:type="dxa"/>
            <w:vAlign w:val="center"/>
          </w:tcPr>
          <w:p w14:paraId="3D206E06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777" w:type="dxa"/>
            <w:vAlign w:val="center"/>
          </w:tcPr>
          <w:p w14:paraId="2029B798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782" w:type="dxa"/>
            <w:vAlign w:val="center"/>
          </w:tcPr>
          <w:p w14:paraId="7B750CC5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12</w:t>
            </w:r>
          </w:p>
        </w:tc>
        <w:tc>
          <w:tcPr>
            <w:tcW w:w="1038" w:type="dxa"/>
            <w:vAlign w:val="center"/>
          </w:tcPr>
          <w:p w14:paraId="5477D781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42</w:t>
            </w:r>
          </w:p>
        </w:tc>
      </w:tr>
      <w:tr w:rsidR="00980539" w14:paraId="16B15FA5" w14:textId="77777777" w:rsidTr="00E332D0">
        <w:trPr>
          <w:trHeight w:val="398"/>
          <w:jc w:val="center"/>
        </w:trPr>
        <w:tc>
          <w:tcPr>
            <w:tcW w:w="3471" w:type="dxa"/>
          </w:tcPr>
          <w:p w14:paraId="70EF9687" w14:textId="77777777" w:rsidR="00980539" w:rsidRPr="00923467" w:rsidRDefault="00980539" w:rsidP="00E051CD">
            <w:pPr>
              <w:pStyle w:val="HTMLPreformatted"/>
              <w:shd w:val="clear" w:color="auto" w:fill="FFFFFF"/>
              <w:rPr>
                <w:rFonts w:ascii="Calibri" w:hAnsi="Calibri"/>
                <w:sz w:val="18"/>
                <w:szCs w:val="18"/>
                <w:lang w:val="it-IT"/>
              </w:rPr>
            </w:pPr>
            <w:r w:rsidRPr="00923467">
              <w:rPr>
                <w:rFonts w:ascii="Calibri" w:hAnsi="Calibri"/>
                <w:sz w:val="18"/>
                <w:szCs w:val="18"/>
                <w:lang w:val="it-IT"/>
              </w:rPr>
              <w:t>Institut za hidrometeorologiju i seizmologiju</w:t>
            </w:r>
          </w:p>
        </w:tc>
        <w:tc>
          <w:tcPr>
            <w:tcW w:w="777" w:type="dxa"/>
            <w:vAlign w:val="center"/>
          </w:tcPr>
          <w:p w14:paraId="326EA0AC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777" w:type="dxa"/>
            <w:vAlign w:val="center"/>
          </w:tcPr>
          <w:p w14:paraId="5916A20D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14:paraId="5453B612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777" w:type="dxa"/>
            <w:vAlign w:val="center"/>
          </w:tcPr>
          <w:p w14:paraId="2A7CB937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782" w:type="dxa"/>
            <w:vAlign w:val="center"/>
          </w:tcPr>
          <w:p w14:paraId="0DDA434F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1038" w:type="dxa"/>
            <w:vAlign w:val="center"/>
          </w:tcPr>
          <w:p w14:paraId="0954D664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9</w:t>
            </w:r>
          </w:p>
        </w:tc>
      </w:tr>
      <w:tr w:rsidR="00980539" w14:paraId="0A4EFB31" w14:textId="77777777" w:rsidTr="00E332D0">
        <w:trPr>
          <w:trHeight w:val="409"/>
          <w:jc w:val="center"/>
        </w:trPr>
        <w:tc>
          <w:tcPr>
            <w:tcW w:w="3471" w:type="dxa"/>
          </w:tcPr>
          <w:p w14:paraId="2DAF01F4" w14:textId="77777777" w:rsidR="00980539" w:rsidRPr="00C3010F" w:rsidRDefault="00980539" w:rsidP="00E051CD">
            <w:pPr>
              <w:rPr>
                <w:rFonts w:cstheme="minorHAnsi"/>
                <w:noProof/>
                <w:sz w:val="18"/>
                <w:szCs w:val="18"/>
              </w:rPr>
            </w:pPr>
            <w:r w:rsidRPr="00C3010F">
              <w:rPr>
                <w:rFonts w:cstheme="minorHAnsi"/>
                <w:noProof/>
                <w:sz w:val="18"/>
                <w:szCs w:val="18"/>
              </w:rPr>
              <w:t>Klini</w:t>
            </w:r>
            <w:r w:rsidRPr="00C3010F">
              <w:rPr>
                <w:rFonts w:cs="Times New Roman"/>
                <w:noProof/>
                <w:sz w:val="18"/>
                <w:szCs w:val="18"/>
              </w:rPr>
              <w:t>č</w:t>
            </w:r>
            <w:r w:rsidRPr="00C3010F">
              <w:rPr>
                <w:rFonts w:cstheme="minorHAnsi"/>
                <w:noProof/>
                <w:sz w:val="18"/>
                <w:szCs w:val="18"/>
              </w:rPr>
              <w:t>ki centar Crne Gore</w:t>
            </w:r>
          </w:p>
        </w:tc>
        <w:tc>
          <w:tcPr>
            <w:tcW w:w="777" w:type="dxa"/>
            <w:vAlign w:val="center"/>
          </w:tcPr>
          <w:p w14:paraId="2DEAAC48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12</w:t>
            </w:r>
          </w:p>
        </w:tc>
        <w:tc>
          <w:tcPr>
            <w:tcW w:w="777" w:type="dxa"/>
            <w:vAlign w:val="center"/>
          </w:tcPr>
          <w:p w14:paraId="1EE01A4E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22</w:t>
            </w:r>
          </w:p>
        </w:tc>
        <w:tc>
          <w:tcPr>
            <w:tcW w:w="777" w:type="dxa"/>
            <w:vAlign w:val="center"/>
          </w:tcPr>
          <w:p w14:paraId="165DD524" w14:textId="77777777" w:rsidR="00980539" w:rsidRDefault="00980539" w:rsidP="00E332D0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11</w:t>
            </w:r>
          </w:p>
        </w:tc>
        <w:tc>
          <w:tcPr>
            <w:tcW w:w="777" w:type="dxa"/>
            <w:vAlign w:val="center"/>
          </w:tcPr>
          <w:p w14:paraId="28C67F66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23</w:t>
            </w:r>
          </w:p>
        </w:tc>
        <w:tc>
          <w:tcPr>
            <w:tcW w:w="782" w:type="dxa"/>
            <w:vAlign w:val="center"/>
          </w:tcPr>
          <w:p w14:paraId="6212442B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24</w:t>
            </w:r>
          </w:p>
        </w:tc>
        <w:tc>
          <w:tcPr>
            <w:tcW w:w="1038" w:type="dxa"/>
            <w:vAlign w:val="center"/>
          </w:tcPr>
          <w:p w14:paraId="71CE16D6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92</w:t>
            </w:r>
          </w:p>
        </w:tc>
      </w:tr>
      <w:tr w:rsidR="00980539" w14:paraId="1BD555A0" w14:textId="77777777" w:rsidTr="00E332D0">
        <w:trPr>
          <w:trHeight w:val="398"/>
          <w:jc w:val="center"/>
        </w:trPr>
        <w:tc>
          <w:tcPr>
            <w:tcW w:w="3471" w:type="dxa"/>
          </w:tcPr>
          <w:p w14:paraId="13074C6A" w14:textId="77777777" w:rsidR="00980539" w:rsidRPr="00C3010F" w:rsidRDefault="00980539" w:rsidP="00E051CD">
            <w:pPr>
              <w:pStyle w:val="HTMLPreformatted"/>
              <w:shd w:val="clear" w:color="auto" w:fill="FFFFFF"/>
              <w:rPr>
                <w:rFonts w:ascii="Calibri" w:hAnsi="Calibri"/>
                <w:sz w:val="18"/>
                <w:szCs w:val="18"/>
              </w:rPr>
            </w:pPr>
            <w:r w:rsidRPr="00C3010F">
              <w:rPr>
                <w:rFonts w:ascii="Calibri" w:hAnsi="Calibri"/>
                <w:sz w:val="18"/>
                <w:szCs w:val="18"/>
              </w:rPr>
              <w:t>Institut za savremenu tehnologiju</w:t>
            </w:r>
          </w:p>
        </w:tc>
        <w:tc>
          <w:tcPr>
            <w:tcW w:w="777" w:type="dxa"/>
            <w:vAlign w:val="center"/>
          </w:tcPr>
          <w:p w14:paraId="1A0B282C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14:paraId="3910D329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14:paraId="5581A80E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14:paraId="6A190AF5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 w14:paraId="5DC64C18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1038" w:type="dxa"/>
            <w:vAlign w:val="center"/>
          </w:tcPr>
          <w:p w14:paraId="1B620E8F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2</w:t>
            </w:r>
          </w:p>
        </w:tc>
      </w:tr>
      <w:tr w:rsidR="00980539" w14:paraId="164FC265" w14:textId="77777777" w:rsidTr="00E332D0">
        <w:trPr>
          <w:trHeight w:val="409"/>
          <w:jc w:val="center"/>
        </w:trPr>
        <w:tc>
          <w:tcPr>
            <w:tcW w:w="3471" w:type="dxa"/>
          </w:tcPr>
          <w:p w14:paraId="62428E26" w14:textId="77777777" w:rsidR="00980539" w:rsidRPr="00923467" w:rsidRDefault="00980539" w:rsidP="00E051CD">
            <w:pPr>
              <w:pStyle w:val="HTMLPreformatted"/>
              <w:shd w:val="clear" w:color="auto" w:fill="FFFFFF"/>
              <w:rPr>
                <w:rFonts w:ascii="Calibri" w:hAnsi="Calibri"/>
                <w:sz w:val="18"/>
                <w:szCs w:val="18"/>
                <w:lang w:val="it-IT"/>
              </w:rPr>
            </w:pPr>
            <w:r w:rsidRPr="00923467">
              <w:rPr>
                <w:rFonts w:ascii="Calibri" w:hAnsi="Calibri"/>
                <w:sz w:val="18"/>
                <w:szCs w:val="18"/>
                <w:lang w:val="it-IT"/>
              </w:rPr>
              <w:t>Agencija za medicinu i medicinska sredstva</w:t>
            </w:r>
          </w:p>
        </w:tc>
        <w:tc>
          <w:tcPr>
            <w:tcW w:w="777" w:type="dxa"/>
            <w:vAlign w:val="center"/>
          </w:tcPr>
          <w:p w14:paraId="2E543C65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14:paraId="709DBA71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777" w:type="dxa"/>
            <w:vAlign w:val="center"/>
          </w:tcPr>
          <w:p w14:paraId="6E067364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777" w:type="dxa"/>
            <w:vAlign w:val="center"/>
          </w:tcPr>
          <w:p w14:paraId="0885A437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 w14:paraId="09F98037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1038" w:type="dxa"/>
            <w:vAlign w:val="center"/>
          </w:tcPr>
          <w:p w14:paraId="43B8743B" w14:textId="77777777" w:rsidR="00980539" w:rsidRDefault="00980539" w:rsidP="00E051CD">
            <w:pPr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</w:rPr>
              <w:t>4</w:t>
            </w:r>
          </w:p>
        </w:tc>
      </w:tr>
    </w:tbl>
    <w:p w14:paraId="3777672B" w14:textId="33D4A728" w:rsidR="005057E7" w:rsidRDefault="00CD0F43" w:rsidP="005057E7">
      <w:pPr>
        <w:jc w:val="both"/>
        <w:rPr>
          <w:rFonts w:asciiTheme="minorHAnsi" w:eastAsia="Times New Roman" w:hAnsiTheme="minorHAnsi"/>
          <w:noProof/>
          <w:lang w:eastAsia="en-GB"/>
        </w:rPr>
      </w:pPr>
      <w:r w:rsidRPr="00593418">
        <w:rPr>
          <w:rFonts w:asciiTheme="minorHAnsi" w:eastAsia="Times New Roman" w:hAnsiTheme="minorHAnsi"/>
          <w:noProof/>
          <w:lang w:eastAsia="en-GB"/>
        </w:rPr>
        <w:t>Dv</w:t>
      </w:r>
      <w:r w:rsidR="00E536D1" w:rsidRPr="00593418">
        <w:rPr>
          <w:rFonts w:asciiTheme="minorHAnsi" w:eastAsia="Times New Roman" w:hAnsiTheme="minorHAnsi"/>
          <w:noProof/>
          <w:lang w:eastAsia="en-GB"/>
        </w:rPr>
        <w:t>ije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najproduktivnije organizacije su Klinički centar Crne Gore i Institut za javno zdravlje, sa dominantnom produktivnošću u medicini i oblastima biohemije, genetike i molekularne biologije.</w:t>
      </w:r>
    </w:p>
    <w:p w14:paraId="4EA1E4D5" w14:textId="0ADB3A05" w:rsidR="00FD39C0" w:rsidRPr="00593418" w:rsidRDefault="005057E7" w:rsidP="005057E7">
      <w:pPr>
        <w:suppressAutoHyphens w:val="0"/>
        <w:spacing w:after="0" w:line="240" w:lineRule="auto"/>
        <w:rPr>
          <w:rFonts w:asciiTheme="minorHAnsi" w:eastAsia="Times New Roman" w:hAnsiTheme="minorHAnsi"/>
          <w:noProof/>
          <w:lang w:eastAsia="en-GB"/>
        </w:rPr>
      </w:pPr>
      <w:r>
        <w:rPr>
          <w:rFonts w:asciiTheme="minorHAnsi" w:eastAsia="Times New Roman" w:hAnsiTheme="minorHAnsi"/>
          <w:noProof/>
          <w:lang w:eastAsia="en-GB"/>
        </w:rPr>
        <w:br w:type="page"/>
      </w:r>
    </w:p>
    <w:p w14:paraId="738E0DF5" w14:textId="6887BCE8" w:rsidR="00CF7130" w:rsidRPr="00FD39C0" w:rsidRDefault="00F203C3" w:rsidP="00A327C7">
      <w:pPr>
        <w:pStyle w:val="Heading2"/>
      </w:pPr>
      <w:bookmarkStart w:id="25" w:name="_Toc529890088"/>
      <w:bookmarkStart w:id="26" w:name="_Toc530143283"/>
      <w:r w:rsidRPr="00FD39C0">
        <w:lastRenderedPageBreak/>
        <w:t>I</w:t>
      </w:r>
      <w:r w:rsidR="00253B54" w:rsidRPr="00FD39C0">
        <w:t>V</w:t>
      </w:r>
      <w:r w:rsidR="008B71BA" w:rsidRPr="00FD39C0">
        <w:t xml:space="preserve"> 3. ANALIZA INOVACIONOG POTENCIJALA</w:t>
      </w:r>
      <w:bookmarkEnd w:id="25"/>
      <w:bookmarkEnd w:id="26"/>
    </w:p>
    <w:p w14:paraId="2BBA741B" w14:textId="77777777" w:rsidR="001703A9" w:rsidRPr="00593418" w:rsidRDefault="001703A9" w:rsidP="001703A9">
      <w:pPr>
        <w:rPr>
          <w:lang w:eastAsia="en-GB"/>
        </w:rPr>
      </w:pPr>
    </w:p>
    <w:p w14:paraId="520D21C7" w14:textId="38437BD3" w:rsidR="009E6794" w:rsidRPr="00593418" w:rsidRDefault="009E6794" w:rsidP="00264838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>Istraživanje i razvoj (IR) predstavlja</w:t>
      </w:r>
      <w:r w:rsidR="00DB3DD7">
        <w:rPr>
          <w:rFonts w:asciiTheme="minorHAnsi" w:hAnsiTheme="minorHAnsi"/>
        </w:rPr>
        <w:t>ju</w:t>
      </w:r>
      <w:r w:rsidRPr="00593418">
        <w:rPr>
          <w:rFonts w:asciiTheme="minorHAnsi" w:hAnsiTheme="minorHAnsi"/>
        </w:rPr>
        <w:t xml:space="preserve"> značajnu </w:t>
      </w:r>
      <w:r w:rsidR="00DB3DD7" w:rsidRPr="00593418">
        <w:rPr>
          <w:rFonts w:asciiTheme="minorHAnsi" w:hAnsiTheme="minorHAnsi"/>
        </w:rPr>
        <w:t>komponent</w:t>
      </w:r>
      <w:r w:rsidR="00DB3DD7">
        <w:rPr>
          <w:rFonts w:asciiTheme="minorHAnsi" w:hAnsiTheme="minorHAnsi"/>
        </w:rPr>
        <w:t>u</w:t>
      </w:r>
      <w:r w:rsidR="00DB3DD7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>inovacija i ključni faktor u razvoju novih konk</w:t>
      </w:r>
      <w:r w:rsidR="00E536D1" w:rsidRPr="00593418">
        <w:rPr>
          <w:rFonts w:asciiTheme="minorHAnsi" w:hAnsiTheme="minorHAnsi"/>
        </w:rPr>
        <w:t>urentskih prednosti. Preduzeća</w:t>
      </w:r>
      <w:r w:rsidRPr="00593418">
        <w:rPr>
          <w:rFonts w:asciiTheme="minorHAnsi" w:hAnsiTheme="minorHAnsi"/>
        </w:rPr>
        <w:t xml:space="preserve"> koja že</w:t>
      </w:r>
      <w:r w:rsidR="00E536D1" w:rsidRPr="00593418">
        <w:rPr>
          <w:rFonts w:asciiTheme="minorHAnsi" w:hAnsiTheme="minorHAnsi"/>
        </w:rPr>
        <w:t>le da održe svoju konkurentnost</w:t>
      </w:r>
      <w:r w:rsidRPr="00593418">
        <w:rPr>
          <w:rFonts w:asciiTheme="minorHAnsi" w:hAnsiTheme="minorHAnsi"/>
        </w:rPr>
        <w:t xml:space="preserve"> moraju da ulažu u istraživanje i razvoj, razvijanjem novih tehnologij</w:t>
      </w:r>
      <w:r w:rsidR="00E536D1" w:rsidRPr="00593418">
        <w:rPr>
          <w:rFonts w:asciiTheme="minorHAnsi" w:hAnsiTheme="minorHAnsi"/>
        </w:rPr>
        <w:t>a</w:t>
      </w:r>
      <w:r w:rsidRPr="00593418">
        <w:rPr>
          <w:rFonts w:asciiTheme="minorHAnsi" w:hAnsiTheme="minorHAnsi"/>
        </w:rPr>
        <w:t xml:space="preserve"> ili apsorbovanje</w:t>
      </w:r>
      <w:r w:rsidR="00E536D1" w:rsidRPr="00593418">
        <w:rPr>
          <w:rFonts w:asciiTheme="minorHAnsi" w:hAnsiTheme="minorHAnsi"/>
        </w:rPr>
        <w:t>m postojećih, kako iz domaćih</w:t>
      </w:r>
      <w:r w:rsidRPr="00593418">
        <w:rPr>
          <w:rFonts w:asciiTheme="minorHAnsi" w:hAnsiTheme="minorHAnsi"/>
        </w:rPr>
        <w:t xml:space="preserve"> tako i iz međunarodnih izvora. </w:t>
      </w:r>
    </w:p>
    <w:p w14:paraId="2B04EC47" w14:textId="0E6C7679" w:rsidR="001703A9" w:rsidRPr="00593418" w:rsidRDefault="001703A9" w:rsidP="00264838">
      <w:pPr>
        <w:spacing w:after="120" w:line="240" w:lineRule="auto"/>
        <w:jc w:val="both"/>
        <w:rPr>
          <w:rFonts w:asciiTheme="minorHAnsi" w:eastAsia="Times New Roman" w:hAnsiTheme="minorHAnsi"/>
          <w:noProof/>
          <w:lang w:eastAsia="en-GB"/>
        </w:rPr>
      </w:pPr>
      <w:r w:rsidRPr="00593418">
        <w:rPr>
          <w:rFonts w:asciiTheme="minorHAnsi" w:eastAsia="Times New Roman" w:hAnsiTheme="minorHAnsi"/>
          <w:noProof/>
          <w:lang w:eastAsia="en-GB"/>
        </w:rPr>
        <w:t>Crna Gora je 2016. godine</w:t>
      </w:r>
      <w:r w:rsidR="00752BE3">
        <w:rPr>
          <w:rFonts w:asciiTheme="minorHAnsi" w:eastAsia="Times New Roman" w:hAnsiTheme="minorHAnsi"/>
          <w:noProof/>
          <w:lang w:eastAsia="en-GB"/>
        </w:rPr>
        <w:t>,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sistemski usmjerila svoje napore </w:t>
      </w:r>
      <w:r w:rsidR="00E536D1" w:rsidRPr="00593418">
        <w:rPr>
          <w:rFonts w:asciiTheme="minorHAnsi" w:eastAsia="Times New Roman" w:hAnsiTheme="minorHAnsi"/>
          <w:noProof/>
          <w:lang w:eastAsia="en-GB"/>
        </w:rPr>
        <w:t>k</w:t>
      </w:r>
      <w:r w:rsidRPr="00593418">
        <w:rPr>
          <w:rFonts w:asciiTheme="minorHAnsi" w:eastAsia="Times New Roman" w:hAnsiTheme="minorHAnsi"/>
          <w:noProof/>
          <w:lang w:eastAsia="en-GB"/>
        </w:rPr>
        <w:t>a kreiranju i oblikovanju održivog i efikasnog inovacionog ekosistema</w:t>
      </w:r>
      <w:r w:rsidR="00CD0F43" w:rsidRPr="00593418">
        <w:rPr>
          <w:rFonts w:asciiTheme="minorHAnsi" w:eastAsia="Times New Roman" w:hAnsiTheme="minorHAnsi"/>
          <w:noProof/>
          <w:lang w:eastAsia="en-GB"/>
        </w:rPr>
        <w:t xml:space="preserve"> k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roz usvajanje Zakona o inovativnoj djelatnosti i Strategije inovativne djelatnosti (2016-2020) sa Akcionim planom. </w:t>
      </w:r>
    </w:p>
    <w:p w14:paraId="76E929AB" w14:textId="0FB24D62" w:rsidR="001703A9" w:rsidRDefault="001703A9" w:rsidP="00264838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Strateškim </w:t>
      </w:r>
      <w:r w:rsidR="00623B93">
        <w:rPr>
          <w:rFonts w:asciiTheme="minorHAnsi" w:hAnsiTheme="minorHAnsi"/>
        </w:rPr>
        <w:t xml:space="preserve">i  </w:t>
      </w:r>
      <w:r w:rsidR="00CD28AD" w:rsidRPr="00593418">
        <w:rPr>
          <w:rFonts w:asciiTheme="minorHAnsi" w:hAnsiTheme="minorHAnsi"/>
        </w:rPr>
        <w:t xml:space="preserve">pravnim </w:t>
      </w:r>
      <w:r w:rsidRPr="00593418">
        <w:rPr>
          <w:rFonts w:asciiTheme="minorHAnsi" w:hAnsiTheme="minorHAnsi"/>
        </w:rPr>
        <w:t xml:space="preserve">okvirom utvrđeni su ciljevi i prioriteti inovativne djelatnosti za period 2016-2020. </w:t>
      </w:r>
      <w:r w:rsidR="000A19A8">
        <w:rPr>
          <w:rFonts w:asciiTheme="minorHAnsi" w:hAnsiTheme="minorHAnsi"/>
        </w:rPr>
        <w:t xml:space="preserve">godine. </w:t>
      </w:r>
      <w:r w:rsidRPr="00593418">
        <w:rPr>
          <w:rFonts w:asciiTheme="minorHAnsi" w:hAnsiTheme="minorHAnsi"/>
        </w:rPr>
        <w:t xml:space="preserve">Fokus je </w:t>
      </w:r>
      <w:r w:rsidR="005952AE" w:rsidRPr="00593418">
        <w:rPr>
          <w:rFonts w:asciiTheme="minorHAnsi" w:hAnsiTheme="minorHAnsi"/>
        </w:rPr>
        <w:t xml:space="preserve">stavljen </w:t>
      </w:r>
      <w:r w:rsidRPr="00593418">
        <w:rPr>
          <w:rFonts w:asciiTheme="minorHAnsi" w:hAnsiTheme="minorHAnsi"/>
        </w:rPr>
        <w:t xml:space="preserve">na tri glavna strateška cilja: </w:t>
      </w:r>
      <w:r w:rsidR="00E536D1" w:rsidRPr="00593418">
        <w:rPr>
          <w:rFonts w:asciiTheme="minorHAnsi" w:hAnsiTheme="minorHAnsi"/>
        </w:rPr>
        <w:t>p</w:t>
      </w:r>
      <w:r w:rsidRPr="00593418">
        <w:rPr>
          <w:rFonts w:asciiTheme="minorHAnsi" w:hAnsiTheme="minorHAnsi"/>
        </w:rPr>
        <w:t>ovećanje kapaciteta za inovacije i tehnološki razvoj Crne Gore (projekti Centra izvrsnosti (CI) i Naučnotehnološkog parka</w:t>
      </w:r>
      <w:r w:rsidR="00E536D1" w:rsidRPr="00593418">
        <w:rPr>
          <w:rFonts w:asciiTheme="minorHAnsi" w:hAnsiTheme="minorHAnsi"/>
        </w:rPr>
        <w:t xml:space="preserve"> (NTP), </w:t>
      </w:r>
      <w:r w:rsidR="000A19A8">
        <w:rPr>
          <w:rFonts w:asciiTheme="minorHAnsi" w:hAnsiTheme="minorHAnsi"/>
        </w:rPr>
        <w:t xml:space="preserve">a </w:t>
      </w:r>
      <w:r w:rsidR="00E536D1" w:rsidRPr="00593418">
        <w:rPr>
          <w:rFonts w:asciiTheme="minorHAnsi" w:hAnsiTheme="minorHAnsi"/>
        </w:rPr>
        <w:t>otvoren je i Inovaciono-</w:t>
      </w:r>
      <w:r w:rsidRPr="00593418">
        <w:rPr>
          <w:rFonts w:asciiTheme="minorHAnsi" w:hAnsiTheme="minorHAnsi"/>
        </w:rPr>
        <w:t>preduzetnički centar „Tehnopolis“</w:t>
      </w:r>
      <w:r w:rsidR="005952AE" w:rsidRPr="00593418">
        <w:rPr>
          <w:rFonts w:asciiTheme="minorHAnsi" w:hAnsiTheme="minorHAnsi"/>
        </w:rPr>
        <w:t>)</w:t>
      </w:r>
      <w:r w:rsidRPr="00593418">
        <w:rPr>
          <w:rFonts w:asciiTheme="minorHAnsi" w:hAnsiTheme="minorHAnsi"/>
        </w:rPr>
        <w:t xml:space="preserve">; </w:t>
      </w:r>
      <w:r w:rsidR="00E536D1" w:rsidRPr="00593418">
        <w:rPr>
          <w:rFonts w:asciiTheme="minorHAnsi" w:hAnsiTheme="minorHAnsi"/>
        </w:rPr>
        <w:t>j</w:t>
      </w:r>
      <w:r w:rsidRPr="00593418">
        <w:rPr>
          <w:rFonts w:asciiTheme="minorHAnsi" w:hAnsiTheme="minorHAnsi"/>
        </w:rPr>
        <w:t>ačanje instrumenata povezivanja i saradnje aktera u sistemu inovacija</w:t>
      </w:r>
      <w:r w:rsidR="00B70C58">
        <w:rPr>
          <w:rFonts w:asciiTheme="minorHAnsi" w:hAnsiTheme="minorHAnsi"/>
        </w:rPr>
        <w:t>;</w:t>
      </w:r>
      <w:r w:rsidR="00CD0F43" w:rsidRPr="00593418">
        <w:rPr>
          <w:rFonts w:asciiTheme="minorHAnsi" w:hAnsiTheme="minorHAnsi"/>
        </w:rPr>
        <w:t xml:space="preserve"> </w:t>
      </w:r>
      <w:r w:rsidRPr="00593418">
        <w:rPr>
          <w:rFonts w:asciiTheme="minorHAnsi" w:hAnsiTheme="minorHAnsi"/>
        </w:rPr>
        <w:t xml:space="preserve">i </w:t>
      </w:r>
      <w:r w:rsidR="00E536D1" w:rsidRPr="00593418">
        <w:rPr>
          <w:rFonts w:asciiTheme="minorHAnsi" w:hAnsiTheme="minorHAnsi"/>
        </w:rPr>
        <w:t>j</w:t>
      </w:r>
      <w:r w:rsidRPr="00593418">
        <w:rPr>
          <w:rFonts w:asciiTheme="minorHAnsi" w:hAnsiTheme="minorHAnsi"/>
        </w:rPr>
        <w:t>ačanje potencijala za inovacije u privrednom sektoru.</w:t>
      </w:r>
    </w:p>
    <w:p w14:paraId="1CAA166E" w14:textId="58BE64CE" w:rsidR="00DB3DD7" w:rsidRDefault="00F76B57" w:rsidP="00F76B57">
      <w:pPr>
        <w:spacing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Ministarstvo nauke je uz podršku Evropske komisije započelo p</w:t>
      </w:r>
      <w:r w:rsidR="00DB3DD7" w:rsidRPr="00DB3DD7">
        <w:rPr>
          <w:rFonts w:asciiTheme="minorHAnsi" w:hAnsiTheme="minorHAnsi"/>
        </w:rPr>
        <w:t>rojek</w:t>
      </w:r>
      <w:r w:rsidR="00DB3DD7">
        <w:rPr>
          <w:rFonts w:asciiTheme="minorHAnsi" w:hAnsiTheme="minorHAnsi"/>
        </w:rPr>
        <w:t>at o uspostavljanju inovacio</w:t>
      </w:r>
      <w:r w:rsidR="00DB3DD7" w:rsidRPr="00DB3DD7">
        <w:rPr>
          <w:rFonts w:asciiTheme="minorHAnsi" w:hAnsiTheme="minorHAnsi"/>
        </w:rPr>
        <w:t>nog ekosistem</w:t>
      </w:r>
      <w:r>
        <w:rPr>
          <w:rFonts w:asciiTheme="minorHAnsi" w:hAnsiTheme="minorHAnsi"/>
        </w:rPr>
        <w:t xml:space="preserve">a s akcentom na startapove, </w:t>
      </w:r>
      <w:r w:rsidR="00DB3DD7" w:rsidRPr="00DB3DD7">
        <w:rPr>
          <w:rFonts w:asciiTheme="minorHAnsi" w:hAnsiTheme="minorHAnsi"/>
        </w:rPr>
        <w:t xml:space="preserve">u junu 2018. </w:t>
      </w:r>
      <w:r w:rsidR="000A19A8">
        <w:rPr>
          <w:rFonts w:asciiTheme="minorHAnsi" w:hAnsiTheme="minorHAnsi"/>
        </w:rPr>
        <w:t xml:space="preserve">godine. </w:t>
      </w:r>
      <w:r w:rsidR="00DB3DD7" w:rsidRPr="00DB3DD7">
        <w:rPr>
          <w:rFonts w:asciiTheme="minorHAnsi" w:hAnsiTheme="minorHAnsi"/>
        </w:rPr>
        <w:t>Ministarstvo nauke je, paralelno, upostavilo Partnerstvo za unapređenje inovacionog ekosistema na nacionalnom nivou i radi na pripremi nacionalnog programa podrške za inovativne startapove, što je predviđeno za kraj</w:t>
      </w:r>
      <w:r w:rsidR="000A19A8">
        <w:rPr>
          <w:rFonts w:asciiTheme="minorHAnsi" w:hAnsiTheme="minorHAnsi"/>
        </w:rPr>
        <w:t>a</w:t>
      </w:r>
      <w:r w:rsidR="00DB3DD7" w:rsidRPr="00DB3DD7">
        <w:rPr>
          <w:rFonts w:asciiTheme="minorHAnsi" w:hAnsiTheme="minorHAnsi"/>
        </w:rPr>
        <w:t xml:space="preserve"> 2018. </w:t>
      </w:r>
      <w:r w:rsidR="0061732D">
        <w:rPr>
          <w:rFonts w:asciiTheme="minorHAnsi" w:hAnsiTheme="minorHAnsi"/>
        </w:rPr>
        <w:t xml:space="preserve">godine. </w:t>
      </w:r>
    </w:p>
    <w:p w14:paraId="7D12F2E1" w14:textId="77777777" w:rsidR="00CD25FF" w:rsidRPr="00E72DDA" w:rsidRDefault="00CD25FF" w:rsidP="00CD25FF">
      <w:pPr>
        <w:jc w:val="both"/>
        <w:rPr>
          <w:rFonts w:asciiTheme="minorHAnsi" w:eastAsia="Times New Roman" w:hAnsiTheme="minorHAnsi"/>
          <w:noProof/>
          <w:lang w:eastAsia="en-GB"/>
        </w:rPr>
      </w:pPr>
      <w:r w:rsidRPr="00E72DDA">
        <w:rPr>
          <w:rFonts w:asciiTheme="minorHAnsi" w:eastAsia="Times New Roman" w:hAnsiTheme="minorHAnsi"/>
          <w:noProof/>
          <w:lang w:eastAsia="en-GB"/>
        </w:rPr>
        <w:t xml:space="preserve">Osim uspostavljanja institucionalnog okvira za razvoj novih tehnologija implementiraju se programi podrške razvoju inovativnosti u privredi i kolaborativni grantovi kojima se podstiče saradnja privrede i nauke u cilju komercijalizacije inovacija, kao i informativna i savjetodavna podrška neophodna za prenos tehnoloških rješenja, znanja i iskustava (EEN mreža). </w:t>
      </w:r>
    </w:p>
    <w:p w14:paraId="4BC74C6F" w14:textId="604913B1" w:rsidR="001703A9" w:rsidRDefault="00FF576A" w:rsidP="00264838">
      <w:pPr>
        <w:spacing w:after="120" w:line="240" w:lineRule="auto"/>
        <w:jc w:val="both"/>
        <w:rPr>
          <w:rFonts w:asciiTheme="minorHAnsi" w:hAnsiTheme="minorHAnsi"/>
          <w:shd w:val="clear" w:color="auto" w:fill="FFFFFF"/>
        </w:rPr>
      </w:pPr>
      <w:r w:rsidRPr="00FF576A">
        <w:rPr>
          <w:rFonts w:asciiTheme="minorHAnsi" w:hAnsiTheme="minorHAnsi"/>
        </w:rPr>
        <w:t xml:space="preserve">Crna Gora je na </w:t>
      </w:r>
      <w:r>
        <w:rPr>
          <w:rFonts w:asciiTheme="minorHAnsi" w:hAnsiTheme="minorHAnsi"/>
        </w:rPr>
        <w:t>l</w:t>
      </w:r>
      <w:r w:rsidRPr="00FF576A">
        <w:rPr>
          <w:rFonts w:asciiTheme="minorHAnsi" w:hAnsiTheme="minorHAnsi"/>
        </w:rPr>
        <w:t xml:space="preserve">isti </w:t>
      </w:r>
      <w:r w:rsidRPr="00923467">
        <w:rPr>
          <w:rFonts w:asciiTheme="minorHAnsi" w:hAnsiTheme="minorHAnsi"/>
          <w:i/>
        </w:rPr>
        <w:t>Globalnog indeksa inovacija</w:t>
      </w:r>
      <w:r w:rsidRPr="00FF576A">
        <w:rPr>
          <w:rFonts w:asciiTheme="minorHAnsi" w:hAnsiTheme="minorHAnsi"/>
        </w:rPr>
        <w:t xml:space="preserve"> (</w:t>
      </w:r>
      <w:r w:rsidR="000A19A8">
        <w:rPr>
          <w:rFonts w:asciiTheme="minorHAnsi" w:eastAsia="Times New Roman" w:hAnsiTheme="minorHAnsi"/>
          <w:noProof/>
          <w:lang w:eastAsia="en-GB"/>
        </w:rPr>
        <w:t xml:space="preserve">Global Innovation Index - </w:t>
      </w:r>
      <w:r w:rsidRPr="00FF576A">
        <w:rPr>
          <w:rFonts w:asciiTheme="minorHAnsi" w:hAnsiTheme="minorHAnsi"/>
        </w:rPr>
        <w:t>GII)</w:t>
      </w:r>
      <w:r w:rsidR="000A19A8">
        <w:rPr>
          <w:rStyle w:val="FootnoteReference"/>
          <w:rFonts w:asciiTheme="minorHAnsi" w:hAnsiTheme="minorHAnsi"/>
        </w:rPr>
        <w:footnoteReference w:id="11"/>
      </w:r>
      <w:r>
        <w:rPr>
          <w:rFonts w:asciiTheme="minorHAnsi" w:hAnsiTheme="minorHAnsi"/>
        </w:rPr>
        <w:t xml:space="preserve"> za 2018. godinu</w:t>
      </w:r>
      <w:r w:rsidRPr="00FF57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zauzela 52</w:t>
      </w:r>
      <w:r w:rsidRPr="00FF576A">
        <w:rPr>
          <w:rFonts w:asciiTheme="minorHAnsi" w:hAnsiTheme="minorHAnsi"/>
        </w:rPr>
        <w:t>. poziciju</w:t>
      </w:r>
      <w:r w:rsidR="000A19A8">
        <w:rPr>
          <w:rFonts w:asciiTheme="minorHAnsi" w:hAnsiTheme="minorHAnsi"/>
        </w:rPr>
        <w:t>,</w:t>
      </w:r>
      <w:r w:rsidRPr="00FF576A">
        <w:rPr>
          <w:rFonts w:asciiTheme="minorHAnsi" w:hAnsiTheme="minorHAnsi"/>
        </w:rPr>
        <w:t xml:space="preserve"> među </w:t>
      </w:r>
      <w:r>
        <w:rPr>
          <w:rFonts w:asciiTheme="minorHAnsi" w:hAnsiTheme="minorHAnsi"/>
        </w:rPr>
        <w:t xml:space="preserve">126 </w:t>
      </w:r>
      <w:r w:rsidRPr="00FF576A">
        <w:rPr>
          <w:rFonts w:asciiTheme="minorHAnsi" w:hAnsiTheme="minorHAnsi"/>
        </w:rPr>
        <w:t>držav</w:t>
      </w:r>
      <w:r>
        <w:rPr>
          <w:rFonts w:asciiTheme="minorHAnsi" w:hAnsiTheme="minorHAnsi"/>
        </w:rPr>
        <w:t>a</w:t>
      </w:r>
      <w:r w:rsidRPr="00FF576A">
        <w:rPr>
          <w:rFonts w:asciiTheme="minorHAnsi" w:hAnsiTheme="minorHAnsi"/>
        </w:rPr>
        <w:t xml:space="preserve"> obuhvaćen</w:t>
      </w:r>
      <w:r w:rsidR="000A19A8">
        <w:rPr>
          <w:rFonts w:asciiTheme="minorHAnsi" w:hAnsiTheme="minorHAnsi"/>
        </w:rPr>
        <w:t>ih</w:t>
      </w:r>
      <w:r w:rsidRPr="00FF576A">
        <w:rPr>
          <w:rFonts w:asciiTheme="minorHAnsi" w:hAnsiTheme="minorHAnsi"/>
        </w:rPr>
        <w:t xml:space="preserve"> istraživanjem.</w:t>
      </w:r>
      <w:r w:rsidR="001703A9" w:rsidRPr="00593418">
        <w:rPr>
          <w:rFonts w:asciiTheme="minorHAnsi" w:hAnsiTheme="minorHAnsi"/>
        </w:rPr>
        <w:t xml:space="preserve"> </w:t>
      </w:r>
      <w:r w:rsidR="000A19A8">
        <w:rPr>
          <w:rFonts w:asciiTheme="minorHAnsi" w:eastAsia="Times New Roman" w:hAnsiTheme="minorHAnsi"/>
          <w:noProof/>
          <w:lang w:eastAsia="en-GB"/>
        </w:rPr>
        <w:t>Prema</w:t>
      </w:r>
      <w:r w:rsidR="001703A9" w:rsidRPr="00593418">
        <w:rPr>
          <w:rFonts w:asciiTheme="minorHAnsi" w:eastAsia="Times New Roman" w:hAnsiTheme="minorHAnsi"/>
          <w:noProof/>
          <w:lang w:eastAsia="en-GB"/>
        </w:rPr>
        <w:t xml:space="preserve"> GII2018 Crna Gora se nalazi među 20 zemalja koje imaju bolje rezultate u inovacijama u poređenju sa nivoom razvoja</w:t>
      </w:r>
      <w:r w:rsidR="00CD28AD" w:rsidRPr="00593418">
        <w:rPr>
          <w:rFonts w:asciiTheme="minorHAnsi" w:eastAsia="Times New Roman" w:hAnsiTheme="minorHAnsi"/>
          <w:noProof/>
          <w:lang w:eastAsia="en-GB"/>
        </w:rPr>
        <w:t xml:space="preserve">. </w:t>
      </w:r>
      <w:r w:rsidR="001703A9" w:rsidRPr="00593418">
        <w:rPr>
          <w:rFonts w:asciiTheme="minorHAnsi" w:hAnsiTheme="minorHAnsi"/>
          <w:shd w:val="clear" w:color="auto" w:fill="FFFFFF"/>
        </w:rPr>
        <w:t xml:space="preserve">Ovi podaci govore o važnosti </w:t>
      </w:r>
      <w:r w:rsidR="007C12FA" w:rsidRPr="00593418">
        <w:rPr>
          <w:rFonts w:asciiTheme="minorHAnsi" w:hAnsiTheme="minorHAnsi"/>
          <w:shd w:val="clear" w:color="auto" w:fill="FFFFFF"/>
        </w:rPr>
        <w:t>inova</w:t>
      </w:r>
      <w:r w:rsidR="007C12FA">
        <w:rPr>
          <w:rFonts w:asciiTheme="minorHAnsi" w:hAnsiTheme="minorHAnsi"/>
          <w:shd w:val="clear" w:color="auto" w:fill="FFFFFF"/>
        </w:rPr>
        <w:t>cionog</w:t>
      </w:r>
      <w:r w:rsidR="007C12FA" w:rsidRPr="00593418">
        <w:rPr>
          <w:rFonts w:asciiTheme="minorHAnsi" w:hAnsiTheme="minorHAnsi"/>
          <w:shd w:val="clear" w:color="auto" w:fill="FFFFFF"/>
        </w:rPr>
        <w:t xml:space="preserve"> </w:t>
      </w:r>
      <w:r w:rsidR="001703A9" w:rsidRPr="00593418">
        <w:rPr>
          <w:rFonts w:asciiTheme="minorHAnsi" w:hAnsiTheme="minorHAnsi"/>
          <w:shd w:val="clear" w:color="auto" w:fill="FFFFFF"/>
        </w:rPr>
        <w:t>potencijala zemlje.</w:t>
      </w:r>
    </w:p>
    <w:p w14:paraId="4E61E4C1" w14:textId="602AE920" w:rsidR="00E72DDA" w:rsidRPr="00E72DDA" w:rsidRDefault="00AC1FE3" w:rsidP="00E72DDA">
      <w:pPr>
        <w:jc w:val="both"/>
        <w:rPr>
          <w:rFonts w:asciiTheme="minorHAnsi" w:eastAsia="Times New Roman" w:hAnsiTheme="minorHAnsi"/>
          <w:noProof/>
          <w:lang w:eastAsia="en-GB"/>
        </w:rPr>
      </w:pPr>
      <w:r w:rsidRPr="00E72DDA">
        <w:rPr>
          <w:rFonts w:asciiTheme="minorHAnsi" w:eastAsia="Times New Roman" w:hAnsiTheme="minorHAnsi"/>
          <w:noProof/>
          <w:lang w:eastAsia="en-GB"/>
        </w:rPr>
        <w:t xml:space="preserve">Crna Gora je na osnovu faktora tehnološke spremnosti u okviru </w:t>
      </w:r>
      <w:r w:rsidR="00215EB0" w:rsidRPr="00923467">
        <w:rPr>
          <w:rFonts w:asciiTheme="minorHAnsi" w:eastAsia="Times New Roman" w:hAnsiTheme="minorHAnsi"/>
          <w:i/>
          <w:noProof/>
          <w:lang w:eastAsia="en-GB"/>
        </w:rPr>
        <w:t>I</w:t>
      </w:r>
      <w:r w:rsidRPr="00923467">
        <w:rPr>
          <w:rFonts w:asciiTheme="minorHAnsi" w:eastAsia="Times New Roman" w:hAnsiTheme="minorHAnsi"/>
          <w:i/>
          <w:noProof/>
          <w:lang w:eastAsia="en-GB"/>
        </w:rPr>
        <w:t xml:space="preserve">ndeksa </w:t>
      </w:r>
      <w:r w:rsidR="00215EB0" w:rsidRPr="00923467">
        <w:rPr>
          <w:rFonts w:asciiTheme="minorHAnsi" w:eastAsia="Times New Roman" w:hAnsiTheme="minorHAnsi"/>
          <w:i/>
          <w:noProof/>
          <w:lang w:eastAsia="en-GB"/>
        </w:rPr>
        <w:t>g</w:t>
      </w:r>
      <w:r w:rsidRPr="00923467">
        <w:rPr>
          <w:rFonts w:asciiTheme="minorHAnsi" w:eastAsia="Times New Roman" w:hAnsiTheme="minorHAnsi"/>
          <w:i/>
          <w:noProof/>
          <w:lang w:eastAsia="en-GB"/>
        </w:rPr>
        <w:t>lobalne konkurentnosti</w:t>
      </w:r>
      <w:r w:rsidRPr="00E72DDA">
        <w:rPr>
          <w:rFonts w:asciiTheme="minorHAnsi" w:eastAsia="Times New Roman" w:hAnsiTheme="minorHAnsi"/>
          <w:noProof/>
          <w:lang w:eastAsia="en-GB"/>
        </w:rPr>
        <w:t xml:space="preserve"> 2017-2018. godine na 48. mjestu, od ukupno 137 zemalja.</w:t>
      </w:r>
      <w:r w:rsidR="00D06336">
        <w:rPr>
          <w:rFonts w:asciiTheme="minorHAnsi" w:eastAsia="Times New Roman" w:hAnsiTheme="minorHAnsi"/>
          <w:noProof/>
          <w:lang w:eastAsia="en-GB"/>
        </w:rPr>
        <w:t xml:space="preserve"> </w:t>
      </w:r>
      <w:r w:rsidR="00E72DDA" w:rsidRPr="00E72DDA">
        <w:rPr>
          <w:rFonts w:asciiTheme="minorHAnsi" w:eastAsia="Times New Roman" w:hAnsiTheme="minorHAnsi"/>
          <w:noProof/>
          <w:lang w:eastAsia="en-GB"/>
        </w:rPr>
        <w:t xml:space="preserve">Ono što karakteriše tehnologiju koja se koristi u industriji u Crnoj Gori jeste njena zastarjelost i tehnološka nerazvijenost, niže faze obrade i odsustvo razvoja </w:t>
      </w:r>
      <w:r w:rsidR="00E332D0">
        <w:rPr>
          <w:rFonts w:asciiTheme="minorHAnsi" w:eastAsia="Times New Roman" w:hAnsiTheme="minorHAnsi"/>
          <w:noProof/>
          <w:lang w:eastAsia="en-GB"/>
        </w:rPr>
        <w:t>visoke tehnologij</w:t>
      </w:r>
      <w:r w:rsidR="00E72DDA" w:rsidRPr="00E72DDA">
        <w:rPr>
          <w:rFonts w:asciiTheme="minorHAnsi" w:eastAsia="Times New Roman" w:hAnsiTheme="minorHAnsi"/>
          <w:noProof/>
          <w:lang w:eastAsia="en-GB"/>
        </w:rPr>
        <w:t>e.</w:t>
      </w:r>
    </w:p>
    <w:p w14:paraId="37194B0D" w14:textId="370B85A9" w:rsidR="003D00E7" w:rsidRDefault="007F2A5C" w:rsidP="0097573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Ukupan broj prijava patenata u Crnoj Gor</w:t>
      </w:r>
      <w:r w:rsidR="003D00E7" w:rsidRPr="00593418">
        <w:rPr>
          <w:rFonts w:asciiTheme="minorHAnsi" w:hAnsiTheme="minorHAnsi" w:cstheme="minorHAnsi"/>
        </w:rPr>
        <w:t>i</w:t>
      </w:r>
      <w:r w:rsidR="007C12FA">
        <w:rPr>
          <w:rFonts w:asciiTheme="minorHAnsi" w:hAnsiTheme="minorHAnsi" w:cstheme="minorHAnsi"/>
        </w:rPr>
        <w:t>,</w:t>
      </w:r>
      <w:r w:rsidR="003D00E7" w:rsidRPr="00593418">
        <w:rPr>
          <w:rFonts w:asciiTheme="minorHAnsi" w:hAnsiTheme="minorHAnsi" w:cstheme="minorHAnsi"/>
        </w:rPr>
        <w:t xml:space="preserve"> </w:t>
      </w:r>
      <w:r w:rsidR="007C12FA">
        <w:rPr>
          <w:rFonts w:asciiTheme="minorHAnsi" w:hAnsiTheme="minorHAnsi" w:cstheme="minorHAnsi"/>
        </w:rPr>
        <w:t xml:space="preserve">u periodu </w:t>
      </w:r>
      <w:r w:rsidR="003D00E7" w:rsidRPr="00593418">
        <w:rPr>
          <w:rFonts w:asciiTheme="minorHAnsi" w:hAnsiTheme="minorHAnsi" w:cstheme="minorHAnsi"/>
        </w:rPr>
        <w:t>od 2008. do 201</w:t>
      </w:r>
      <w:r w:rsidR="009F534B">
        <w:rPr>
          <w:rFonts w:asciiTheme="minorHAnsi" w:hAnsiTheme="minorHAnsi" w:cstheme="minorHAnsi"/>
        </w:rPr>
        <w:t>8</w:t>
      </w:r>
      <w:r w:rsidRPr="00593418">
        <w:rPr>
          <w:rFonts w:asciiTheme="minorHAnsi" w:hAnsiTheme="minorHAnsi" w:cstheme="minorHAnsi"/>
        </w:rPr>
        <w:t>. godine</w:t>
      </w:r>
      <w:r w:rsidR="007C12FA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</w:t>
      </w:r>
      <w:r w:rsidR="003D00E7" w:rsidRPr="00593418">
        <w:rPr>
          <w:rFonts w:asciiTheme="minorHAnsi" w:hAnsiTheme="minorHAnsi" w:cstheme="minorHAnsi"/>
        </w:rPr>
        <w:t xml:space="preserve">dat </w:t>
      </w:r>
      <w:r w:rsidR="007C12FA">
        <w:rPr>
          <w:rFonts w:asciiTheme="minorHAnsi" w:hAnsiTheme="minorHAnsi" w:cstheme="minorHAnsi"/>
        </w:rPr>
        <w:t xml:space="preserve">je </w:t>
      </w:r>
      <w:r w:rsidR="003D00E7" w:rsidRPr="00593418">
        <w:rPr>
          <w:rFonts w:asciiTheme="minorHAnsi" w:hAnsiTheme="minorHAnsi" w:cstheme="minorHAnsi"/>
        </w:rPr>
        <w:t xml:space="preserve">u narednom </w:t>
      </w:r>
      <w:r w:rsidR="00E536D1" w:rsidRPr="00593418">
        <w:rPr>
          <w:rFonts w:asciiTheme="minorHAnsi" w:hAnsiTheme="minorHAnsi" w:cstheme="minorHAnsi"/>
        </w:rPr>
        <w:t>t</w:t>
      </w:r>
      <w:r w:rsidR="003D00E7" w:rsidRPr="00593418">
        <w:rPr>
          <w:rFonts w:asciiTheme="minorHAnsi" w:hAnsiTheme="minorHAnsi" w:cstheme="minorHAnsi"/>
        </w:rPr>
        <w:t xml:space="preserve">abelarnom prikazu, shodno Međunarodnoj </w:t>
      </w:r>
      <w:r w:rsidR="00E536D1" w:rsidRPr="00593418">
        <w:rPr>
          <w:rFonts w:asciiTheme="minorHAnsi" w:hAnsiTheme="minorHAnsi" w:cstheme="minorHAnsi"/>
        </w:rPr>
        <w:t>k</w:t>
      </w:r>
      <w:r w:rsidR="003D00E7" w:rsidRPr="00593418">
        <w:rPr>
          <w:rFonts w:asciiTheme="minorHAnsi" w:hAnsiTheme="minorHAnsi" w:cstheme="minorHAnsi"/>
        </w:rPr>
        <w:t xml:space="preserve">lasifikaciji </w:t>
      </w:r>
      <w:r w:rsidR="00E536D1" w:rsidRPr="00593418">
        <w:rPr>
          <w:rFonts w:asciiTheme="minorHAnsi" w:hAnsiTheme="minorHAnsi" w:cstheme="minorHAnsi"/>
        </w:rPr>
        <w:t>p</w:t>
      </w:r>
      <w:r w:rsidR="003D00E7" w:rsidRPr="00593418">
        <w:rPr>
          <w:rFonts w:asciiTheme="minorHAnsi" w:hAnsiTheme="minorHAnsi" w:cstheme="minorHAnsi"/>
        </w:rPr>
        <w:t>atenata</w:t>
      </w:r>
      <w:r w:rsidR="006C6109">
        <w:rPr>
          <w:rStyle w:val="FootnoteReference"/>
          <w:rFonts w:asciiTheme="minorHAnsi" w:hAnsiTheme="minorHAnsi" w:cstheme="minorHAnsi"/>
        </w:rPr>
        <w:footnoteReference w:id="12"/>
      </w:r>
      <w:r w:rsidR="003D00E7" w:rsidRPr="00593418">
        <w:rPr>
          <w:rFonts w:asciiTheme="minorHAnsi" w:hAnsiTheme="minorHAnsi" w:cstheme="minorHAnsi"/>
        </w:rPr>
        <w:t xml:space="preserve">. </w:t>
      </w:r>
      <w:r w:rsidR="004920B7">
        <w:rPr>
          <w:rFonts w:asciiTheme="minorHAnsi" w:hAnsiTheme="minorHAnsi" w:cstheme="minorHAnsi"/>
        </w:rPr>
        <w:t>U T</w:t>
      </w:r>
      <w:r w:rsidR="003D00E7" w:rsidRPr="00593418">
        <w:rPr>
          <w:rFonts w:asciiTheme="minorHAnsi" w:hAnsiTheme="minorHAnsi" w:cstheme="minorHAnsi"/>
        </w:rPr>
        <w:t xml:space="preserve">abeli </w:t>
      </w:r>
      <w:r w:rsidR="004920B7">
        <w:rPr>
          <w:rFonts w:asciiTheme="minorHAnsi" w:hAnsiTheme="minorHAnsi" w:cstheme="minorHAnsi"/>
        </w:rPr>
        <w:t>5</w:t>
      </w:r>
      <w:r w:rsidR="00D66F9B">
        <w:rPr>
          <w:rFonts w:asciiTheme="minorHAnsi" w:hAnsiTheme="minorHAnsi" w:cstheme="minorHAnsi"/>
        </w:rPr>
        <w:t>.</w:t>
      </w:r>
      <w:r w:rsidR="00AF548C">
        <w:rPr>
          <w:rFonts w:asciiTheme="minorHAnsi" w:hAnsiTheme="minorHAnsi" w:cstheme="minorHAnsi"/>
        </w:rPr>
        <w:t xml:space="preserve"> </w:t>
      </w:r>
      <w:r w:rsidR="003D00E7" w:rsidRPr="00593418">
        <w:rPr>
          <w:rFonts w:asciiTheme="minorHAnsi" w:hAnsiTheme="minorHAnsi" w:cstheme="minorHAnsi"/>
        </w:rPr>
        <w:t xml:space="preserve">dat je pregled ukupno podnesenih </w:t>
      </w:r>
      <w:r w:rsidR="00975732">
        <w:rPr>
          <w:rFonts w:asciiTheme="minorHAnsi" w:hAnsiTheme="minorHAnsi" w:cstheme="minorHAnsi"/>
        </w:rPr>
        <w:t xml:space="preserve">99 </w:t>
      </w:r>
      <w:r w:rsidR="003D00E7" w:rsidRPr="00593418">
        <w:rPr>
          <w:rFonts w:asciiTheme="minorHAnsi" w:hAnsiTheme="minorHAnsi" w:cstheme="minorHAnsi"/>
        </w:rPr>
        <w:t>nacionalnih patenata</w:t>
      </w:r>
      <w:r w:rsidR="00E536D1" w:rsidRPr="00593418">
        <w:rPr>
          <w:rFonts w:asciiTheme="minorHAnsi" w:hAnsiTheme="minorHAnsi" w:cstheme="minorHAnsi"/>
        </w:rPr>
        <w:t>,</w:t>
      </w:r>
      <w:r w:rsidR="003D00E7" w:rsidRPr="00593418">
        <w:rPr>
          <w:rFonts w:asciiTheme="minorHAnsi" w:hAnsiTheme="minorHAnsi" w:cstheme="minorHAnsi"/>
        </w:rPr>
        <w:t xml:space="preserve"> sa strukturom oblasti na koje se odnose.</w:t>
      </w:r>
    </w:p>
    <w:p w14:paraId="0370AB67" w14:textId="1C336CC4" w:rsidR="005057E7" w:rsidRDefault="005057E7">
      <w:pPr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BE04E9A" w14:textId="77777777" w:rsidR="00464720" w:rsidRPr="00593418" w:rsidRDefault="00464720" w:rsidP="00975732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7A190C7" w14:textId="0E27E884" w:rsidR="007F2A5C" w:rsidRDefault="004920B7" w:rsidP="008808D0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t>Tabela 5</w:t>
      </w:r>
      <w:r w:rsidR="003D00E7" w:rsidRPr="00593418">
        <w:rPr>
          <w:rFonts w:asciiTheme="minorHAnsi" w:hAnsiTheme="minorHAnsi" w:cstheme="minorHAnsi"/>
          <w:b/>
          <w:noProof/>
          <w:sz w:val="20"/>
          <w:szCs w:val="20"/>
        </w:rPr>
        <w:t xml:space="preserve">. </w:t>
      </w:r>
      <w:r w:rsidR="007F2A5C" w:rsidRPr="00593418">
        <w:rPr>
          <w:rFonts w:asciiTheme="minorHAnsi" w:hAnsiTheme="minorHAnsi" w:cstheme="minorHAnsi"/>
          <w:b/>
          <w:noProof/>
          <w:sz w:val="20"/>
          <w:szCs w:val="20"/>
        </w:rPr>
        <w:t>M</w:t>
      </w:r>
      <w:r w:rsidR="003D00E7" w:rsidRPr="00593418">
        <w:rPr>
          <w:rFonts w:asciiTheme="minorHAnsi" w:hAnsiTheme="minorHAnsi" w:cstheme="minorHAnsi"/>
          <w:b/>
          <w:noProof/>
          <w:sz w:val="20"/>
          <w:szCs w:val="20"/>
        </w:rPr>
        <w:t xml:space="preserve">eđunarodna </w:t>
      </w:r>
      <w:r w:rsidR="00E536D1" w:rsidRPr="00593418">
        <w:rPr>
          <w:rFonts w:asciiTheme="minorHAnsi" w:hAnsiTheme="minorHAnsi" w:cstheme="minorHAnsi"/>
          <w:b/>
          <w:noProof/>
          <w:sz w:val="20"/>
          <w:szCs w:val="20"/>
        </w:rPr>
        <w:t>k</w:t>
      </w:r>
      <w:r w:rsidR="003D00E7" w:rsidRPr="00593418">
        <w:rPr>
          <w:rFonts w:asciiTheme="minorHAnsi" w:hAnsiTheme="minorHAnsi" w:cstheme="minorHAnsi"/>
          <w:b/>
          <w:noProof/>
          <w:sz w:val="20"/>
          <w:szCs w:val="20"/>
        </w:rPr>
        <w:t xml:space="preserve">lasifikcija </w:t>
      </w:r>
      <w:r w:rsidR="00E536D1" w:rsidRPr="00593418">
        <w:rPr>
          <w:rFonts w:asciiTheme="minorHAnsi" w:hAnsiTheme="minorHAnsi" w:cstheme="minorHAnsi"/>
          <w:b/>
          <w:noProof/>
          <w:sz w:val="20"/>
          <w:szCs w:val="20"/>
        </w:rPr>
        <w:t>p</w:t>
      </w:r>
      <w:r w:rsidR="003D00E7" w:rsidRPr="00593418">
        <w:rPr>
          <w:rFonts w:asciiTheme="minorHAnsi" w:hAnsiTheme="minorHAnsi" w:cstheme="minorHAnsi"/>
          <w:b/>
          <w:noProof/>
          <w:sz w:val="20"/>
          <w:szCs w:val="20"/>
        </w:rPr>
        <w:t>atenata</w:t>
      </w:r>
      <w:r w:rsidR="00E536D1" w:rsidRPr="00593418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="007F2A5C" w:rsidRPr="00593418">
        <w:rPr>
          <w:rFonts w:asciiTheme="minorHAnsi" w:hAnsiTheme="minorHAnsi" w:cstheme="minorHAnsi"/>
          <w:b/>
          <w:noProof/>
          <w:sz w:val="20"/>
          <w:szCs w:val="20"/>
        </w:rPr>
        <w:t>-</w:t>
      </w:r>
      <w:r w:rsidR="00E536D1" w:rsidRPr="00593418">
        <w:rPr>
          <w:rFonts w:asciiTheme="minorHAnsi" w:hAnsiTheme="minorHAnsi" w:cstheme="minorHAnsi"/>
          <w:b/>
          <w:noProof/>
          <w:sz w:val="20"/>
          <w:szCs w:val="20"/>
        </w:rPr>
        <w:t xml:space="preserve"> n</w:t>
      </w:r>
      <w:r w:rsidR="007F2A5C" w:rsidRPr="00593418">
        <w:rPr>
          <w:rFonts w:asciiTheme="minorHAnsi" w:hAnsiTheme="minorHAnsi" w:cstheme="minorHAnsi"/>
          <w:b/>
          <w:noProof/>
          <w:sz w:val="20"/>
          <w:szCs w:val="20"/>
        </w:rPr>
        <w:t xml:space="preserve">acionalni </w:t>
      </w:r>
      <w:r w:rsidR="00E536D1" w:rsidRPr="00593418">
        <w:rPr>
          <w:rFonts w:asciiTheme="minorHAnsi" w:hAnsiTheme="minorHAnsi" w:cstheme="minorHAnsi"/>
          <w:b/>
          <w:noProof/>
          <w:sz w:val="20"/>
          <w:szCs w:val="20"/>
        </w:rPr>
        <w:t>p</w:t>
      </w:r>
      <w:r w:rsidR="00975732">
        <w:rPr>
          <w:rFonts w:asciiTheme="minorHAnsi" w:hAnsiTheme="minorHAnsi" w:cstheme="minorHAnsi"/>
          <w:b/>
          <w:noProof/>
          <w:sz w:val="20"/>
          <w:szCs w:val="20"/>
        </w:rPr>
        <w:t>atenti (2008-2018</w:t>
      </w:r>
      <w:r w:rsidR="007F2A5C" w:rsidRPr="00593418">
        <w:rPr>
          <w:rFonts w:asciiTheme="minorHAnsi" w:hAnsiTheme="minorHAnsi" w:cstheme="minorHAnsi"/>
          <w:b/>
          <w:noProof/>
          <w:sz w:val="20"/>
          <w:szCs w:val="20"/>
        </w:rPr>
        <w:t>)</w:t>
      </w:r>
    </w:p>
    <w:p w14:paraId="02B522F5" w14:textId="77777777" w:rsidR="00975732" w:rsidRDefault="00975732" w:rsidP="003D00E7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559"/>
        <w:gridCol w:w="1417"/>
      </w:tblGrid>
      <w:tr w:rsidR="00975732" w:rsidRPr="00975732" w14:paraId="0074EFC7" w14:textId="77777777" w:rsidTr="008808D0">
        <w:trPr>
          <w:trHeight w:val="373"/>
          <w:jc w:val="center"/>
        </w:trPr>
        <w:tc>
          <w:tcPr>
            <w:tcW w:w="5070" w:type="dxa"/>
          </w:tcPr>
          <w:p w14:paraId="71239588" w14:textId="77777777" w:rsidR="00975732" w:rsidRPr="00975732" w:rsidRDefault="00975732" w:rsidP="00D728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5732">
              <w:rPr>
                <w:b/>
                <w:sz w:val="20"/>
                <w:szCs w:val="20"/>
                <w:lang w:val="sr-Latn-CS"/>
              </w:rPr>
              <w:t xml:space="preserve">Klasifikacija </w:t>
            </w:r>
          </w:p>
        </w:tc>
        <w:tc>
          <w:tcPr>
            <w:tcW w:w="1559" w:type="dxa"/>
          </w:tcPr>
          <w:p w14:paraId="7D2C83A7" w14:textId="77777777" w:rsidR="00975732" w:rsidRPr="00975732" w:rsidRDefault="00975732" w:rsidP="00D728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5732">
              <w:rPr>
                <w:b/>
                <w:sz w:val="20"/>
                <w:szCs w:val="20"/>
                <w:lang w:val="sr-Latn-CS"/>
              </w:rPr>
              <w:t>Broj predmeta</w:t>
            </w:r>
          </w:p>
        </w:tc>
        <w:tc>
          <w:tcPr>
            <w:tcW w:w="1417" w:type="dxa"/>
          </w:tcPr>
          <w:p w14:paraId="2FC3AA9C" w14:textId="77777777" w:rsidR="00975732" w:rsidRPr="00975732" w:rsidRDefault="00975732" w:rsidP="00D728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5732">
              <w:rPr>
                <w:b/>
                <w:sz w:val="20"/>
                <w:szCs w:val="20"/>
                <w:lang w:val="sr-Latn-CS"/>
              </w:rPr>
              <w:t>%</w:t>
            </w:r>
          </w:p>
        </w:tc>
      </w:tr>
      <w:tr w:rsidR="00975732" w:rsidRPr="00975732" w14:paraId="4639621B" w14:textId="77777777" w:rsidTr="008808D0">
        <w:trPr>
          <w:trHeight w:val="366"/>
          <w:jc w:val="center"/>
        </w:trPr>
        <w:tc>
          <w:tcPr>
            <w:tcW w:w="5070" w:type="dxa"/>
          </w:tcPr>
          <w:p w14:paraId="211F5540" w14:textId="77777777" w:rsidR="00975732" w:rsidRPr="00975732" w:rsidRDefault="00975732" w:rsidP="00D728F5">
            <w:pPr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A/tekuće životne potrebe</w:t>
            </w:r>
          </w:p>
        </w:tc>
        <w:tc>
          <w:tcPr>
            <w:tcW w:w="1559" w:type="dxa"/>
          </w:tcPr>
          <w:p w14:paraId="4A163551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28</w:t>
            </w:r>
          </w:p>
        </w:tc>
        <w:tc>
          <w:tcPr>
            <w:tcW w:w="1417" w:type="dxa"/>
          </w:tcPr>
          <w:p w14:paraId="51084B30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28,28</w:t>
            </w:r>
          </w:p>
        </w:tc>
      </w:tr>
      <w:tr w:rsidR="00975732" w:rsidRPr="00975732" w14:paraId="52280B01" w14:textId="77777777" w:rsidTr="008808D0">
        <w:trPr>
          <w:trHeight w:val="373"/>
          <w:jc w:val="center"/>
        </w:trPr>
        <w:tc>
          <w:tcPr>
            <w:tcW w:w="5070" w:type="dxa"/>
          </w:tcPr>
          <w:p w14:paraId="22756E57" w14:textId="77777777" w:rsidR="00975732" w:rsidRPr="00975732" w:rsidRDefault="00975732" w:rsidP="00D728F5">
            <w:pPr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B/obrada i prerada; saobraćaj i transport</w:t>
            </w:r>
          </w:p>
        </w:tc>
        <w:tc>
          <w:tcPr>
            <w:tcW w:w="1559" w:type="dxa"/>
          </w:tcPr>
          <w:p w14:paraId="0E16D2DB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9</w:t>
            </w:r>
          </w:p>
        </w:tc>
        <w:tc>
          <w:tcPr>
            <w:tcW w:w="1417" w:type="dxa"/>
          </w:tcPr>
          <w:p w14:paraId="1CA3C778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9,09</w:t>
            </w:r>
          </w:p>
        </w:tc>
      </w:tr>
      <w:tr w:rsidR="00975732" w:rsidRPr="00975732" w14:paraId="1DD2D6CA" w14:textId="77777777" w:rsidTr="008808D0">
        <w:trPr>
          <w:trHeight w:val="366"/>
          <w:jc w:val="center"/>
        </w:trPr>
        <w:tc>
          <w:tcPr>
            <w:tcW w:w="5070" w:type="dxa"/>
          </w:tcPr>
          <w:p w14:paraId="653AF8FB" w14:textId="77777777" w:rsidR="00975732" w:rsidRPr="00975732" w:rsidRDefault="00975732" w:rsidP="00D728F5">
            <w:pPr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C/hemija;metalurgija</w:t>
            </w:r>
          </w:p>
        </w:tc>
        <w:tc>
          <w:tcPr>
            <w:tcW w:w="1559" w:type="dxa"/>
          </w:tcPr>
          <w:p w14:paraId="226EAA4C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417" w:type="dxa"/>
          </w:tcPr>
          <w:p w14:paraId="0A87FBC8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6,06</w:t>
            </w:r>
          </w:p>
        </w:tc>
      </w:tr>
      <w:tr w:rsidR="00975732" w:rsidRPr="00975732" w14:paraId="6054147A" w14:textId="77777777" w:rsidTr="008808D0">
        <w:trPr>
          <w:trHeight w:val="366"/>
          <w:jc w:val="center"/>
        </w:trPr>
        <w:tc>
          <w:tcPr>
            <w:tcW w:w="5070" w:type="dxa"/>
          </w:tcPr>
          <w:p w14:paraId="7E6EA2E7" w14:textId="77777777" w:rsidR="00975732" w:rsidRPr="00975732" w:rsidRDefault="00975732" w:rsidP="00D728F5">
            <w:pPr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E/građevinarstvo i rudarstvo</w:t>
            </w:r>
          </w:p>
        </w:tc>
        <w:tc>
          <w:tcPr>
            <w:tcW w:w="1559" w:type="dxa"/>
          </w:tcPr>
          <w:p w14:paraId="756C859B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23</w:t>
            </w:r>
          </w:p>
        </w:tc>
        <w:tc>
          <w:tcPr>
            <w:tcW w:w="1417" w:type="dxa"/>
          </w:tcPr>
          <w:p w14:paraId="5F4E77BA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23,23</w:t>
            </w:r>
          </w:p>
        </w:tc>
      </w:tr>
      <w:tr w:rsidR="00975732" w:rsidRPr="00975732" w14:paraId="3ABD295A" w14:textId="77777777" w:rsidTr="008808D0">
        <w:trPr>
          <w:trHeight w:val="373"/>
          <w:jc w:val="center"/>
        </w:trPr>
        <w:tc>
          <w:tcPr>
            <w:tcW w:w="5070" w:type="dxa"/>
          </w:tcPr>
          <w:p w14:paraId="14A27A78" w14:textId="77777777" w:rsidR="00975732" w:rsidRPr="00975732" w:rsidRDefault="00975732" w:rsidP="00D728F5">
            <w:pPr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F/mašinstvo; osvjetljenje; grijanje; naoružanje; municija</w:t>
            </w:r>
          </w:p>
        </w:tc>
        <w:tc>
          <w:tcPr>
            <w:tcW w:w="1559" w:type="dxa"/>
          </w:tcPr>
          <w:p w14:paraId="38410185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21</w:t>
            </w:r>
          </w:p>
        </w:tc>
        <w:tc>
          <w:tcPr>
            <w:tcW w:w="1417" w:type="dxa"/>
          </w:tcPr>
          <w:p w14:paraId="30E42070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21,21</w:t>
            </w:r>
          </w:p>
        </w:tc>
      </w:tr>
      <w:tr w:rsidR="00975732" w:rsidRPr="00975732" w14:paraId="43E143EE" w14:textId="77777777" w:rsidTr="008808D0">
        <w:trPr>
          <w:trHeight w:val="366"/>
          <w:jc w:val="center"/>
        </w:trPr>
        <w:tc>
          <w:tcPr>
            <w:tcW w:w="5070" w:type="dxa"/>
          </w:tcPr>
          <w:p w14:paraId="05E8322C" w14:textId="77777777" w:rsidR="00975732" w:rsidRPr="00975732" w:rsidRDefault="00975732" w:rsidP="00D728F5">
            <w:pPr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G/ fizika</w:t>
            </w:r>
          </w:p>
        </w:tc>
        <w:tc>
          <w:tcPr>
            <w:tcW w:w="1559" w:type="dxa"/>
          </w:tcPr>
          <w:p w14:paraId="37D9789C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417" w:type="dxa"/>
          </w:tcPr>
          <w:p w14:paraId="2CF4BC1C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1,01</w:t>
            </w:r>
          </w:p>
        </w:tc>
      </w:tr>
      <w:tr w:rsidR="00975732" w:rsidRPr="00975732" w14:paraId="0F34E742" w14:textId="77777777" w:rsidTr="008808D0">
        <w:trPr>
          <w:trHeight w:val="373"/>
          <w:jc w:val="center"/>
        </w:trPr>
        <w:tc>
          <w:tcPr>
            <w:tcW w:w="5070" w:type="dxa"/>
          </w:tcPr>
          <w:p w14:paraId="33F7DF6C" w14:textId="77777777" w:rsidR="00975732" w:rsidRPr="00975732" w:rsidRDefault="00975732" w:rsidP="00D728F5">
            <w:pPr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H/elektrotehnika</w:t>
            </w:r>
          </w:p>
        </w:tc>
        <w:tc>
          <w:tcPr>
            <w:tcW w:w="1559" w:type="dxa"/>
          </w:tcPr>
          <w:p w14:paraId="47430388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1417" w:type="dxa"/>
          </w:tcPr>
          <w:p w14:paraId="70EB5551" w14:textId="77777777" w:rsidR="00975732" w:rsidRPr="00975732" w:rsidRDefault="00975732" w:rsidP="00D728F5">
            <w:pPr>
              <w:jc w:val="center"/>
              <w:rPr>
                <w:sz w:val="20"/>
                <w:szCs w:val="20"/>
                <w:lang w:val="sr-Latn-CS"/>
              </w:rPr>
            </w:pPr>
            <w:r w:rsidRPr="00975732">
              <w:rPr>
                <w:sz w:val="20"/>
                <w:szCs w:val="20"/>
                <w:lang w:val="sr-Latn-CS"/>
              </w:rPr>
              <w:t>11,11</w:t>
            </w:r>
          </w:p>
        </w:tc>
      </w:tr>
    </w:tbl>
    <w:p w14:paraId="7B9898ED" w14:textId="574810B0" w:rsidR="00975732" w:rsidRPr="00CB64B3" w:rsidRDefault="00975732" w:rsidP="00975732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*Ukupno nacionalnih patenata</w:t>
      </w:r>
      <w:r w:rsidRPr="00CB64B3">
        <w:rPr>
          <w:sz w:val="18"/>
          <w:szCs w:val="18"/>
          <w:lang w:val="sr-Latn-CS"/>
        </w:rPr>
        <w:t xml:space="preserve">  </w:t>
      </w:r>
      <w:r>
        <w:rPr>
          <w:sz w:val="18"/>
          <w:szCs w:val="18"/>
          <w:lang w:val="sr-Latn-CS"/>
        </w:rPr>
        <w:t>99</w:t>
      </w:r>
    </w:p>
    <w:p w14:paraId="2B3647FB" w14:textId="7ECBCA3E" w:rsidR="001433C1" w:rsidRPr="00593418" w:rsidRDefault="001433C1" w:rsidP="00CD0F43">
      <w:pPr>
        <w:jc w:val="both"/>
        <w:rPr>
          <w:rFonts w:asciiTheme="minorHAnsi" w:eastAsia="Times New Roman" w:hAnsiTheme="minorHAnsi"/>
          <w:noProof/>
          <w:lang w:eastAsia="en-GB"/>
        </w:rPr>
      </w:pPr>
      <w:r w:rsidRPr="00593418">
        <w:rPr>
          <w:rFonts w:asciiTheme="minorHAnsi" w:eastAsia="Times New Roman" w:hAnsiTheme="minorHAnsi"/>
          <w:noProof/>
          <w:lang w:eastAsia="en-GB"/>
        </w:rPr>
        <w:t>Iako ekonomije Zapadnog Balkana i dalje zaostaju u odnosu na EU u pogledu performansi inovacija, zabilježen je porast</w:t>
      </w:r>
      <w:r w:rsidR="00FB25EB">
        <w:rPr>
          <w:rFonts w:asciiTheme="minorHAnsi" w:eastAsia="Times New Roman" w:hAnsiTheme="minorHAnsi"/>
          <w:noProof/>
          <w:lang w:eastAsia="en-GB"/>
        </w:rPr>
        <w:t>. Tako Crna Gora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u posljednjih 10 godina </w:t>
      </w:r>
      <w:r w:rsidR="00FB25EB">
        <w:rPr>
          <w:rFonts w:asciiTheme="minorHAnsi" w:eastAsia="Times New Roman" w:hAnsiTheme="minorHAnsi"/>
          <w:noProof/>
          <w:lang w:eastAsia="en-GB"/>
        </w:rPr>
        <w:t>biljezi porast sa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2,8 </w:t>
      </w:r>
      <w:r w:rsidR="00623B93">
        <w:rPr>
          <w:rFonts w:asciiTheme="minorHAnsi" w:eastAsia="Times New Roman" w:hAnsiTheme="minorHAnsi"/>
          <w:noProof/>
          <w:lang w:eastAsia="en-GB"/>
        </w:rPr>
        <w:t>(</w:t>
      </w:r>
      <w:r w:rsidRPr="00593418">
        <w:rPr>
          <w:rFonts w:asciiTheme="minorHAnsi" w:eastAsia="Times New Roman" w:hAnsiTheme="minorHAnsi"/>
          <w:noProof/>
          <w:lang w:eastAsia="en-GB"/>
        </w:rPr>
        <w:t>2008/2009</w:t>
      </w:r>
      <w:r w:rsidR="0046209A">
        <w:rPr>
          <w:rFonts w:asciiTheme="minorHAnsi" w:eastAsia="Times New Roman" w:hAnsiTheme="minorHAnsi"/>
          <w:noProof/>
          <w:lang w:eastAsia="en-GB"/>
        </w:rPr>
        <w:t>.godini</w:t>
      </w:r>
      <w:r w:rsidR="00623B93">
        <w:rPr>
          <w:rFonts w:asciiTheme="minorHAnsi" w:eastAsia="Times New Roman" w:hAnsiTheme="minorHAnsi"/>
          <w:noProof/>
          <w:lang w:eastAsia="en-GB"/>
        </w:rPr>
        <w:t>)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na 3,2 </w:t>
      </w:r>
      <w:r w:rsidR="0046209A">
        <w:rPr>
          <w:rFonts w:asciiTheme="minorHAnsi" w:eastAsia="Times New Roman" w:hAnsiTheme="minorHAnsi"/>
          <w:noProof/>
          <w:lang w:eastAsia="en-GB"/>
        </w:rPr>
        <w:t xml:space="preserve">poena </w:t>
      </w:r>
      <w:r w:rsidR="00623B93">
        <w:rPr>
          <w:rFonts w:asciiTheme="minorHAnsi" w:eastAsia="Times New Roman" w:hAnsiTheme="minorHAnsi"/>
          <w:noProof/>
          <w:lang w:eastAsia="en-GB"/>
        </w:rPr>
        <w:t>(</w:t>
      </w:r>
      <w:r w:rsidR="0046209A" w:rsidRPr="00593418">
        <w:rPr>
          <w:rFonts w:asciiTheme="minorHAnsi" w:eastAsia="Times New Roman" w:hAnsiTheme="minorHAnsi"/>
          <w:noProof/>
          <w:lang w:eastAsia="en-GB"/>
        </w:rPr>
        <w:t xml:space="preserve">2017/2018. </w:t>
      </w:r>
      <w:r w:rsidR="0046209A">
        <w:rPr>
          <w:rFonts w:asciiTheme="minorHAnsi" w:eastAsia="Times New Roman" w:hAnsiTheme="minorHAnsi"/>
          <w:noProof/>
          <w:lang w:eastAsia="en-GB"/>
        </w:rPr>
        <w:t>godini</w:t>
      </w:r>
      <w:r w:rsidR="00623B93">
        <w:rPr>
          <w:rFonts w:asciiTheme="minorHAnsi" w:eastAsia="Times New Roman" w:hAnsiTheme="minorHAnsi"/>
          <w:noProof/>
          <w:lang w:eastAsia="en-GB"/>
        </w:rPr>
        <w:t>)</w:t>
      </w:r>
      <w:r w:rsidR="0046209A">
        <w:rPr>
          <w:rFonts w:asciiTheme="minorHAnsi" w:eastAsia="Times New Roman" w:hAnsiTheme="minorHAnsi"/>
          <w:noProof/>
          <w:lang w:eastAsia="en-GB"/>
        </w:rPr>
        <w:t xml:space="preserve"> </w:t>
      </w:r>
      <w:r w:rsidR="00623B93">
        <w:rPr>
          <w:rFonts w:asciiTheme="minorHAnsi" w:eastAsia="Times New Roman" w:hAnsiTheme="minorHAnsi"/>
          <w:noProof/>
          <w:lang w:eastAsia="en-GB"/>
        </w:rPr>
        <w:t>od mogućih 7 poena,</w:t>
      </w:r>
      <w:r w:rsidR="00623B93" w:rsidRPr="00593418">
        <w:rPr>
          <w:rFonts w:asciiTheme="minorHAnsi" w:eastAsia="Times New Roman" w:hAnsiTheme="minorHAnsi"/>
          <w:noProof/>
          <w:lang w:eastAsia="en-GB"/>
        </w:rPr>
        <w:t xml:space="preserve"> </w:t>
      </w:r>
      <w:r w:rsidR="006C6109">
        <w:rPr>
          <w:rFonts w:asciiTheme="minorHAnsi" w:eastAsia="Times New Roman" w:hAnsiTheme="minorHAnsi"/>
          <w:noProof/>
          <w:lang w:eastAsia="en-GB"/>
        </w:rPr>
        <w:t>prema</w:t>
      </w:r>
      <w:r w:rsidR="006C6109" w:rsidRPr="00593418">
        <w:rPr>
          <w:rFonts w:asciiTheme="minorHAnsi" w:eastAsia="Times New Roman" w:hAnsiTheme="minorHAnsi"/>
          <w:noProof/>
          <w:lang w:eastAsia="en-GB"/>
        </w:rPr>
        <w:t xml:space="preserve"> </w:t>
      </w:r>
      <w:r w:rsidR="0046209A">
        <w:rPr>
          <w:rFonts w:asciiTheme="minorHAnsi" w:eastAsia="Times New Roman" w:hAnsiTheme="minorHAnsi"/>
          <w:noProof/>
          <w:lang w:eastAsia="en-GB"/>
        </w:rPr>
        <w:t>I</w:t>
      </w:r>
      <w:r w:rsidR="0046209A" w:rsidRPr="00593418">
        <w:rPr>
          <w:rFonts w:asciiTheme="minorHAnsi" w:eastAsia="Times New Roman" w:hAnsiTheme="minorHAnsi"/>
          <w:noProof/>
          <w:lang w:eastAsia="en-GB"/>
        </w:rPr>
        <w:t>zvještaj</w:t>
      </w:r>
      <w:r w:rsidR="0046209A">
        <w:rPr>
          <w:rFonts w:asciiTheme="minorHAnsi" w:eastAsia="Times New Roman" w:hAnsiTheme="minorHAnsi"/>
          <w:noProof/>
          <w:lang w:eastAsia="en-GB"/>
        </w:rPr>
        <w:t xml:space="preserve">ima </w:t>
      </w:r>
      <w:r w:rsidR="00121F63">
        <w:rPr>
          <w:rFonts w:asciiTheme="minorHAnsi" w:eastAsia="Times New Roman" w:hAnsiTheme="minorHAnsi"/>
          <w:noProof/>
          <w:lang w:eastAsia="en-GB"/>
        </w:rPr>
        <w:t>globalne konurentnosti</w:t>
      </w:r>
      <w:r w:rsidR="0046209A">
        <w:rPr>
          <w:rFonts w:asciiTheme="minorHAnsi" w:eastAsia="Times New Roman" w:hAnsiTheme="minorHAnsi"/>
          <w:noProof/>
          <w:lang w:eastAsia="en-GB"/>
        </w:rPr>
        <w:t xml:space="preserve"> za navedene godine. </w:t>
      </w:r>
      <w:r w:rsidRPr="00593418">
        <w:rPr>
          <w:rFonts w:asciiTheme="minorHAnsi" w:eastAsia="Times New Roman" w:hAnsiTheme="minorHAnsi"/>
          <w:noProof/>
          <w:lang w:eastAsia="en-GB"/>
        </w:rPr>
        <w:t>Ovo odražava sveukupan porast kapaciteta zemalja za inovacije, unaprijeđeni okvir politike za inovacije</w:t>
      </w:r>
      <w:r w:rsidR="006C6109">
        <w:rPr>
          <w:rFonts w:asciiTheme="minorHAnsi" w:eastAsia="Times New Roman" w:hAnsiTheme="minorHAnsi"/>
          <w:noProof/>
          <w:lang w:eastAsia="en-GB"/>
        </w:rPr>
        <w:t>,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ali i poboljšani kvalitet naučnoistraživačkih institucija. Međutim</w:t>
      </w:r>
      <w:r w:rsidR="008270F8">
        <w:rPr>
          <w:rFonts w:asciiTheme="minorHAnsi" w:eastAsia="Times New Roman" w:hAnsiTheme="minorHAnsi"/>
          <w:noProof/>
          <w:lang w:eastAsia="en-GB"/>
        </w:rPr>
        <w:t xml:space="preserve">, </w:t>
      </w:r>
      <w:r w:rsidR="008270F8">
        <w:t>region i dalje ima veoma mala ulaganja privatnog sektora</w:t>
      </w:r>
      <w:r w:rsidR="008270F8" w:rsidRPr="00C3231D">
        <w:rPr>
          <w:rFonts w:asciiTheme="minorHAnsi" w:eastAsia="Times New Roman" w:hAnsiTheme="minorHAnsi"/>
          <w:noProof/>
          <w:lang w:eastAsia="en-GB"/>
        </w:rPr>
        <w:t xml:space="preserve"> </w:t>
      </w:r>
      <w:r w:rsidR="008270F8">
        <w:rPr>
          <w:rFonts w:asciiTheme="minorHAnsi" w:eastAsia="Times New Roman" w:hAnsiTheme="minorHAnsi"/>
          <w:noProof/>
          <w:lang w:eastAsia="en-GB"/>
        </w:rPr>
        <w:t>u istraživanje i razvoj (I&amp;R</w:t>
      </w:r>
      <w:r w:rsidRPr="00593418">
        <w:rPr>
          <w:rFonts w:asciiTheme="minorHAnsi" w:eastAsia="Times New Roman" w:hAnsiTheme="minorHAnsi"/>
          <w:noProof/>
          <w:lang w:eastAsia="en-GB"/>
        </w:rPr>
        <w:t>)</w:t>
      </w:r>
      <w:r w:rsidRPr="00593418">
        <w:rPr>
          <w:rStyle w:val="FootnoteReference"/>
          <w:rFonts w:asciiTheme="minorHAnsi" w:eastAsia="Times New Roman" w:hAnsiTheme="minorHAnsi"/>
          <w:noProof/>
          <w:lang w:eastAsia="en-GB"/>
        </w:rPr>
        <w:footnoteReference w:id="13"/>
      </w:r>
      <w:r w:rsidRPr="00593418">
        <w:rPr>
          <w:rFonts w:asciiTheme="minorHAnsi" w:eastAsia="Times New Roman" w:hAnsiTheme="minorHAnsi"/>
          <w:noProof/>
          <w:lang w:eastAsia="en-GB"/>
        </w:rPr>
        <w:t>.</w:t>
      </w:r>
    </w:p>
    <w:p w14:paraId="705DCC35" w14:textId="131EAFAD" w:rsidR="008808D0" w:rsidRDefault="008808D0">
      <w:pPr>
        <w:suppressAutoHyphens w:val="0"/>
        <w:spacing w:after="0" w:line="240" w:lineRule="auto"/>
        <w:rPr>
          <w:rFonts w:asciiTheme="minorHAnsi" w:hAnsiTheme="minorHAnsi"/>
          <w:b/>
          <w:bCs/>
          <w:noProof/>
          <w:sz w:val="18"/>
          <w:szCs w:val="18"/>
        </w:rPr>
      </w:pPr>
    </w:p>
    <w:p w14:paraId="5C744086" w14:textId="4DB9EA49" w:rsidR="001433C1" w:rsidRPr="008808D0" w:rsidRDefault="001433C1" w:rsidP="001433C1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8808D0">
        <w:rPr>
          <w:rFonts w:asciiTheme="minorHAnsi" w:hAnsiTheme="minorHAnsi" w:cstheme="minorHAnsi"/>
          <w:b/>
          <w:noProof/>
          <w:sz w:val="20"/>
          <w:szCs w:val="20"/>
        </w:rPr>
        <w:t xml:space="preserve">Slika </w:t>
      </w:r>
      <w:r w:rsidR="00CA63E0" w:rsidRPr="008808D0">
        <w:rPr>
          <w:rFonts w:asciiTheme="minorHAnsi" w:hAnsiTheme="minorHAnsi" w:cstheme="minorHAnsi"/>
          <w:b/>
          <w:noProof/>
          <w:sz w:val="20"/>
          <w:szCs w:val="20"/>
        </w:rPr>
        <w:t>8</w:t>
      </w:r>
      <w:r w:rsidR="00C3231D" w:rsidRPr="008808D0">
        <w:rPr>
          <w:rFonts w:asciiTheme="minorHAnsi" w:hAnsiTheme="minorHAnsi" w:cstheme="minorHAnsi"/>
          <w:b/>
          <w:noProof/>
          <w:sz w:val="20"/>
          <w:szCs w:val="20"/>
        </w:rPr>
        <w:t>.</w:t>
      </w:r>
      <w:r w:rsidRPr="008808D0">
        <w:rPr>
          <w:rFonts w:asciiTheme="minorHAnsi" w:hAnsiTheme="minorHAnsi" w:cstheme="minorHAnsi"/>
          <w:b/>
          <w:noProof/>
          <w:sz w:val="20"/>
          <w:szCs w:val="20"/>
        </w:rPr>
        <w:t xml:space="preserve"> </w:t>
      </w:r>
      <w:r w:rsidR="008270F8" w:rsidRPr="008808D0">
        <w:rPr>
          <w:rFonts w:asciiTheme="minorHAnsi" w:hAnsiTheme="minorHAnsi" w:cstheme="minorHAnsi"/>
          <w:b/>
          <w:noProof/>
          <w:sz w:val="20"/>
          <w:szCs w:val="20"/>
        </w:rPr>
        <w:t>Indeks Globalne konkurentnosti</w:t>
      </w:r>
      <w:r w:rsidRPr="008808D0">
        <w:rPr>
          <w:rFonts w:asciiTheme="minorHAnsi" w:hAnsiTheme="minorHAnsi" w:cstheme="minorHAnsi"/>
          <w:b/>
          <w:noProof/>
          <w:sz w:val="20"/>
          <w:szCs w:val="20"/>
        </w:rPr>
        <w:t xml:space="preserve">, </w:t>
      </w:r>
      <w:r w:rsidR="008270F8" w:rsidRPr="008808D0">
        <w:rPr>
          <w:rFonts w:asciiTheme="minorHAnsi" w:hAnsiTheme="minorHAnsi" w:cstheme="minorHAnsi"/>
          <w:b/>
          <w:noProof/>
          <w:sz w:val="20"/>
          <w:szCs w:val="20"/>
        </w:rPr>
        <w:t>Inovacioni rezultat</w:t>
      </w:r>
    </w:p>
    <w:p w14:paraId="72DC346F" w14:textId="77777777" w:rsidR="001433C1" w:rsidRPr="00593418" w:rsidRDefault="001433C1" w:rsidP="008808D0">
      <w:pPr>
        <w:jc w:val="center"/>
        <w:rPr>
          <w:rFonts w:asciiTheme="minorHAnsi" w:hAnsiTheme="minorHAnsi"/>
        </w:rPr>
      </w:pPr>
      <w:r w:rsidRPr="00593418">
        <w:rPr>
          <w:noProof/>
          <w:lang w:val="en-US"/>
        </w:rPr>
        <w:drawing>
          <wp:inline distT="0" distB="0" distL="0" distR="0" wp14:anchorId="0B303213" wp14:editId="334CD7FD">
            <wp:extent cx="5769741" cy="30448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74539" cy="304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48BC7" w14:textId="75D4E36D" w:rsidR="001703A9" w:rsidRPr="00593418" w:rsidRDefault="00CE52EF" w:rsidP="00264838">
      <w:pPr>
        <w:spacing w:after="120" w:line="240" w:lineRule="auto"/>
        <w:jc w:val="both"/>
        <w:rPr>
          <w:rFonts w:asciiTheme="minorHAnsi" w:hAnsiTheme="minorHAnsi"/>
        </w:rPr>
      </w:pPr>
      <w:r w:rsidRPr="00CE52EF">
        <w:rPr>
          <w:rFonts w:asciiTheme="minorHAnsi" w:hAnsiTheme="minorHAnsi"/>
        </w:rPr>
        <w:lastRenderedPageBreak/>
        <w:t xml:space="preserve">Prema posljednjim zvaničnim podacima, ukupna domaća </w:t>
      </w:r>
      <w:r w:rsidR="00F93599">
        <w:rPr>
          <w:rFonts w:asciiTheme="minorHAnsi" w:hAnsiTheme="minorHAnsi"/>
        </w:rPr>
        <w:t>ulaga</w:t>
      </w:r>
      <w:r w:rsidRPr="00CE52EF">
        <w:rPr>
          <w:rFonts w:asciiTheme="minorHAnsi" w:hAnsiTheme="minorHAnsi"/>
        </w:rPr>
        <w:t xml:space="preserve">nja </w:t>
      </w:r>
      <w:r w:rsidR="00F93599">
        <w:rPr>
          <w:rFonts w:asciiTheme="minorHAnsi" w:hAnsiTheme="minorHAnsi"/>
        </w:rPr>
        <w:t>u</w:t>
      </w:r>
      <w:r w:rsidRPr="00CE52EF">
        <w:rPr>
          <w:rFonts w:asciiTheme="minorHAnsi" w:hAnsiTheme="minorHAnsi"/>
        </w:rPr>
        <w:t xml:space="preserve"> istraživanje i razvoj u 2016. godini iznosila je 0,32% BDP-a. U poređenju sa EU28, poslovno-preduzetnički sektor u Crnoj Gori čini relativno mali udio u ukupnoj potrošnji za istraživanje i razvoj, odnosno svega 0,05% BDP-a za 2016. godinu, dok je prosjek za EU28 iznosio 1,32% iste godine. Poslovno preduzetnički sektor zapošljava oko 7,75% svih osoba angažovanih u istraživanju i razvoju u Crnoj Gori. </w:t>
      </w:r>
      <w:r w:rsidR="00ED0ADF">
        <w:rPr>
          <w:rFonts w:asciiTheme="minorHAnsi" w:hAnsiTheme="minorHAnsi"/>
        </w:rPr>
        <w:t xml:space="preserve">Broj istraživača u poslovno </w:t>
      </w:r>
      <w:r>
        <w:rPr>
          <w:rFonts w:asciiTheme="minorHAnsi" w:hAnsiTheme="minorHAnsi"/>
        </w:rPr>
        <w:t xml:space="preserve">preduzetničkom sektoru je 234. </w:t>
      </w:r>
    </w:p>
    <w:p w14:paraId="6902F1BC" w14:textId="79501CCB" w:rsidR="001703A9" w:rsidRPr="00593418" w:rsidRDefault="001703A9" w:rsidP="00264838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Dostupni podaci ukazuju na to da preduzetnički sektor malo ulaže u istraživanje i razvoj. Time se ograničava mogućnost preduzeća za razvoj novih proizvoda, kao i apsorpciju tehnologija iz inostranstva. Jedan od ograničavajućih faktora je nedostupnost detaljne statistike istraživanja i razvoja na nivou </w:t>
      </w:r>
      <w:r w:rsidR="0053137D">
        <w:rPr>
          <w:rFonts w:asciiTheme="minorHAnsi" w:hAnsiTheme="minorHAnsi"/>
        </w:rPr>
        <w:t>sektora</w:t>
      </w:r>
      <w:r w:rsidRPr="00593418">
        <w:rPr>
          <w:rFonts w:asciiTheme="minorHAnsi" w:hAnsiTheme="minorHAnsi"/>
        </w:rPr>
        <w:t xml:space="preserve"> za Crnu Goru, što se u zna</w:t>
      </w:r>
      <w:r w:rsidR="00543F02" w:rsidRPr="00593418">
        <w:rPr>
          <w:rFonts w:asciiTheme="minorHAnsi" w:hAnsiTheme="minorHAnsi"/>
        </w:rPr>
        <w:t>t</w:t>
      </w:r>
      <w:r w:rsidRPr="00593418">
        <w:rPr>
          <w:rFonts w:asciiTheme="minorHAnsi" w:hAnsiTheme="minorHAnsi"/>
        </w:rPr>
        <w:t>noj mjeri objašnjava malim brojem učesnika iz poslov</w:t>
      </w:r>
      <w:r w:rsidR="00543F02" w:rsidRPr="00593418">
        <w:rPr>
          <w:rFonts w:asciiTheme="minorHAnsi" w:hAnsiTheme="minorHAnsi"/>
        </w:rPr>
        <w:t>no-</w:t>
      </w:r>
      <w:r w:rsidRPr="00593418">
        <w:rPr>
          <w:rFonts w:asciiTheme="minorHAnsi" w:hAnsiTheme="minorHAnsi"/>
        </w:rPr>
        <w:t>preduzetničkog sektora u istraživanju.</w:t>
      </w:r>
    </w:p>
    <w:p w14:paraId="3E221BEE" w14:textId="5726B231" w:rsidR="009E6794" w:rsidRPr="008808D0" w:rsidRDefault="001703A9" w:rsidP="008808D0">
      <w:pPr>
        <w:spacing w:after="120" w:line="240" w:lineRule="auto"/>
        <w:jc w:val="both"/>
        <w:rPr>
          <w:rFonts w:asciiTheme="minorHAnsi" w:eastAsia="Times New Roman" w:hAnsiTheme="minorHAnsi"/>
          <w:noProof/>
          <w:lang w:eastAsia="en-GB"/>
        </w:rPr>
      </w:pPr>
      <w:r w:rsidRPr="00593418">
        <w:rPr>
          <w:rFonts w:asciiTheme="minorHAnsi" w:eastAsia="Times New Roman" w:hAnsiTheme="minorHAnsi"/>
          <w:noProof/>
          <w:lang w:eastAsia="en-GB"/>
        </w:rPr>
        <w:t>Najnoviji rezultati Balkanskog barometra</w:t>
      </w:r>
      <w:r w:rsidR="00F93217">
        <w:rPr>
          <w:rFonts w:asciiTheme="minorHAnsi" w:eastAsia="Times New Roman" w:hAnsiTheme="minorHAnsi"/>
          <w:noProof/>
          <w:lang w:eastAsia="en-GB"/>
        </w:rPr>
        <w:t xml:space="preserve"> (2016.)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pokazuju da je skoro 60% crnogorskih preduzeća uvelo određenu proizvodnu inovaciju, dok je </w:t>
      </w:r>
      <w:r w:rsidR="00ED0ADF">
        <w:rPr>
          <w:rFonts w:asciiTheme="minorHAnsi" w:eastAsia="Times New Roman" w:hAnsiTheme="minorHAnsi"/>
          <w:noProof/>
          <w:lang w:eastAsia="en-GB"/>
        </w:rPr>
        <w:t>preko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 50% uvelo određenu procesnu inovaciju</w:t>
      </w:r>
      <w:r w:rsidR="00DD3714" w:rsidRPr="00593418">
        <w:rPr>
          <w:rFonts w:asciiTheme="minorHAnsi" w:eastAsia="Times New Roman" w:hAnsiTheme="minorHAnsi"/>
          <w:noProof/>
          <w:lang w:eastAsia="en-GB"/>
        </w:rPr>
        <w:t xml:space="preserve"> (Slika </w:t>
      </w:r>
      <w:r w:rsidR="00CA63E0">
        <w:rPr>
          <w:rFonts w:asciiTheme="minorHAnsi" w:eastAsia="Times New Roman" w:hAnsiTheme="minorHAnsi"/>
          <w:noProof/>
          <w:lang w:eastAsia="en-GB"/>
        </w:rPr>
        <w:t>9</w:t>
      </w:r>
      <w:r w:rsidR="000060FC">
        <w:rPr>
          <w:rFonts w:asciiTheme="minorHAnsi" w:eastAsia="Times New Roman" w:hAnsiTheme="minorHAnsi"/>
          <w:noProof/>
          <w:lang w:eastAsia="en-GB"/>
        </w:rPr>
        <w:t>.</w:t>
      </w:r>
      <w:r w:rsidRPr="00593418">
        <w:rPr>
          <w:rFonts w:asciiTheme="minorHAnsi" w:eastAsia="Times New Roman" w:hAnsiTheme="minorHAnsi"/>
          <w:noProof/>
          <w:lang w:eastAsia="en-GB"/>
        </w:rPr>
        <w:t xml:space="preserve">). Rezultati crnogorskih istraživanja vezanih za istraživanje i razvoj (IR) ukazuju na to da su aktivnosti IR ispod nivoa drugih evropskih zemalja. U sektoru preduzeća, potrošnja na IR iznosi svega 0,11% bruto društvenog proizvoda za 2015. godinu, dok je prosjek za EU28 iznosio 1,31%. </w:t>
      </w:r>
      <w:r w:rsidR="00ED0ADF" w:rsidRPr="00593418">
        <w:rPr>
          <w:rFonts w:asciiTheme="minorHAnsi" w:hAnsiTheme="minorHAnsi"/>
        </w:rPr>
        <w:t xml:space="preserve">Na osnovu navedenog istraživanja, udio preduzeća u Crnoj Gori koja su uključena u inovativnu djelatnost manji je od udjela u većini </w:t>
      </w:r>
      <w:r w:rsidR="00ED0ADF">
        <w:rPr>
          <w:rFonts w:asciiTheme="minorHAnsi" w:hAnsiTheme="minorHAnsi"/>
        </w:rPr>
        <w:t xml:space="preserve">evropskih </w:t>
      </w:r>
      <w:r w:rsidR="00ED0ADF" w:rsidRPr="00593418">
        <w:rPr>
          <w:rFonts w:asciiTheme="minorHAnsi" w:hAnsiTheme="minorHAnsi"/>
        </w:rPr>
        <w:t>zemalja</w:t>
      </w:r>
      <w:r w:rsidR="00ED0ADF">
        <w:rPr>
          <w:rFonts w:asciiTheme="minorHAnsi" w:hAnsiTheme="minorHAnsi"/>
        </w:rPr>
        <w:t>.</w:t>
      </w:r>
    </w:p>
    <w:p w14:paraId="787377DE" w14:textId="2B5EB02D" w:rsidR="008808D0" w:rsidRDefault="008808D0">
      <w:pPr>
        <w:suppressAutoHyphens w:val="0"/>
        <w:spacing w:after="0" w:line="240" w:lineRule="auto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240C6CE" w14:textId="6C639BA0" w:rsidR="001703A9" w:rsidRPr="008808D0" w:rsidRDefault="00300AA8" w:rsidP="008808D0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8808D0">
        <w:rPr>
          <w:rFonts w:asciiTheme="minorHAnsi" w:hAnsiTheme="minorHAnsi" w:cstheme="minorHAnsi"/>
          <w:b/>
          <w:noProof/>
          <w:sz w:val="20"/>
          <w:szCs w:val="20"/>
        </w:rPr>
        <w:t xml:space="preserve">Slika </w:t>
      </w:r>
      <w:r w:rsidR="00CA63E0" w:rsidRPr="008808D0">
        <w:rPr>
          <w:rFonts w:asciiTheme="minorHAnsi" w:hAnsiTheme="minorHAnsi" w:cstheme="minorHAnsi"/>
          <w:b/>
          <w:noProof/>
          <w:sz w:val="20"/>
          <w:szCs w:val="20"/>
        </w:rPr>
        <w:t>9</w:t>
      </w:r>
      <w:r w:rsidR="00C3231D" w:rsidRPr="008808D0">
        <w:rPr>
          <w:rFonts w:asciiTheme="minorHAnsi" w:hAnsiTheme="minorHAnsi" w:cstheme="minorHAnsi"/>
          <w:b/>
          <w:noProof/>
          <w:sz w:val="20"/>
          <w:szCs w:val="20"/>
        </w:rPr>
        <w:t>.</w:t>
      </w:r>
      <w:r w:rsidR="001703A9" w:rsidRPr="008808D0">
        <w:rPr>
          <w:rFonts w:asciiTheme="minorHAnsi" w:hAnsiTheme="minorHAnsi" w:cstheme="minorHAnsi"/>
          <w:b/>
          <w:noProof/>
          <w:sz w:val="20"/>
          <w:szCs w:val="20"/>
        </w:rPr>
        <w:t xml:space="preserve"> Udio preduzeća </w:t>
      </w:r>
      <w:r w:rsidR="00ED0ADF" w:rsidRPr="008808D0">
        <w:rPr>
          <w:rFonts w:asciiTheme="minorHAnsi" w:hAnsiTheme="minorHAnsi" w:cstheme="minorHAnsi"/>
          <w:b/>
          <w:noProof/>
          <w:sz w:val="20"/>
          <w:szCs w:val="20"/>
        </w:rPr>
        <w:t xml:space="preserve">(%) </w:t>
      </w:r>
      <w:r w:rsidR="001703A9" w:rsidRPr="008808D0">
        <w:rPr>
          <w:rFonts w:asciiTheme="minorHAnsi" w:hAnsiTheme="minorHAnsi" w:cstheme="minorHAnsi"/>
          <w:b/>
          <w:noProof/>
          <w:sz w:val="20"/>
          <w:szCs w:val="20"/>
        </w:rPr>
        <w:t>s inovativnom djelatnošću (2016)</w:t>
      </w:r>
    </w:p>
    <w:p w14:paraId="11286B7A" w14:textId="77777777" w:rsidR="00F93217" w:rsidRDefault="001703A9" w:rsidP="00F93217">
      <w:pPr>
        <w:keepNext/>
        <w:jc w:val="center"/>
      </w:pPr>
      <w:r w:rsidRPr="00593418">
        <w:rPr>
          <w:rFonts w:asciiTheme="minorHAnsi" w:hAnsiTheme="minorHAnsi"/>
          <w:noProof/>
          <w:shd w:val="clear" w:color="auto" w:fill="943634" w:themeFill="accent2" w:themeFillShade="BF"/>
          <w:lang w:val="en-US"/>
        </w:rPr>
        <w:drawing>
          <wp:inline distT="0" distB="0" distL="0" distR="0" wp14:anchorId="6BBA685B" wp14:editId="69424E09">
            <wp:extent cx="2794635" cy="3888740"/>
            <wp:effectExtent l="0" t="0" r="24765" b="2286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7015A78A" w14:textId="397292F9" w:rsidR="00E00090" w:rsidRDefault="00ED0ADF" w:rsidP="00ED0ADF">
      <w:pPr>
        <w:jc w:val="center"/>
        <w:rPr>
          <w:rFonts w:asciiTheme="minorHAnsi" w:hAnsiTheme="minorHAnsi"/>
        </w:rPr>
      </w:pPr>
      <w:bookmarkStart w:id="27" w:name="_Toc521071252"/>
      <w:r w:rsidRPr="00ED0ADF">
        <w:rPr>
          <w:b/>
          <w:i/>
          <w:sz w:val="18"/>
          <w:szCs w:val="18"/>
        </w:rPr>
        <w:t>Izvor: Balkanski barometar 2016. godine</w:t>
      </w:r>
    </w:p>
    <w:p w14:paraId="59D7DA1D" w14:textId="77777777" w:rsidR="005057E7" w:rsidRDefault="005057E7">
      <w:pPr>
        <w:suppressAutoHyphens w:val="0"/>
        <w:spacing w:after="0" w:line="240" w:lineRule="auto"/>
        <w:rPr>
          <w:b/>
        </w:rPr>
      </w:pPr>
      <w:r>
        <w:rPr>
          <w:b/>
        </w:rPr>
        <w:br w:type="page"/>
      </w:r>
    </w:p>
    <w:p w14:paraId="2162E4D2" w14:textId="4C5E5461" w:rsidR="00436868" w:rsidRPr="00A81864" w:rsidRDefault="00436868" w:rsidP="00436868">
      <w:pPr>
        <w:suppressAutoHyphens w:val="0"/>
        <w:spacing w:after="0" w:line="240" w:lineRule="auto"/>
        <w:jc w:val="both"/>
        <w:rPr>
          <w:b/>
        </w:rPr>
      </w:pPr>
      <w:r w:rsidRPr="00A81864">
        <w:rPr>
          <w:b/>
        </w:rPr>
        <w:lastRenderedPageBreak/>
        <w:t xml:space="preserve">Zaključak </w:t>
      </w:r>
      <w:r w:rsidR="00A81864" w:rsidRPr="00A81864">
        <w:rPr>
          <w:b/>
        </w:rPr>
        <w:t xml:space="preserve">rezultata ekonomskog, </w:t>
      </w:r>
      <w:r w:rsidR="00670F7B">
        <w:rPr>
          <w:b/>
        </w:rPr>
        <w:t>istraživačkog</w:t>
      </w:r>
      <w:r w:rsidR="00A81864" w:rsidRPr="00A81864">
        <w:rPr>
          <w:b/>
        </w:rPr>
        <w:t xml:space="preserve"> i inova</w:t>
      </w:r>
      <w:r w:rsidR="001305B7">
        <w:rPr>
          <w:b/>
        </w:rPr>
        <w:t>cio</w:t>
      </w:r>
      <w:r w:rsidR="00A81864" w:rsidRPr="00A81864">
        <w:rPr>
          <w:b/>
        </w:rPr>
        <w:t xml:space="preserve">nog </w:t>
      </w:r>
      <w:r w:rsidRPr="00A81864">
        <w:rPr>
          <w:b/>
        </w:rPr>
        <w:t>mapiranja</w:t>
      </w:r>
      <w:r w:rsidR="00A81864" w:rsidRPr="00A81864">
        <w:rPr>
          <w:b/>
        </w:rPr>
        <w:t xml:space="preserve"> </w:t>
      </w:r>
    </w:p>
    <w:p w14:paraId="69F11B1D" w14:textId="77777777" w:rsidR="00436868" w:rsidRPr="00593418" w:rsidRDefault="00436868" w:rsidP="00436868">
      <w:pPr>
        <w:suppressAutoHyphens w:val="0"/>
        <w:spacing w:after="0" w:line="240" w:lineRule="auto"/>
        <w:jc w:val="both"/>
      </w:pPr>
    </w:p>
    <w:p w14:paraId="61AA04AB" w14:textId="30E08785" w:rsidR="00436868" w:rsidRPr="00593418" w:rsidRDefault="00436868" w:rsidP="00436868">
      <w:pPr>
        <w:suppressAutoHyphens w:val="0"/>
        <w:spacing w:after="0" w:line="240" w:lineRule="auto"/>
        <w:jc w:val="both"/>
      </w:pPr>
      <w:r w:rsidRPr="00593418">
        <w:t xml:space="preserve">Rezultate mapiranja </w:t>
      </w:r>
      <w:r w:rsidR="005E2346">
        <w:t xml:space="preserve">ekonomskog, istraživačkog i inovacionog potencijala je neophodno povezati, radi identifikacije prioritetnih sektora na koje pametna specijalizacija treba da se fokusira, usmjeravajući instrumente i mjere nacionalne politike. Međutim, povezivanje </w:t>
      </w:r>
      <w:r w:rsidRPr="00593418">
        <w:t xml:space="preserve">nije jednostavno </w:t>
      </w:r>
      <w:r w:rsidR="00D73D3C">
        <w:t>realizovati</w:t>
      </w:r>
      <w:r w:rsidR="002D070A">
        <w:t>,</w:t>
      </w:r>
      <w:r w:rsidRPr="00593418">
        <w:t xml:space="preserve"> jer se rezultati ekonomskog i inova</w:t>
      </w:r>
      <w:r w:rsidR="002144A2">
        <w:t>cionog</w:t>
      </w:r>
      <w:r w:rsidRPr="00593418">
        <w:t xml:space="preserve"> mapiranja ne nalaze na trećem nivou klasifikacije NACE, a kada je u pitanju </w:t>
      </w:r>
      <w:r w:rsidR="00C15883">
        <w:t>istraživačko</w:t>
      </w:r>
      <w:r w:rsidRPr="00593418">
        <w:t xml:space="preserve"> mapiranje jedinica analize nije </w:t>
      </w:r>
      <w:r w:rsidR="003B1FB5">
        <w:t>sektor</w:t>
      </w:r>
      <w:r w:rsidR="003B1FB5" w:rsidRPr="00593418">
        <w:t xml:space="preserve"> </w:t>
      </w:r>
      <w:r w:rsidRPr="00593418">
        <w:t xml:space="preserve">već oblast nauke. </w:t>
      </w:r>
    </w:p>
    <w:p w14:paraId="144DCFEA" w14:textId="77777777" w:rsidR="003D00E7" w:rsidRPr="00593418" w:rsidRDefault="003D00E7" w:rsidP="00436868">
      <w:pPr>
        <w:suppressAutoHyphens w:val="0"/>
        <w:spacing w:after="0" w:line="240" w:lineRule="auto"/>
        <w:jc w:val="both"/>
      </w:pPr>
    </w:p>
    <w:p w14:paraId="52820BDB" w14:textId="0F41DDC8" w:rsidR="00436868" w:rsidRPr="00593418" w:rsidRDefault="00436868" w:rsidP="00436868">
      <w:pPr>
        <w:suppressAutoHyphens w:val="0"/>
        <w:spacing w:after="0" w:line="240" w:lineRule="auto"/>
        <w:jc w:val="both"/>
      </w:pPr>
      <w:r w:rsidRPr="00593418">
        <w:t>Na osnovu analize istraživačkih kapaciteta već prepoznatih prioriteta kroz analizu ekonomskog potencijala (poljoprivreda, energija, ICT, prerađivačka industrija, zdravlje i kvalitet života, građevinarstvo i turizam)</w:t>
      </w:r>
      <w:r w:rsidR="00543F02" w:rsidRPr="00593418">
        <w:t>,</w:t>
      </w:r>
      <w:r w:rsidRPr="00593418">
        <w:t xml:space="preserve"> evidentno je da poljoprivreda, ICT, medicina i zdravlje ljudi, kao i energija imaju prepoznat istraživački potencijal (Scimago, H2020)</w:t>
      </w:r>
      <w:r w:rsidR="00543F02" w:rsidRPr="00593418">
        <w:t>,</w:t>
      </w:r>
      <w:r w:rsidRPr="00593418">
        <w:t xml:space="preserve"> </w:t>
      </w:r>
      <w:r w:rsidR="00543F02" w:rsidRPr="00593418">
        <w:t>d</w:t>
      </w:r>
      <w:r w:rsidRPr="00593418">
        <w:t xml:space="preserve">ok prioritetni sektori građevinarstvo i nauka o materijalima (prerađivačka industrija) imaju slabiji istraživački potencijal i nalaze se </w:t>
      </w:r>
      <w:r w:rsidR="001305B7">
        <w:t>na</w:t>
      </w:r>
      <w:r w:rsidR="001305B7" w:rsidRPr="00593418">
        <w:t xml:space="preserve"> </w:t>
      </w:r>
      <w:r w:rsidRPr="00593418">
        <w:t>sredini liste na svjetskom n</w:t>
      </w:r>
      <w:r w:rsidR="001305B7">
        <w:t>i</w:t>
      </w:r>
      <w:r w:rsidRPr="00593418">
        <w:t>vou (Scimago).  U sektoru turizma slabija je dinamika istraživačkih aktivnosti na svjetskom nivou u odnosu na ostale pomenute sektore i</w:t>
      </w:r>
      <w:r w:rsidR="002144A2">
        <w:t xml:space="preserve"> </w:t>
      </w:r>
      <w:r w:rsidRPr="00593418">
        <w:t xml:space="preserve">interesantno je da se </w:t>
      </w:r>
      <w:r w:rsidR="002144A2">
        <w:t xml:space="preserve">u ovoj kategoriji Crna Gora </w:t>
      </w:r>
      <w:r w:rsidRPr="00593418">
        <w:t xml:space="preserve">nalazi </w:t>
      </w:r>
      <w:r w:rsidR="001305B7">
        <w:t xml:space="preserve">na </w:t>
      </w:r>
      <w:r w:rsidR="001305B7" w:rsidRPr="00593418">
        <w:t>sredin</w:t>
      </w:r>
      <w:r w:rsidR="001305B7">
        <w:t>i</w:t>
      </w:r>
      <w:r w:rsidR="001305B7" w:rsidRPr="00593418">
        <w:t xml:space="preserve"> </w:t>
      </w:r>
      <w:r w:rsidRPr="00593418">
        <w:t xml:space="preserve">liste (Scimago). </w:t>
      </w:r>
    </w:p>
    <w:p w14:paraId="082DFC5C" w14:textId="77777777" w:rsidR="003D00E7" w:rsidRPr="00593418" w:rsidRDefault="003D00E7" w:rsidP="00436868">
      <w:pPr>
        <w:suppressAutoHyphens w:val="0"/>
        <w:spacing w:after="0" w:line="240" w:lineRule="auto"/>
        <w:jc w:val="both"/>
      </w:pPr>
    </w:p>
    <w:p w14:paraId="620DB470" w14:textId="47632812" w:rsidR="00436868" w:rsidRPr="00593418" w:rsidRDefault="00436868" w:rsidP="00436868">
      <w:pPr>
        <w:suppressAutoHyphens w:val="0"/>
        <w:spacing w:after="0" w:line="240" w:lineRule="auto"/>
        <w:jc w:val="both"/>
      </w:pPr>
      <w:r w:rsidRPr="00593418">
        <w:t>Kada su u pitanju inova</w:t>
      </w:r>
      <w:r w:rsidR="002D4A32">
        <w:t>cioni</w:t>
      </w:r>
      <w:r w:rsidRPr="00593418">
        <w:t xml:space="preserve"> potencijali, gledano sa stanovišta strukture patenata u </w:t>
      </w:r>
      <w:r w:rsidR="00543F02" w:rsidRPr="00593418">
        <w:t>posljednjih</w:t>
      </w:r>
      <w:r w:rsidRPr="00593418">
        <w:t xml:space="preserve"> 10 godina oblasti energije i poljoprivrede prednjače</w:t>
      </w:r>
      <w:r w:rsidR="00543F02" w:rsidRPr="00593418">
        <w:t>,</w:t>
      </w:r>
      <w:r w:rsidRPr="00593418">
        <w:t xml:space="preserve"> dok su odmah iza njih novi materijali, medicina i građevina. </w:t>
      </w:r>
    </w:p>
    <w:p w14:paraId="6736F94F" w14:textId="77777777" w:rsidR="003D00E7" w:rsidRPr="00593418" w:rsidRDefault="003D00E7" w:rsidP="00436868">
      <w:pPr>
        <w:suppressAutoHyphens w:val="0"/>
        <w:spacing w:after="0" w:line="240" w:lineRule="auto"/>
        <w:jc w:val="both"/>
      </w:pPr>
    </w:p>
    <w:p w14:paraId="1C926F6B" w14:textId="77777777" w:rsidR="006762DC" w:rsidRDefault="00E31575" w:rsidP="00436868">
      <w:pPr>
        <w:suppressAutoHyphens w:val="0"/>
        <w:spacing w:after="0" w:line="240" w:lineRule="auto"/>
        <w:jc w:val="both"/>
      </w:pPr>
      <w:r>
        <w:t>Iz prethodno navedenog, može se</w:t>
      </w:r>
      <w:r w:rsidRPr="00593418">
        <w:t xml:space="preserve"> </w:t>
      </w:r>
      <w:r w:rsidR="00436868" w:rsidRPr="00593418">
        <w:t>zaključiti da identifikovane oblasti ekonomske specijalizacije imaju istraživačku i inova</w:t>
      </w:r>
      <w:r w:rsidR="00B85CDB">
        <w:t>cionu</w:t>
      </w:r>
      <w:r w:rsidR="00436868" w:rsidRPr="00593418">
        <w:t xml:space="preserve"> podršku</w:t>
      </w:r>
      <w:r w:rsidR="00D73D3C">
        <w:t>,</w:t>
      </w:r>
      <w:r w:rsidR="00436868" w:rsidRPr="00593418">
        <w:t xml:space="preserve"> ali sa različitim potencijalima i međunarodno prepoznatim rezultatima.</w:t>
      </w:r>
    </w:p>
    <w:p w14:paraId="09E0460C" w14:textId="7A5DD37D" w:rsidR="005057E7" w:rsidRDefault="005057E7" w:rsidP="00436868">
      <w:pPr>
        <w:suppressAutoHyphens w:val="0"/>
        <w:spacing w:after="0" w:line="240" w:lineRule="auto"/>
        <w:jc w:val="both"/>
      </w:pPr>
    </w:p>
    <w:p w14:paraId="7C874A2F" w14:textId="77777777" w:rsidR="005057E7" w:rsidRDefault="005057E7" w:rsidP="00436868">
      <w:pPr>
        <w:suppressAutoHyphens w:val="0"/>
        <w:spacing w:after="0" w:line="240" w:lineRule="auto"/>
        <w:jc w:val="both"/>
      </w:pPr>
    </w:p>
    <w:p w14:paraId="46814524" w14:textId="485CD8D4" w:rsidR="008808D0" w:rsidRDefault="00F203C3" w:rsidP="005057E7">
      <w:pPr>
        <w:pStyle w:val="Heading1"/>
      </w:pPr>
      <w:bookmarkStart w:id="28" w:name="_Toc529890089"/>
      <w:bookmarkStart w:id="29" w:name="_Toc530143284"/>
      <w:r>
        <w:t>V</w:t>
      </w:r>
      <w:r w:rsidR="006762DC" w:rsidRPr="00593418">
        <w:t xml:space="preserve"> SWOT</w:t>
      </w:r>
      <w:bookmarkEnd w:id="28"/>
      <w:bookmarkEnd w:id="29"/>
    </w:p>
    <w:p w14:paraId="2CF71894" w14:textId="77777777" w:rsidR="005057E7" w:rsidRPr="005057E7" w:rsidRDefault="005057E7" w:rsidP="005057E7"/>
    <w:p w14:paraId="4D9768C8" w14:textId="77777777" w:rsidR="006762DC" w:rsidRPr="00593418" w:rsidRDefault="006762DC" w:rsidP="006762DC">
      <w:pPr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>SNAGE</w:t>
      </w:r>
    </w:p>
    <w:p w14:paraId="449B9D6B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Prisustvo međunarodno dobro integrisanih izvrsnih istraživačkih timova</w:t>
      </w:r>
      <w:r>
        <w:rPr>
          <w:rFonts w:cstheme="minorHAnsi"/>
          <w:lang w:val="sr-Latn-ME"/>
        </w:rPr>
        <w:t>/individualaca;</w:t>
      </w:r>
    </w:p>
    <w:p w14:paraId="20F2E6C4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Postojanje pravnog i institucionalnog okvira</w:t>
      </w:r>
      <w:r>
        <w:rPr>
          <w:rFonts w:cstheme="minorHAnsi"/>
          <w:lang w:val="sr-Latn-ME"/>
        </w:rPr>
        <w:t>;</w:t>
      </w:r>
    </w:p>
    <w:p w14:paraId="218BBF54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>
        <w:rPr>
          <w:rFonts w:cstheme="minorHAnsi"/>
          <w:lang w:val="sr-Latn-ME"/>
        </w:rPr>
        <w:t>R</w:t>
      </w:r>
      <w:r w:rsidRPr="00593418">
        <w:rPr>
          <w:rFonts w:cstheme="minorHAnsi"/>
          <w:lang w:val="sr-Latn-ME"/>
        </w:rPr>
        <w:t>azvijen visokoškolski sistem</w:t>
      </w:r>
      <w:r>
        <w:rPr>
          <w:rFonts w:cstheme="minorHAnsi"/>
          <w:lang w:val="sr-Latn-ME"/>
        </w:rPr>
        <w:t>;</w:t>
      </w:r>
    </w:p>
    <w:p w14:paraId="0937AFFE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Atraktivna lokacija </w:t>
      </w:r>
      <w:r>
        <w:rPr>
          <w:rFonts w:cstheme="minorHAnsi"/>
          <w:lang w:val="sr-Latn-ME"/>
        </w:rPr>
        <w:t xml:space="preserve">i veličina zemlje </w:t>
      </w:r>
      <w:r w:rsidRPr="00593418">
        <w:rPr>
          <w:rFonts w:cstheme="minorHAnsi"/>
          <w:lang w:val="sr-Latn-ME"/>
        </w:rPr>
        <w:t xml:space="preserve">za pilot projekte </w:t>
      </w:r>
      <w:r>
        <w:rPr>
          <w:rFonts w:cstheme="minorHAnsi"/>
          <w:lang w:val="sr-Latn-ME"/>
        </w:rPr>
        <w:t>baziranih na novim</w:t>
      </w:r>
      <w:r w:rsidRPr="00593418">
        <w:rPr>
          <w:rFonts w:cstheme="minorHAnsi"/>
          <w:lang w:val="sr-Latn-ME"/>
        </w:rPr>
        <w:t xml:space="preserve"> </w:t>
      </w:r>
      <w:r>
        <w:rPr>
          <w:rFonts w:cstheme="minorHAnsi"/>
          <w:lang w:val="sr-Latn-ME"/>
        </w:rPr>
        <w:t>tehnologijama;</w:t>
      </w:r>
    </w:p>
    <w:p w14:paraId="386758C6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Dostupnost visoko</w:t>
      </w:r>
      <w:r>
        <w:rPr>
          <w:rFonts w:cstheme="minorHAnsi"/>
          <w:lang w:val="sr-Latn-ME"/>
        </w:rPr>
        <w:t>-</w:t>
      </w:r>
      <w:r w:rsidRPr="00593418">
        <w:rPr>
          <w:rFonts w:cstheme="minorHAnsi"/>
          <w:lang w:val="sr-Latn-ME"/>
        </w:rPr>
        <w:t>obrazovane radne snage</w:t>
      </w:r>
      <w:r>
        <w:rPr>
          <w:rFonts w:cstheme="minorHAnsi"/>
          <w:lang w:val="sr-Latn-ME"/>
        </w:rPr>
        <w:t>;</w:t>
      </w:r>
    </w:p>
    <w:p w14:paraId="6FC571ED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Ekološka očuvanost, raspoloživost i raznovrsnost prirodnih resursa</w:t>
      </w:r>
      <w:r>
        <w:rPr>
          <w:rFonts w:cstheme="minorHAnsi"/>
          <w:lang w:val="sr-Latn-ME"/>
        </w:rPr>
        <w:t>;</w:t>
      </w:r>
    </w:p>
    <w:p w14:paraId="04B094AD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Dobra t</w:t>
      </w:r>
      <w:r>
        <w:rPr>
          <w:rFonts w:cstheme="minorHAnsi"/>
          <w:lang w:val="sr-Latn-ME"/>
        </w:rPr>
        <w:t>elekomunikaciona infrastruktura;</w:t>
      </w:r>
    </w:p>
    <w:p w14:paraId="054462D4" w14:textId="77777777" w:rsidR="006762DC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Prisustvo velikih internacionalnih kompanija iz oblasti ICT-a.</w:t>
      </w:r>
    </w:p>
    <w:p w14:paraId="2B90186A" w14:textId="77777777" w:rsidR="006762DC" w:rsidRPr="00593418" w:rsidRDefault="006762DC" w:rsidP="006762DC">
      <w:pPr>
        <w:pStyle w:val="ListParagraph"/>
        <w:spacing w:after="0"/>
        <w:ind w:left="357"/>
        <w:rPr>
          <w:rFonts w:cstheme="minorHAnsi"/>
          <w:lang w:val="sr-Latn-ME"/>
        </w:rPr>
      </w:pPr>
    </w:p>
    <w:p w14:paraId="5205533A" w14:textId="77777777" w:rsidR="006762DC" w:rsidRPr="00593418" w:rsidRDefault="006762DC" w:rsidP="006762DC">
      <w:pPr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>SLABOSTI</w:t>
      </w:r>
    </w:p>
    <w:p w14:paraId="3156C52B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Nedostatak </w:t>
      </w:r>
      <w:r>
        <w:rPr>
          <w:rFonts w:cstheme="minorHAnsi"/>
          <w:lang w:val="sr-Latn-ME"/>
        </w:rPr>
        <w:t>„</w:t>
      </w:r>
      <w:r w:rsidRPr="00593418">
        <w:rPr>
          <w:rFonts w:cstheme="minorHAnsi"/>
          <w:lang w:val="sr-Latn-ME"/>
        </w:rPr>
        <w:t>kritične mase</w:t>
      </w:r>
      <w:r>
        <w:rPr>
          <w:rFonts w:cstheme="minorHAnsi"/>
          <w:lang w:val="sr-Latn-ME"/>
        </w:rPr>
        <w:t>“</w:t>
      </w:r>
      <w:r w:rsidRPr="00593418">
        <w:rPr>
          <w:rFonts w:cstheme="minorHAnsi"/>
          <w:lang w:val="sr-Latn-ME"/>
        </w:rPr>
        <w:t xml:space="preserve"> u naučnoj i istraživačkoj zajednici zbog fragmentacije i izolacije</w:t>
      </w:r>
      <w:r>
        <w:rPr>
          <w:rFonts w:cstheme="minorHAnsi"/>
          <w:lang w:val="sr-Latn-ME"/>
        </w:rPr>
        <w:t>;</w:t>
      </w:r>
    </w:p>
    <w:p w14:paraId="68D6C814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Generalno nedovoljan </w:t>
      </w:r>
      <w:r w:rsidRPr="00593418">
        <w:rPr>
          <w:rFonts w:cstheme="minorHAnsi"/>
          <w:lang w:val="sr-Latn-ME"/>
        </w:rPr>
        <w:t>prenos znanja i tehnologija iz evropskih lab</w:t>
      </w:r>
      <w:r>
        <w:rPr>
          <w:rFonts w:cstheme="minorHAnsi"/>
          <w:lang w:val="sr-Latn-ME"/>
        </w:rPr>
        <w:t>o</w:t>
      </w:r>
      <w:r w:rsidRPr="00593418">
        <w:rPr>
          <w:rFonts w:cstheme="minorHAnsi"/>
          <w:lang w:val="sr-Latn-ME"/>
        </w:rPr>
        <w:t>ratorija</w:t>
      </w:r>
      <w:r>
        <w:rPr>
          <w:rFonts w:cstheme="minorHAnsi"/>
          <w:lang w:val="sr-Latn-ME"/>
        </w:rPr>
        <w:t>;</w:t>
      </w:r>
    </w:p>
    <w:p w14:paraId="12C68FB8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Sredstva nacionalnog budžeta za istra</w:t>
      </w:r>
      <w:r>
        <w:rPr>
          <w:rFonts w:cstheme="minorHAnsi"/>
          <w:lang w:val="sr-Latn-ME"/>
        </w:rPr>
        <w:t>ž</w:t>
      </w:r>
      <w:r w:rsidRPr="00593418">
        <w:rPr>
          <w:rFonts w:cstheme="minorHAnsi"/>
          <w:lang w:val="sr-Latn-ME"/>
        </w:rPr>
        <w:t xml:space="preserve">ivanja </w:t>
      </w:r>
      <w:r>
        <w:rPr>
          <w:rFonts w:cstheme="minorHAnsi"/>
          <w:lang w:val="sr-Latn-ME"/>
        </w:rPr>
        <w:t>i</w:t>
      </w:r>
      <w:r w:rsidRPr="00593418">
        <w:rPr>
          <w:rFonts w:cstheme="minorHAnsi"/>
          <w:lang w:val="sr-Latn-ME"/>
        </w:rPr>
        <w:t xml:space="preserve"> inovacije </w:t>
      </w:r>
      <w:r>
        <w:rPr>
          <w:rFonts w:cstheme="minorHAnsi"/>
          <w:lang w:val="sr-Latn-ME"/>
        </w:rPr>
        <w:t>su nedovoljna;</w:t>
      </w:r>
    </w:p>
    <w:p w14:paraId="66844143" w14:textId="77777777" w:rsidR="006762DC" w:rsidRPr="00593418" w:rsidRDefault="006762DC" w:rsidP="006762DC">
      <w:pPr>
        <w:pStyle w:val="ListParagraph"/>
        <w:numPr>
          <w:ilvl w:val="0"/>
          <w:numId w:val="17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Slabi administrativni kapaciteti za apsorpciju d</w:t>
      </w:r>
      <w:r>
        <w:rPr>
          <w:rFonts w:cstheme="minorHAnsi"/>
          <w:lang w:val="sr-Latn-ME"/>
        </w:rPr>
        <w:t>ostupnih pretpristupnih fondova;</w:t>
      </w:r>
    </w:p>
    <w:p w14:paraId="7AC882C0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Nedovoljno učešće privatnog sektora u aktivnostima istraživanja i inovacija</w:t>
      </w:r>
      <w:r>
        <w:rPr>
          <w:rFonts w:cstheme="minorHAnsi"/>
          <w:lang w:val="sr-Latn-ME"/>
        </w:rPr>
        <w:t>;</w:t>
      </w:r>
    </w:p>
    <w:p w14:paraId="794CF0AA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Ograničen usp</w:t>
      </w:r>
      <w:r>
        <w:rPr>
          <w:rFonts w:cstheme="minorHAnsi"/>
          <w:lang w:val="sr-Latn-ME"/>
        </w:rPr>
        <w:t>j</w:t>
      </w:r>
      <w:r w:rsidRPr="00593418">
        <w:rPr>
          <w:rFonts w:cstheme="minorHAnsi"/>
          <w:lang w:val="sr-Latn-ME"/>
        </w:rPr>
        <w:t>eh u konkurentnom međunarodnom istraživačko-razvojnom programu</w:t>
      </w:r>
      <w:r>
        <w:rPr>
          <w:rFonts w:cstheme="minorHAnsi"/>
          <w:lang w:val="sr-Latn-ME"/>
        </w:rPr>
        <w:t>;</w:t>
      </w:r>
    </w:p>
    <w:p w14:paraId="17B99FC6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Slabe veze IR institucija sa poslovnim sektorom</w:t>
      </w:r>
      <w:r>
        <w:rPr>
          <w:rFonts w:cstheme="minorHAnsi"/>
          <w:lang w:val="sr-Latn-ME"/>
        </w:rPr>
        <w:t>;</w:t>
      </w:r>
    </w:p>
    <w:p w14:paraId="473325B4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Nedostatak statističkih podataka koji su u skladu sa Evropskom unijom o i</w:t>
      </w:r>
      <w:r>
        <w:rPr>
          <w:rFonts w:cstheme="minorHAnsi"/>
          <w:lang w:val="sr-Latn-ME"/>
        </w:rPr>
        <w:t>novacijama</w:t>
      </w:r>
      <w:r w:rsidRPr="00593418">
        <w:rPr>
          <w:rFonts w:cstheme="minorHAnsi"/>
          <w:lang w:val="sr-Latn-ME"/>
        </w:rPr>
        <w:t xml:space="preserve"> i razvoju</w:t>
      </w:r>
      <w:r>
        <w:rPr>
          <w:rFonts w:cstheme="minorHAnsi"/>
          <w:lang w:val="sr-Latn-ME"/>
        </w:rPr>
        <w:t>;</w:t>
      </w:r>
    </w:p>
    <w:p w14:paraId="103A3BC4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lastRenderedPageBreak/>
        <w:t>Većina preduzeća je mikro i mala</w:t>
      </w:r>
      <w:r>
        <w:rPr>
          <w:rFonts w:cstheme="minorHAnsi"/>
          <w:lang w:val="sr-Latn-ME"/>
        </w:rPr>
        <w:t>;</w:t>
      </w:r>
    </w:p>
    <w:p w14:paraId="25138BB9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Nizak nivo </w:t>
      </w:r>
      <w:r>
        <w:rPr>
          <w:rFonts w:cstheme="minorHAnsi"/>
          <w:lang w:val="sr-Latn-ME"/>
        </w:rPr>
        <w:t xml:space="preserve">ukupnog </w:t>
      </w:r>
      <w:r w:rsidRPr="00593418">
        <w:rPr>
          <w:rFonts w:cstheme="minorHAnsi"/>
          <w:lang w:val="sr-Latn-ME"/>
        </w:rPr>
        <w:t>ulaganja u istraživanje i inovacije</w:t>
      </w:r>
      <w:r>
        <w:rPr>
          <w:rFonts w:cstheme="minorHAnsi"/>
          <w:lang w:val="sr-Latn-ME"/>
        </w:rPr>
        <w:t>.</w:t>
      </w:r>
    </w:p>
    <w:p w14:paraId="79E3F08D" w14:textId="77777777" w:rsidR="006762DC" w:rsidRPr="00593418" w:rsidRDefault="006762DC" w:rsidP="006762DC">
      <w:pPr>
        <w:spacing w:after="0"/>
        <w:rPr>
          <w:rFonts w:asciiTheme="minorHAnsi" w:hAnsiTheme="minorHAnsi" w:cstheme="minorHAnsi"/>
        </w:rPr>
      </w:pPr>
    </w:p>
    <w:p w14:paraId="389041D7" w14:textId="77777777" w:rsidR="006762DC" w:rsidRPr="00593418" w:rsidRDefault="006762DC" w:rsidP="006762DC">
      <w:pPr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>PRILIKE</w:t>
      </w:r>
    </w:p>
    <w:p w14:paraId="113AAF3F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Omogućen pristup vodeć</w:t>
      </w:r>
      <w:r>
        <w:rPr>
          <w:rFonts w:cstheme="minorHAnsi"/>
          <w:lang w:val="sr-Latn-ME"/>
        </w:rPr>
        <w:t>i</w:t>
      </w:r>
      <w:r w:rsidRPr="00593418">
        <w:rPr>
          <w:rFonts w:cstheme="minorHAnsi"/>
          <w:lang w:val="sr-Latn-ME"/>
        </w:rPr>
        <w:t>m međunarodn</w:t>
      </w:r>
      <w:r>
        <w:rPr>
          <w:rFonts w:cstheme="minorHAnsi"/>
          <w:lang w:val="sr-Latn-ME"/>
        </w:rPr>
        <w:t>i</w:t>
      </w:r>
      <w:r w:rsidRPr="00593418">
        <w:rPr>
          <w:rFonts w:cstheme="minorHAnsi"/>
          <w:lang w:val="sr-Latn-ME"/>
        </w:rPr>
        <w:t>m R&amp;I fond</w:t>
      </w:r>
      <w:r>
        <w:rPr>
          <w:rFonts w:cstheme="minorHAnsi"/>
          <w:lang w:val="sr-Latn-ME"/>
        </w:rPr>
        <w:t>ovima;</w:t>
      </w:r>
    </w:p>
    <w:p w14:paraId="1361CB12" w14:textId="77777777" w:rsidR="006762DC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>
        <w:rPr>
          <w:rFonts w:cstheme="minorHAnsi"/>
          <w:lang w:val="sr-Latn-ME"/>
        </w:rPr>
        <w:t>M</w:t>
      </w:r>
      <w:r w:rsidRPr="00593418">
        <w:rPr>
          <w:rFonts w:cstheme="minorHAnsi"/>
          <w:lang w:val="sr-Latn-ME"/>
        </w:rPr>
        <w:t>ogućnost plasiranj</w:t>
      </w:r>
      <w:r>
        <w:rPr>
          <w:rFonts w:cstheme="minorHAnsi"/>
          <w:lang w:val="sr-Latn-ME"/>
        </w:rPr>
        <w:t>a</w:t>
      </w:r>
      <w:r w:rsidRPr="00593418">
        <w:rPr>
          <w:rFonts w:cstheme="minorHAnsi"/>
          <w:lang w:val="sr-Latn-ME"/>
        </w:rPr>
        <w:t xml:space="preserve"> znanja, inovacija i inovativnih tehnologija</w:t>
      </w:r>
      <w:r>
        <w:rPr>
          <w:rFonts w:cstheme="minorHAnsi"/>
          <w:lang w:val="sr-Latn-ME"/>
        </w:rPr>
        <w:t>;</w:t>
      </w:r>
    </w:p>
    <w:p w14:paraId="29B83A72" w14:textId="77777777" w:rsidR="006762DC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>
        <w:rPr>
          <w:rFonts w:cstheme="minorHAnsi"/>
          <w:lang w:val="sr-Latn-ME"/>
        </w:rPr>
        <w:t>Raspolozivost prirodnih resursa i sekundarnih tehnogenih sirovina za nove industrijske projekte;</w:t>
      </w:r>
    </w:p>
    <w:p w14:paraId="1BA6F724" w14:textId="77777777" w:rsidR="006762DC" w:rsidRPr="00B66F3A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Lokalne firme koje </w:t>
      </w:r>
      <w:r>
        <w:rPr>
          <w:rFonts w:cstheme="minorHAnsi"/>
          <w:lang w:val="sr-Latn-ME"/>
        </w:rPr>
        <w:t>u</w:t>
      </w:r>
      <w:r w:rsidRPr="00593418">
        <w:rPr>
          <w:rFonts w:cstheme="minorHAnsi"/>
          <w:lang w:val="sr-Latn-ME"/>
        </w:rPr>
        <w:t xml:space="preserve">vode inovacije u energetici, </w:t>
      </w:r>
      <w:r>
        <w:rPr>
          <w:rFonts w:cstheme="minorHAnsi"/>
          <w:lang w:val="sr-Latn-ME"/>
        </w:rPr>
        <w:t xml:space="preserve">turizmu, </w:t>
      </w:r>
      <w:r w:rsidRPr="00593418">
        <w:rPr>
          <w:rFonts w:cstheme="minorHAnsi"/>
          <w:lang w:val="sr-Latn-ME"/>
        </w:rPr>
        <w:t>proizvodnji i poljoprivredi</w:t>
      </w:r>
      <w:r>
        <w:rPr>
          <w:rFonts w:cstheme="minorHAnsi"/>
          <w:lang w:val="sr-Latn-ME"/>
        </w:rPr>
        <w:t>;</w:t>
      </w:r>
    </w:p>
    <w:p w14:paraId="6F63DDBE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Ostvarivanje daljeg pristupa velikim međunarodnim istraživačkim infrastrukturama (CERN, EMBL, itd.)</w:t>
      </w:r>
      <w:r>
        <w:rPr>
          <w:rFonts w:cstheme="minorHAnsi"/>
          <w:lang w:val="sr-Latn-ME"/>
        </w:rPr>
        <w:t>;</w:t>
      </w:r>
    </w:p>
    <w:p w14:paraId="653EAEAB" w14:textId="77777777" w:rsidR="006762DC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Implementacija </w:t>
      </w:r>
      <w:r>
        <w:rPr>
          <w:rFonts w:cstheme="minorHAnsi"/>
          <w:lang w:val="sr-Latn-ME"/>
        </w:rPr>
        <w:t>„krupne</w:t>
      </w:r>
      <w:r w:rsidRPr="00593418">
        <w:rPr>
          <w:rFonts w:cstheme="minorHAnsi"/>
          <w:lang w:val="sr-Latn-ME"/>
        </w:rPr>
        <w:t xml:space="preserve"> istraživačke infrastrukture za održive tehnologije</w:t>
      </w:r>
      <w:r>
        <w:rPr>
          <w:rFonts w:cstheme="minorHAnsi"/>
          <w:lang w:val="sr-Latn-ME"/>
        </w:rPr>
        <w:t>“</w:t>
      </w:r>
      <w:r w:rsidRPr="00593418">
        <w:rPr>
          <w:rFonts w:cstheme="minorHAnsi"/>
          <w:lang w:val="sr-Latn-ME"/>
        </w:rPr>
        <w:t xml:space="preserve"> u </w:t>
      </w:r>
      <w:r>
        <w:rPr>
          <w:rFonts w:cstheme="minorHAnsi"/>
          <w:lang w:val="sr-Latn-ME"/>
        </w:rPr>
        <w:t>J</w:t>
      </w:r>
      <w:r w:rsidRPr="00593418">
        <w:rPr>
          <w:rFonts w:cstheme="minorHAnsi"/>
          <w:lang w:val="sr-Latn-ME"/>
        </w:rPr>
        <w:t>ugoistočnoj Evropi</w:t>
      </w:r>
      <w:r>
        <w:rPr>
          <w:rFonts w:cstheme="minorHAnsi"/>
          <w:lang w:val="sr-Latn-ME"/>
        </w:rPr>
        <w:t xml:space="preserve"> SEEIIST;</w:t>
      </w:r>
    </w:p>
    <w:p w14:paraId="30BFBE7F" w14:textId="77777777" w:rsidR="006762DC" w:rsidRPr="00F95707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>
        <w:rPr>
          <w:rFonts w:cstheme="minorHAnsi"/>
          <w:lang w:val="sr-Latn-ME"/>
        </w:rPr>
        <w:t>Uspostavljanje Naucno-tehnoloskog parka i  razvoj c</w:t>
      </w:r>
      <w:r w:rsidRPr="00593418">
        <w:rPr>
          <w:rFonts w:cstheme="minorHAnsi"/>
          <w:lang w:val="sr-Latn-ME"/>
        </w:rPr>
        <w:t>entar</w:t>
      </w:r>
      <w:r>
        <w:rPr>
          <w:rFonts w:cstheme="minorHAnsi"/>
          <w:lang w:val="sr-Latn-ME"/>
        </w:rPr>
        <w:t>a</w:t>
      </w:r>
      <w:r w:rsidRPr="00593418">
        <w:rPr>
          <w:rFonts w:cstheme="minorHAnsi"/>
          <w:lang w:val="sr-Latn-ME"/>
        </w:rPr>
        <w:t xml:space="preserve"> izvrsnosti</w:t>
      </w:r>
      <w:r>
        <w:rPr>
          <w:rFonts w:cstheme="minorHAnsi"/>
          <w:lang w:val="sr-Latn-ME"/>
        </w:rPr>
        <w:t>;</w:t>
      </w:r>
    </w:p>
    <w:p w14:paraId="46FBE8F3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Korišćenje ljudskog RI potencijala u dijaspori</w:t>
      </w:r>
      <w:r>
        <w:rPr>
          <w:rFonts w:cstheme="minorHAnsi"/>
          <w:lang w:val="sr-Latn-ME"/>
        </w:rPr>
        <w:t>;</w:t>
      </w:r>
    </w:p>
    <w:p w14:paraId="492491D0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Preuzimanje vodeće uloge u projektima podržanim od međunarodnih RI programa</w:t>
      </w:r>
      <w:r>
        <w:rPr>
          <w:rFonts w:cstheme="minorHAnsi"/>
          <w:lang w:val="sr-Latn-ME"/>
        </w:rPr>
        <w:t>;</w:t>
      </w:r>
    </w:p>
    <w:p w14:paraId="1AFAA2BE" w14:textId="77777777" w:rsidR="006762DC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Adekvatno prisustvo formiranja klastera sa određenom ulogom u lancu inovacija</w:t>
      </w:r>
      <w:r>
        <w:rPr>
          <w:rFonts w:cstheme="minorHAnsi"/>
          <w:lang w:val="sr-Latn-ME"/>
        </w:rPr>
        <w:t>.</w:t>
      </w:r>
    </w:p>
    <w:p w14:paraId="1C42261F" w14:textId="77777777" w:rsidR="006762DC" w:rsidRPr="00593418" w:rsidRDefault="006762DC" w:rsidP="006762DC">
      <w:pPr>
        <w:pStyle w:val="ListParagraph"/>
        <w:spacing w:after="0"/>
        <w:ind w:left="357"/>
        <w:rPr>
          <w:rFonts w:cstheme="minorHAnsi"/>
          <w:lang w:val="sr-Latn-ME"/>
        </w:rPr>
      </w:pPr>
    </w:p>
    <w:p w14:paraId="30BD3799" w14:textId="77777777" w:rsidR="006762DC" w:rsidRPr="00593418" w:rsidRDefault="006762DC" w:rsidP="006762DC">
      <w:pPr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>PRIJETNJE</w:t>
      </w:r>
    </w:p>
    <w:p w14:paraId="660AB53B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Gubitak visoko kvalifikovanih istraživačkih i inovacionih ljudskih resursa</w:t>
      </w:r>
      <w:r>
        <w:rPr>
          <w:rFonts w:cstheme="minorHAnsi"/>
          <w:lang w:val="sr-Latn-ME"/>
        </w:rPr>
        <w:t>;</w:t>
      </w:r>
    </w:p>
    <w:p w14:paraId="43D791AB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Nepovoljni demografski trendovi i migracija</w:t>
      </w:r>
      <w:r>
        <w:rPr>
          <w:rFonts w:cstheme="minorHAnsi"/>
          <w:lang w:val="sr-Latn-ME"/>
        </w:rPr>
        <w:t>;</w:t>
      </w:r>
    </w:p>
    <w:p w14:paraId="3FFC22EA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Administrativne barijere za investicije i razvoj biznisa</w:t>
      </w:r>
      <w:r>
        <w:rPr>
          <w:rFonts w:cstheme="minorHAnsi"/>
          <w:lang w:val="sr-Latn-ME"/>
        </w:rPr>
        <w:t>;</w:t>
      </w:r>
    </w:p>
    <w:p w14:paraId="46D44406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Niska produktivnost radne snage</w:t>
      </w:r>
      <w:r>
        <w:rPr>
          <w:rFonts w:cstheme="minorHAnsi"/>
          <w:lang w:val="sr-Latn-ME"/>
        </w:rPr>
        <w:t>;</w:t>
      </w:r>
    </w:p>
    <w:p w14:paraId="58426BED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Konkurencija n</w:t>
      </w:r>
      <w:r>
        <w:rPr>
          <w:rFonts w:cstheme="minorHAnsi"/>
          <w:lang w:val="sr-Latn-ME"/>
        </w:rPr>
        <w:t>a regionalnom i globalnom nivou;</w:t>
      </w:r>
    </w:p>
    <w:p w14:paraId="07334376" w14:textId="77777777" w:rsidR="006762DC" w:rsidRPr="00593418" w:rsidRDefault="006762DC" w:rsidP="006762DC">
      <w:pPr>
        <w:pStyle w:val="ListParagraph"/>
        <w:numPr>
          <w:ilvl w:val="1"/>
          <w:numId w:val="18"/>
        </w:numPr>
        <w:spacing w:after="0"/>
        <w:ind w:left="357" w:hanging="357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Nedovoljno razvijena </w:t>
      </w:r>
      <w:r w:rsidRPr="00593418">
        <w:rPr>
          <w:rFonts w:cstheme="minorHAnsi"/>
          <w:lang w:val="sr-Latn-ME"/>
        </w:rPr>
        <w:t>saobraćajna infrastruktura.</w:t>
      </w:r>
    </w:p>
    <w:p w14:paraId="2F86EB67" w14:textId="0B31B609" w:rsidR="00CD0F43" w:rsidRDefault="00CD0F43" w:rsidP="006762DC">
      <w:pPr>
        <w:suppressAutoHyphens w:val="0"/>
        <w:spacing w:after="0" w:line="240" w:lineRule="auto"/>
        <w:jc w:val="both"/>
        <w:rPr>
          <w:lang w:eastAsia="en-GB"/>
        </w:rPr>
      </w:pPr>
    </w:p>
    <w:p w14:paraId="0D213A12" w14:textId="77777777" w:rsidR="005057E7" w:rsidRPr="00593418" w:rsidRDefault="005057E7" w:rsidP="006762DC">
      <w:pPr>
        <w:suppressAutoHyphens w:val="0"/>
        <w:spacing w:after="0" w:line="240" w:lineRule="auto"/>
        <w:jc w:val="both"/>
        <w:rPr>
          <w:lang w:eastAsia="en-GB"/>
        </w:rPr>
      </w:pPr>
    </w:p>
    <w:p w14:paraId="7F18E695" w14:textId="7894DF38" w:rsidR="00BD5143" w:rsidRPr="00593418" w:rsidRDefault="00253B54" w:rsidP="00A327C7">
      <w:pPr>
        <w:pStyle w:val="Heading1"/>
      </w:pPr>
      <w:bookmarkStart w:id="30" w:name="_Toc521071254"/>
      <w:bookmarkStart w:id="31" w:name="_Toc529890090"/>
      <w:bookmarkStart w:id="32" w:name="_Toc530143285"/>
      <w:bookmarkEnd w:id="27"/>
      <w:r w:rsidRPr="00593418">
        <w:t xml:space="preserve">VI </w:t>
      </w:r>
      <w:r w:rsidR="009B108A" w:rsidRPr="00593418">
        <w:t>STRATEŠKI</w:t>
      </w:r>
      <w:r w:rsidR="00BD5143" w:rsidRPr="00593418">
        <w:t xml:space="preserve"> </w:t>
      </w:r>
      <w:r w:rsidR="00A02200">
        <w:t>S3</w:t>
      </w:r>
      <w:r w:rsidR="00CD0F43" w:rsidRPr="00593418">
        <w:t xml:space="preserve"> PRIORITETI</w:t>
      </w:r>
      <w:bookmarkEnd w:id="30"/>
      <w:bookmarkEnd w:id="31"/>
      <w:bookmarkEnd w:id="32"/>
    </w:p>
    <w:p w14:paraId="70DE2248" w14:textId="77777777" w:rsidR="00CD0F43" w:rsidRPr="00593418" w:rsidRDefault="00CD0F43" w:rsidP="00CD0F43"/>
    <w:p w14:paraId="7952E16E" w14:textId="620A26A7" w:rsidR="00EB46CB" w:rsidRPr="00593418" w:rsidRDefault="002255F2" w:rsidP="00264838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 xml:space="preserve">Na osnovu strateške vizije </w:t>
      </w:r>
      <w:r w:rsidR="00253B54" w:rsidRPr="00593418">
        <w:rPr>
          <w:rFonts w:asciiTheme="minorHAnsi" w:hAnsiTheme="minorHAnsi"/>
        </w:rPr>
        <w:t xml:space="preserve">razvoja </w:t>
      </w:r>
      <w:r w:rsidRPr="00593418">
        <w:rPr>
          <w:rFonts w:asciiTheme="minorHAnsi" w:hAnsiTheme="minorHAnsi"/>
        </w:rPr>
        <w:t>Crne Gore</w:t>
      </w:r>
      <w:r w:rsidR="00B078A4" w:rsidRPr="00593418">
        <w:rPr>
          <w:rFonts w:asciiTheme="minorHAnsi" w:hAnsiTheme="minorHAnsi"/>
        </w:rPr>
        <w:t xml:space="preserve">, </w:t>
      </w:r>
      <w:r w:rsidR="00253B54" w:rsidRPr="00593418">
        <w:rPr>
          <w:rFonts w:asciiTheme="minorHAnsi" w:hAnsiTheme="minorHAnsi"/>
        </w:rPr>
        <w:t xml:space="preserve">primjenom </w:t>
      </w:r>
      <w:r w:rsidR="00A02200">
        <w:rPr>
          <w:rFonts w:asciiTheme="minorHAnsi" w:hAnsiTheme="minorHAnsi"/>
        </w:rPr>
        <w:t>S3</w:t>
      </w:r>
      <w:r w:rsidR="00253B54" w:rsidRPr="00593418">
        <w:rPr>
          <w:rFonts w:asciiTheme="minorHAnsi" w:hAnsiTheme="minorHAnsi"/>
        </w:rPr>
        <w:t xml:space="preserve"> metodologije </w:t>
      </w:r>
      <w:r w:rsidR="00B078A4" w:rsidRPr="00593418">
        <w:rPr>
          <w:rFonts w:asciiTheme="minorHAnsi" w:hAnsiTheme="minorHAnsi"/>
        </w:rPr>
        <w:t xml:space="preserve">i </w:t>
      </w:r>
      <w:r w:rsidR="00253B54" w:rsidRPr="00593418">
        <w:rPr>
          <w:rFonts w:asciiTheme="minorHAnsi" w:hAnsiTheme="minorHAnsi"/>
        </w:rPr>
        <w:t xml:space="preserve">sprovođenjem </w:t>
      </w:r>
      <w:r w:rsidR="00C66C2B">
        <w:rPr>
          <w:rFonts w:asciiTheme="minorHAnsi" w:hAnsiTheme="minorHAnsi"/>
        </w:rPr>
        <w:t>P</w:t>
      </w:r>
      <w:r w:rsidR="00B078A4" w:rsidRPr="00593418">
        <w:rPr>
          <w:rFonts w:asciiTheme="minorHAnsi" w:hAnsiTheme="minorHAnsi"/>
        </w:rPr>
        <w:t xml:space="preserve">rocesa </w:t>
      </w:r>
      <w:r w:rsidR="00253B54" w:rsidRPr="00593418">
        <w:rPr>
          <w:rFonts w:asciiTheme="minorHAnsi" w:hAnsiTheme="minorHAnsi"/>
        </w:rPr>
        <w:t xml:space="preserve">preduzetničkog otkrivanja, </w:t>
      </w:r>
      <w:r w:rsidR="00B078A4" w:rsidRPr="00593418">
        <w:rPr>
          <w:rFonts w:asciiTheme="minorHAnsi" w:hAnsiTheme="minorHAnsi"/>
        </w:rPr>
        <w:t>definisano</w:t>
      </w:r>
      <w:r w:rsidR="003F7FFB" w:rsidRPr="00593418">
        <w:rPr>
          <w:rFonts w:asciiTheme="minorHAnsi" w:hAnsiTheme="minorHAnsi"/>
        </w:rPr>
        <w:t xml:space="preserve"> je pet </w:t>
      </w:r>
      <w:r w:rsidR="00C057E6" w:rsidRPr="00593418">
        <w:rPr>
          <w:rFonts w:asciiTheme="minorHAnsi" w:hAnsiTheme="minorHAnsi"/>
        </w:rPr>
        <w:t>prioritetnih ekonomskih oblasti</w:t>
      </w:r>
      <w:r w:rsidR="003F7FFB" w:rsidRPr="00593418">
        <w:rPr>
          <w:rFonts w:asciiTheme="minorHAnsi" w:hAnsiTheme="minorHAnsi"/>
        </w:rPr>
        <w:t>. Ulaganjem</w:t>
      </w:r>
      <w:r w:rsidR="00EB46CB" w:rsidRPr="00593418">
        <w:rPr>
          <w:rFonts w:asciiTheme="minorHAnsi" w:hAnsiTheme="minorHAnsi"/>
        </w:rPr>
        <w:t>,</w:t>
      </w:r>
      <w:r w:rsidR="003F7FFB" w:rsidRPr="00593418">
        <w:rPr>
          <w:rFonts w:asciiTheme="minorHAnsi" w:hAnsiTheme="minorHAnsi"/>
        </w:rPr>
        <w:t xml:space="preserve"> kao i razvojem inova</w:t>
      </w:r>
      <w:r w:rsidR="00F878F0">
        <w:rPr>
          <w:rFonts w:asciiTheme="minorHAnsi" w:hAnsiTheme="minorHAnsi"/>
        </w:rPr>
        <w:t>cionog</w:t>
      </w:r>
      <w:r w:rsidR="00C057E6" w:rsidRPr="00593418">
        <w:rPr>
          <w:rFonts w:asciiTheme="minorHAnsi" w:hAnsiTheme="minorHAnsi"/>
        </w:rPr>
        <w:t xml:space="preserve"> i istraživačkog potencijala</w:t>
      </w:r>
      <w:r w:rsidR="003F7FFB" w:rsidRPr="00593418">
        <w:rPr>
          <w:rFonts w:asciiTheme="minorHAnsi" w:hAnsiTheme="minorHAnsi"/>
        </w:rPr>
        <w:t xml:space="preserve"> u predloženim prioritetnim oblastima</w:t>
      </w:r>
      <w:r w:rsidR="00EB46CB" w:rsidRPr="00593418">
        <w:rPr>
          <w:rFonts w:asciiTheme="minorHAnsi" w:hAnsiTheme="minorHAnsi"/>
        </w:rPr>
        <w:t>,</w:t>
      </w:r>
      <w:r w:rsidR="003F7FFB" w:rsidRPr="00593418">
        <w:rPr>
          <w:rFonts w:asciiTheme="minorHAnsi" w:hAnsiTheme="minorHAnsi"/>
        </w:rPr>
        <w:t xml:space="preserve"> kreiraće se nove mogućnosti za preduzetničke aktivnosti i razvo</w:t>
      </w:r>
      <w:r w:rsidR="00EB46CB" w:rsidRPr="00593418">
        <w:rPr>
          <w:rFonts w:asciiTheme="minorHAnsi" w:hAnsiTheme="minorHAnsi"/>
        </w:rPr>
        <w:t xml:space="preserve">j ekonomije zasnovan na znanju. </w:t>
      </w:r>
    </w:p>
    <w:p w14:paraId="5D566D67" w14:textId="61D9AA83" w:rsidR="00DD3714" w:rsidRDefault="00264838" w:rsidP="00264838">
      <w:pPr>
        <w:spacing w:after="120" w:line="240" w:lineRule="auto"/>
        <w:jc w:val="both"/>
        <w:rPr>
          <w:rFonts w:asciiTheme="minorHAnsi" w:hAnsiTheme="minorHAnsi"/>
        </w:rPr>
      </w:pPr>
      <w:r w:rsidRPr="00593418">
        <w:rPr>
          <w:rFonts w:asciiTheme="minorHAnsi" w:hAnsiTheme="minorHAnsi"/>
        </w:rPr>
        <w:t>Predloženi</w:t>
      </w:r>
      <w:r w:rsidR="002562FE" w:rsidRPr="00593418">
        <w:rPr>
          <w:rFonts w:asciiTheme="minorHAnsi" w:hAnsiTheme="minorHAnsi"/>
        </w:rPr>
        <w:t xml:space="preserve"> </w:t>
      </w:r>
      <w:r w:rsidR="00B078A4" w:rsidRPr="00593418">
        <w:rPr>
          <w:rFonts w:asciiTheme="minorHAnsi" w:hAnsiTheme="minorHAnsi"/>
        </w:rPr>
        <w:t>prioriteti</w:t>
      </w:r>
      <w:r w:rsidR="002562FE" w:rsidRPr="00593418">
        <w:rPr>
          <w:rFonts w:asciiTheme="minorHAnsi" w:hAnsiTheme="minorHAnsi"/>
        </w:rPr>
        <w:t xml:space="preserve"> su: </w:t>
      </w:r>
      <w:r w:rsidR="00143171" w:rsidRPr="00593418">
        <w:rPr>
          <w:rFonts w:asciiTheme="minorHAnsi" w:hAnsiTheme="minorHAnsi"/>
        </w:rPr>
        <w:t>o</w:t>
      </w:r>
      <w:r w:rsidR="002562FE" w:rsidRPr="00593418">
        <w:rPr>
          <w:rFonts w:asciiTheme="minorHAnsi" w:hAnsiTheme="minorHAnsi"/>
        </w:rPr>
        <w:t>bnovljivi izvori energije</w:t>
      </w:r>
      <w:r w:rsidR="00F878F0">
        <w:rPr>
          <w:rFonts w:asciiTheme="minorHAnsi" w:hAnsiTheme="minorHAnsi"/>
        </w:rPr>
        <w:t xml:space="preserve"> i energetska efikasnost</w:t>
      </w:r>
      <w:r w:rsidR="0059133D">
        <w:rPr>
          <w:rFonts w:asciiTheme="minorHAnsi" w:hAnsiTheme="minorHAnsi"/>
        </w:rPr>
        <w:t>;</w:t>
      </w:r>
      <w:r w:rsidR="002562FE" w:rsidRPr="00593418">
        <w:rPr>
          <w:rFonts w:asciiTheme="minorHAnsi" w:hAnsiTheme="minorHAnsi"/>
        </w:rPr>
        <w:t xml:space="preserve"> </w:t>
      </w:r>
      <w:r w:rsidR="00143171" w:rsidRPr="00593418">
        <w:rPr>
          <w:rFonts w:asciiTheme="minorHAnsi" w:hAnsiTheme="minorHAnsi"/>
        </w:rPr>
        <w:t>o</w:t>
      </w:r>
      <w:r w:rsidR="002562FE" w:rsidRPr="00593418">
        <w:rPr>
          <w:rFonts w:asciiTheme="minorHAnsi" w:hAnsiTheme="minorHAnsi"/>
        </w:rPr>
        <w:t>drživa poljoprivreda i lanac vrijednosti hrane</w:t>
      </w:r>
      <w:r w:rsidR="0059133D">
        <w:rPr>
          <w:rFonts w:asciiTheme="minorHAnsi" w:hAnsiTheme="minorHAnsi"/>
        </w:rPr>
        <w:t>;</w:t>
      </w:r>
      <w:r w:rsidR="002562FE" w:rsidRPr="00593418">
        <w:rPr>
          <w:rFonts w:asciiTheme="minorHAnsi" w:hAnsiTheme="minorHAnsi"/>
        </w:rPr>
        <w:t xml:space="preserve"> </w:t>
      </w:r>
      <w:r w:rsidR="008560C6">
        <w:rPr>
          <w:rFonts w:asciiTheme="minorHAnsi" w:hAnsiTheme="minorHAnsi"/>
        </w:rPr>
        <w:t>novi</w:t>
      </w:r>
      <w:r w:rsidR="008560C6" w:rsidRPr="00593418">
        <w:rPr>
          <w:rFonts w:asciiTheme="minorHAnsi" w:hAnsiTheme="minorHAnsi"/>
        </w:rPr>
        <w:t xml:space="preserve"> </w:t>
      </w:r>
      <w:r w:rsidR="002562FE" w:rsidRPr="00593418">
        <w:rPr>
          <w:rFonts w:asciiTheme="minorHAnsi" w:hAnsiTheme="minorHAnsi"/>
        </w:rPr>
        <w:t>materijali</w:t>
      </w:r>
      <w:r w:rsidR="00C057E6" w:rsidRPr="00593418">
        <w:rPr>
          <w:rFonts w:asciiTheme="minorHAnsi" w:hAnsiTheme="minorHAnsi"/>
        </w:rPr>
        <w:t xml:space="preserve"> i održive tehnologije</w:t>
      </w:r>
      <w:r w:rsidR="0059133D">
        <w:rPr>
          <w:rFonts w:asciiTheme="minorHAnsi" w:hAnsiTheme="minorHAnsi"/>
        </w:rPr>
        <w:t>;</w:t>
      </w:r>
      <w:r w:rsidR="00C057E6" w:rsidRPr="00593418">
        <w:rPr>
          <w:rFonts w:asciiTheme="minorHAnsi" w:hAnsiTheme="minorHAnsi"/>
        </w:rPr>
        <w:t xml:space="preserve"> </w:t>
      </w:r>
      <w:r w:rsidR="00143171" w:rsidRPr="00593418">
        <w:rPr>
          <w:rFonts w:asciiTheme="minorHAnsi" w:hAnsiTheme="minorHAnsi"/>
        </w:rPr>
        <w:t>o</w:t>
      </w:r>
      <w:r w:rsidR="00C057E6" w:rsidRPr="00593418">
        <w:rPr>
          <w:rFonts w:asciiTheme="minorHAnsi" w:hAnsiTheme="minorHAnsi"/>
        </w:rPr>
        <w:t>drživi i zdravstveni turizam</w:t>
      </w:r>
      <w:r w:rsidR="0059133D">
        <w:rPr>
          <w:rFonts w:asciiTheme="minorHAnsi" w:hAnsiTheme="minorHAnsi"/>
        </w:rPr>
        <w:t>;</w:t>
      </w:r>
      <w:r w:rsidR="00C057E6" w:rsidRPr="00593418">
        <w:rPr>
          <w:rFonts w:asciiTheme="minorHAnsi" w:hAnsiTheme="minorHAnsi"/>
        </w:rPr>
        <w:t xml:space="preserve"> i ICT, p</w:t>
      </w:r>
      <w:r w:rsidR="002562FE" w:rsidRPr="00593418">
        <w:rPr>
          <w:rFonts w:asciiTheme="minorHAnsi" w:hAnsiTheme="minorHAnsi"/>
        </w:rPr>
        <w:t>ri čemu je ICT horizontalan sektor</w:t>
      </w:r>
      <w:r w:rsidR="00D67E67">
        <w:rPr>
          <w:rFonts w:asciiTheme="minorHAnsi" w:hAnsiTheme="minorHAnsi"/>
        </w:rPr>
        <w:t>,</w:t>
      </w:r>
      <w:r w:rsidR="002562FE" w:rsidRPr="00593418">
        <w:rPr>
          <w:rFonts w:asciiTheme="minorHAnsi" w:hAnsiTheme="minorHAnsi"/>
        </w:rPr>
        <w:t xml:space="preserve"> jer daje poslovnu i tehnološku p</w:t>
      </w:r>
      <w:r w:rsidR="00C057E6" w:rsidRPr="00593418">
        <w:rPr>
          <w:rFonts w:asciiTheme="minorHAnsi" w:hAnsiTheme="minorHAnsi"/>
        </w:rPr>
        <w:t>o</w:t>
      </w:r>
      <w:r w:rsidR="002562FE" w:rsidRPr="00593418">
        <w:rPr>
          <w:rFonts w:asciiTheme="minorHAnsi" w:hAnsiTheme="minorHAnsi"/>
        </w:rPr>
        <w:t>dršku ostalim</w:t>
      </w:r>
      <w:r w:rsidR="00C057E6" w:rsidRPr="00593418">
        <w:rPr>
          <w:rFonts w:asciiTheme="minorHAnsi" w:hAnsiTheme="minorHAnsi"/>
        </w:rPr>
        <w:t xml:space="preserve"> </w:t>
      </w:r>
      <w:r w:rsidR="00EB46CB" w:rsidRPr="00593418">
        <w:rPr>
          <w:rFonts w:asciiTheme="minorHAnsi" w:hAnsiTheme="minorHAnsi"/>
        </w:rPr>
        <w:t>prioritetnim sektorima</w:t>
      </w:r>
      <w:r w:rsidR="0028610F" w:rsidRPr="00593418">
        <w:rPr>
          <w:rFonts w:asciiTheme="minorHAnsi" w:hAnsiTheme="minorHAnsi"/>
        </w:rPr>
        <w:t xml:space="preserve"> (</w:t>
      </w:r>
      <w:r w:rsidR="00E4408E">
        <w:rPr>
          <w:rFonts w:asciiTheme="minorHAnsi" w:hAnsiTheme="minorHAnsi"/>
        </w:rPr>
        <w:t>Tabela 6</w:t>
      </w:r>
      <w:r w:rsidR="00C66C2B">
        <w:rPr>
          <w:rFonts w:asciiTheme="minorHAnsi" w:hAnsiTheme="minorHAnsi"/>
        </w:rPr>
        <w:t>.</w:t>
      </w:r>
      <w:r w:rsidR="0028610F" w:rsidRPr="00593418">
        <w:rPr>
          <w:rFonts w:asciiTheme="minorHAnsi" w:hAnsiTheme="minorHAnsi"/>
        </w:rPr>
        <w:t>)</w:t>
      </w:r>
      <w:r w:rsidR="00C057E6" w:rsidRPr="00593418">
        <w:rPr>
          <w:rFonts w:asciiTheme="minorHAnsi" w:hAnsiTheme="minorHAnsi"/>
        </w:rPr>
        <w:t>.</w:t>
      </w:r>
    </w:p>
    <w:p w14:paraId="5BB28DD2" w14:textId="4F864500" w:rsidR="008808D0" w:rsidRPr="00593418" w:rsidRDefault="005057E7" w:rsidP="005057E7">
      <w:pPr>
        <w:suppressAutoHyphens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10136AE" w14:textId="031AF25E" w:rsidR="00264838" w:rsidRDefault="00E4408E" w:rsidP="00DD3714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Tabela 6</w:t>
      </w:r>
      <w:r w:rsidR="00DD3714" w:rsidRPr="00593418">
        <w:rPr>
          <w:rFonts w:asciiTheme="minorHAnsi" w:hAnsiTheme="minorHAnsi"/>
          <w:b/>
          <w:sz w:val="20"/>
          <w:szCs w:val="20"/>
        </w:rPr>
        <w:t>. Prioriteti i veza sa vizijom razvoja</w:t>
      </w:r>
    </w:p>
    <w:p w14:paraId="3BD0BDF7" w14:textId="77777777" w:rsidR="008808D0" w:rsidRPr="00593418" w:rsidRDefault="008808D0" w:rsidP="00DD3714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078"/>
        <w:gridCol w:w="1201"/>
        <w:gridCol w:w="2493"/>
        <w:gridCol w:w="1907"/>
      </w:tblGrid>
      <w:tr w:rsidR="00C62FF3" w:rsidRPr="00593418" w14:paraId="153ACAA2" w14:textId="77777777" w:rsidTr="008808D0">
        <w:trPr>
          <w:trHeight w:val="242"/>
          <w:jc w:val="center"/>
        </w:trPr>
        <w:tc>
          <w:tcPr>
            <w:tcW w:w="1740" w:type="dxa"/>
            <w:vMerge w:val="restart"/>
            <w:vAlign w:val="center"/>
          </w:tcPr>
          <w:p w14:paraId="2421EBDF" w14:textId="77777777" w:rsidR="00C62FF3" w:rsidRPr="00593418" w:rsidRDefault="00C62FF3" w:rsidP="00C376E0">
            <w:pPr>
              <w:rPr>
                <w:rFonts w:asciiTheme="minorHAnsi" w:hAnsiTheme="minorHAnsi"/>
                <w:b/>
              </w:rPr>
            </w:pPr>
            <w:r w:rsidRPr="00593418">
              <w:rPr>
                <w:rFonts w:asciiTheme="minorHAnsi" w:hAnsiTheme="minorHAnsi"/>
                <w:b/>
              </w:rPr>
              <w:t>PRIORITETI</w:t>
            </w:r>
          </w:p>
        </w:tc>
        <w:tc>
          <w:tcPr>
            <w:tcW w:w="6679" w:type="dxa"/>
            <w:gridSpan w:val="4"/>
            <w:vAlign w:val="center"/>
          </w:tcPr>
          <w:p w14:paraId="446296AA" w14:textId="77777777" w:rsidR="00C62FF3" w:rsidRPr="00593418" w:rsidRDefault="00C62FF3" w:rsidP="009B1F8C">
            <w:pPr>
              <w:jc w:val="center"/>
              <w:rPr>
                <w:rFonts w:asciiTheme="minorHAnsi" w:hAnsiTheme="minorHAnsi"/>
                <w:b/>
              </w:rPr>
            </w:pPr>
            <w:r w:rsidRPr="00593418">
              <w:rPr>
                <w:rFonts w:asciiTheme="minorHAnsi" w:hAnsiTheme="minorHAnsi"/>
                <w:b/>
              </w:rPr>
              <w:t>RAZVOJNA VIZIJA CRNE GORE</w:t>
            </w:r>
          </w:p>
        </w:tc>
      </w:tr>
      <w:tr w:rsidR="00C62FF3" w:rsidRPr="00593418" w14:paraId="22D6C191" w14:textId="77777777" w:rsidTr="008808D0">
        <w:trPr>
          <w:trHeight w:val="269"/>
          <w:jc w:val="center"/>
        </w:trPr>
        <w:tc>
          <w:tcPr>
            <w:tcW w:w="1740" w:type="dxa"/>
            <w:vMerge/>
            <w:vAlign w:val="center"/>
          </w:tcPr>
          <w:p w14:paraId="0B7C5849" w14:textId="77777777" w:rsidR="00C62FF3" w:rsidRPr="00593418" w:rsidRDefault="00C62FF3">
            <w:pPr>
              <w:rPr>
                <w:rFonts w:asciiTheme="minorHAnsi" w:hAnsiTheme="minorHAnsi"/>
              </w:rPr>
            </w:pPr>
          </w:p>
        </w:tc>
        <w:tc>
          <w:tcPr>
            <w:tcW w:w="1078" w:type="dxa"/>
            <w:vAlign w:val="center"/>
          </w:tcPr>
          <w:p w14:paraId="3C539B2C" w14:textId="6ED11C8B" w:rsidR="00C62FF3" w:rsidRPr="00593418" w:rsidRDefault="00C62FF3">
            <w:pPr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Zdrav</w:t>
            </w:r>
            <w:r w:rsidR="00D67E67">
              <w:rPr>
                <w:rFonts w:asciiTheme="minorHAnsi" w:hAnsiTheme="minorHAnsi"/>
              </w:rPr>
              <w:t>ij</w:t>
            </w:r>
            <w:r w:rsidRPr="00593418">
              <w:rPr>
                <w:rFonts w:asciiTheme="minorHAnsi" w:hAnsiTheme="minorHAnsi"/>
              </w:rPr>
              <w:t>a</w:t>
            </w:r>
          </w:p>
        </w:tc>
        <w:tc>
          <w:tcPr>
            <w:tcW w:w="1201" w:type="dxa"/>
            <w:vAlign w:val="center"/>
          </w:tcPr>
          <w:p w14:paraId="6E74B8BB" w14:textId="77777777" w:rsidR="00C62FF3" w:rsidRPr="00593418" w:rsidRDefault="00C62FF3">
            <w:pPr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Održiva</w:t>
            </w:r>
          </w:p>
        </w:tc>
        <w:tc>
          <w:tcPr>
            <w:tcW w:w="2493" w:type="dxa"/>
            <w:vAlign w:val="center"/>
          </w:tcPr>
          <w:p w14:paraId="0EDFBE4B" w14:textId="77777777" w:rsidR="00C62FF3" w:rsidRPr="00593418" w:rsidRDefault="00C62FF3">
            <w:pPr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Modernizovana i digitalizovana</w:t>
            </w:r>
          </w:p>
        </w:tc>
        <w:tc>
          <w:tcPr>
            <w:tcW w:w="1907" w:type="dxa"/>
            <w:vAlign w:val="center"/>
          </w:tcPr>
          <w:p w14:paraId="38940D80" w14:textId="77777777" w:rsidR="00C62FF3" w:rsidRPr="00593418" w:rsidRDefault="00C62FF3">
            <w:pPr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  <w:b/>
              </w:rPr>
              <w:t>Razvijena i konkurentna</w:t>
            </w:r>
          </w:p>
        </w:tc>
      </w:tr>
      <w:tr w:rsidR="00C62FF3" w:rsidRPr="00593418" w14:paraId="359A4419" w14:textId="77777777" w:rsidTr="008808D0">
        <w:trPr>
          <w:trHeight w:val="1241"/>
          <w:jc w:val="center"/>
        </w:trPr>
        <w:tc>
          <w:tcPr>
            <w:tcW w:w="1740" w:type="dxa"/>
            <w:vAlign w:val="center"/>
          </w:tcPr>
          <w:p w14:paraId="23CC97E4" w14:textId="77777777" w:rsidR="00C62FF3" w:rsidRPr="00593418" w:rsidRDefault="00C62FF3" w:rsidP="00A850F3">
            <w:pPr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Održiva poljoprivreda i lanac vrijednosti hrane</w:t>
            </w:r>
          </w:p>
        </w:tc>
        <w:tc>
          <w:tcPr>
            <w:tcW w:w="1078" w:type="dxa"/>
            <w:vAlign w:val="center"/>
          </w:tcPr>
          <w:p w14:paraId="7AEBD2DA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1201" w:type="dxa"/>
            <w:vAlign w:val="center"/>
          </w:tcPr>
          <w:p w14:paraId="4404EAE8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2493" w:type="dxa"/>
            <w:vAlign w:val="center"/>
          </w:tcPr>
          <w:p w14:paraId="0BB4ADE9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1907" w:type="dxa"/>
            <w:vAlign w:val="center"/>
          </w:tcPr>
          <w:p w14:paraId="2D807F24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</w:tr>
      <w:tr w:rsidR="00C62FF3" w:rsidRPr="00593418" w14:paraId="23961B00" w14:textId="77777777" w:rsidTr="004262DC">
        <w:trPr>
          <w:jc w:val="center"/>
        </w:trPr>
        <w:tc>
          <w:tcPr>
            <w:tcW w:w="1740" w:type="dxa"/>
            <w:vAlign w:val="center"/>
          </w:tcPr>
          <w:p w14:paraId="7A333983" w14:textId="25227745" w:rsidR="00C62FF3" w:rsidRPr="00593418" w:rsidRDefault="00C62FF3" w:rsidP="00A850F3">
            <w:pPr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Obnovljivi izvori energije</w:t>
            </w:r>
            <w:r w:rsidR="00C36ED8">
              <w:rPr>
                <w:rFonts w:asciiTheme="minorHAnsi" w:hAnsiTheme="minorHAnsi"/>
              </w:rPr>
              <w:t xml:space="preserve"> i energetska efikasnost</w:t>
            </w:r>
          </w:p>
        </w:tc>
        <w:tc>
          <w:tcPr>
            <w:tcW w:w="1078" w:type="dxa"/>
            <w:vAlign w:val="center"/>
          </w:tcPr>
          <w:p w14:paraId="1A324CE7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dxa"/>
            <w:vAlign w:val="center"/>
          </w:tcPr>
          <w:p w14:paraId="16BD0C91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2493" w:type="dxa"/>
            <w:vAlign w:val="center"/>
          </w:tcPr>
          <w:p w14:paraId="6D97D790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1907" w:type="dxa"/>
            <w:vAlign w:val="center"/>
          </w:tcPr>
          <w:p w14:paraId="753594B0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</w:tr>
      <w:tr w:rsidR="00C62FF3" w:rsidRPr="00593418" w14:paraId="3A107FD3" w14:textId="77777777" w:rsidTr="008808D0">
        <w:trPr>
          <w:trHeight w:val="863"/>
          <w:jc w:val="center"/>
        </w:trPr>
        <w:tc>
          <w:tcPr>
            <w:tcW w:w="1740" w:type="dxa"/>
            <w:vAlign w:val="center"/>
          </w:tcPr>
          <w:p w14:paraId="50969A9A" w14:textId="77777777" w:rsidR="00C62FF3" w:rsidRPr="00593418" w:rsidRDefault="00C62FF3" w:rsidP="00472DA5">
            <w:pPr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Novi materijali i održive tehnologije</w:t>
            </w:r>
          </w:p>
        </w:tc>
        <w:tc>
          <w:tcPr>
            <w:tcW w:w="1078" w:type="dxa"/>
            <w:vAlign w:val="center"/>
          </w:tcPr>
          <w:p w14:paraId="3CB5EA5A" w14:textId="0C4F420B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dxa"/>
            <w:vAlign w:val="center"/>
          </w:tcPr>
          <w:p w14:paraId="29EC4175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2493" w:type="dxa"/>
            <w:vAlign w:val="center"/>
          </w:tcPr>
          <w:p w14:paraId="6797F946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1907" w:type="dxa"/>
            <w:vAlign w:val="center"/>
          </w:tcPr>
          <w:p w14:paraId="4C42CF1E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</w:tr>
      <w:tr w:rsidR="00C62FF3" w:rsidRPr="00593418" w14:paraId="0C47E526" w14:textId="77777777" w:rsidTr="004262DC">
        <w:trPr>
          <w:jc w:val="center"/>
        </w:trPr>
        <w:tc>
          <w:tcPr>
            <w:tcW w:w="1740" w:type="dxa"/>
            <w:vAlign w:val="center"/>
          </w:tcPr>
          <w:p w14:paraId="260497E6" w14:textId="4A11A78F" w:rsidR="00C62FF3" w:rsidRPr="00593418" w:rsidRDefault="00F203C3" w:rsidP="00F203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Održivi </w:t>
            </w:r>
            <w:r w:rsidR="00C62FF3" w:rsidRPr="00593418">
              <w:rPr>
                <w:rFonts w:asciiTheme="minorHAnsi" w:hAnsiTheme="minorHAnsi"/>
              </w:rPr>
              <w:t xml:space="preserve"> i </w:t>
            </w:r>
            <w:r>
              <w:rPr>
                <w:rFonts w:asciiTheme="minorHAnsi" w:hAnsiTheme="minorHAnsi"/>
              </w:rPr>
              <w:t xml:space="preserve">zdravstveni </w:t>
            </w:r>
            <w:r w:rsidR="00C62FF3" w:rsidRPr="00593418">
              <w:rPr>
                <w:rFonts w:asciiTheme="minorHAnsi" w:hAnsiTheme="minorHAnsi"/>
              </w:rPr>
              <w:t>turizam</w:t>
            </w:r>
          </w:p>
        </w:tc>
        <w:tc>
          <w:tcPr>
            <w:tcW w:w="1078" w:type="dxa"/>
            <w:vAlign w:val="center"/>
          </w:tcPr>
          <w:p w14:paraId="194408A8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1201" w:type="dxa"/>
            <w:vAlign w:val="center"/>
          </w:tcPr>
          <w:p w14:paraId="620CCE0D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  <w:tc>
          <w:tcPr>
            <w:tcW w:w="2493" w:type="dxa"/>
            <w:vAlign w:val="center"/>
          </w:tcPr>
          <w:p w14:paraId="2049AB55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07" w:type="dxa"/>
            <w:vAlign w:val="center"/>
          </w:tcPr>
          <w:p w14:paraId="453E90DA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x</w:t>
            </w:r>
          </w:p>
        </w:tc>
      </w:tr>
      <w:tr w:rsidR="00C62FF3" w:rsidRPr="00593418" w14:paraId="740E4712" w14:textId="77777777" w:rsidTr="008808D0">
        <w:trPr>
          <w:trHeight w:val="58"/>
          <w:jc w:val="center"/>
        </w:trPr>
        <w:tc>
          <w:tcPr>
            <w:tcW w:w="1740" w:type="dxa"/>
            <w:vAlign w:val="center"/>
          </w:tcPr>
          <w:p w14:paraId="3D2E9023" w14:textId="77777777" w:rsidR="00C62FF3" w:rsidRPr="00593418" w:rsidRDefault="00C62FF3" w:rsidP="00A850F3">
            <w:pPr>
              <w:rPr>
                <w:rFonts w:asciiTheme="minorHAnsi" w:hAnsiTheme="minorHAnsi"/>
              </w:rPr>
            </w:pPr>
            <w:r w:rsidRPr="00593418">
              <w:rPr>
                <w:rFonts w:asciiTheme="minorHAnsi" w:hAnsiTheme="minorHAnsi"/>
              </w:rPr>
              <w:t>ICT</w:t>
            </w:r>
          </w:p>
        </w:tc>
        <w:tc>
          <w:tcPr>
            <w:tcW w:w="1078" w:type="dxa"/>
            <w:vAlign w:val="center"/>
          </w:tcPr>
          <w:p w14:paraId="3E5C646F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01" w:type="dxa"/>
            <w:vAlign w:val="center"/>
          </w:tcPr>
          <w:p w14:paraId="7985C85E" w14:textId="77777777" w:rsidR="00C62FF3" w:rsidRPr="00593418" w:rsidRDefault="00C62FF3" w:rsidP="004262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93" w:type="dxa"/>
            <w:vAlign w:val="center"/>
          </w:tcPr>
          <w:p w14:paraId="1C64BA62" w14:textId="599B72E0" w:rsidR="00C62FF3" w:rsidRPr="00593418" w:rsidRDefault="004D090A" w:rsidP="004262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907" w:type="dxa"/>
            <w:vAlign w:val="center"/>
          </w:tcPr>
          <w:p w14:paraId="5F4EFB5F" w14:textId="3B92DDAE" w:rsidR="00C62FF3" w:rsidRPr="00593418" w:rsidRDefault="004D090A" w:rsidP="004262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</w:tbl>
    <w:p w14:paraId="47C8B51B" w14:textId="2E699A5C" w:rsidR="005057E7" w:rsidRDefault="005057E7" w:rsidP="005057E7">
      <w:bookmarkStart w:id="33" w:name="_Toc529890091"/>
      <w:bookmarkStart w:id="34" w:name="_Toc526168920"/>
    </w:p>
    <w:p w14:paraId="2453926A" w14:textId="77777777" w:rsidR="005057E7" w:rsidRDefault="005057E7" w:rsidP="005057E7"/>
    <w:p w14:paraId="308A2201" w14:textId="2AE12909" w:rsidR="00CD0F43" w:rsidRPr="00593418" w:rsidRDefault="00B078A4" w:rsidP="00A327C7">
      <w:pPr>
        <w:pStyle w:val="Heading2"/>
      </w:pPr>
      <w:bookmarkStart w:id="35" w:name="_Toc530143286"/>
      <w:r w:rsidRPr="00593418">
        <w:t>V</w:t>
      </w:r>
      <w:r w:rsidR="00253B54" w:rsidRPr="00593418">
        <w:t>I</w:t>
      </w:r>
      <w:r w:rsidR="00826F04">
        <w:t xml:space="preserve"> </w:t>
      </w:r>
      <w:r w:rsidRPr="00593418">
        <w:t xml:space="preserve">1. </w:t>
      </w:r>
      <w:r w:rsidR="00CD0F43" w:rsidRPr="00593418">
        <w:t>NOVI MATERIJALI I ODRŽIVE TEHNOLOGIJE</w:t>
      </w:r>
      <w:bookmarkEnd w:id="33"/>
      <w:bookmarkEnd w:id="35"/>
      <w:r w:rsidR="00CD0F43" w:rsidRPr="00593418">
        <w:t xml:space="preserve">      </w:t>
      </w:r>
      <w:bookmarkEnd w:id="34"/>
      <w:r w:rsidR="00CD0F43" w:rsidRPr="00593418">
        <w:tab/>
      </w:r>
      <w:r w:rsidR="00CD0F43" w:rsidRPr="00593418">
        <w:tab/>
      </w:r>
    </w:p>
    <w:p w14:paraId="624D3C50" w14:textId="77777777" w:rsidR="00264838" w:rsidRPr="00593418" w:rsidRDefault="00264838" w:rsidP="00264838">
      <w:pPr>
        <w:rPr>
          <w:lang w:eastAsia="en-GB"/>
        </w:rPr>
      </w:pPr>
    </w:p>
    <w:p w14:paraId="3E474200" w14:textId="5309D391" w:rsidR="00CD0F43" w:rsidRPr="00593418" w:rsidRDefault="006C47F6" w:rsidP="002648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Crna Gora se opredijelila da u rastu i razvoju industrijskih i građevinskih kapaciteta obezbijedi usklađenost razvojnih potreba sa načelima i kriterijumima ekološke i prostorne zaštite. Učešće industrijske proizvodnje u formiranju BDP-a trenutno je </w:t>
      </w:r>
      <w:r w:rsidR="00216B4E" w:rsidRPr="00593418">
        <w:rPr>
          <w:rFonts w:asciiTheme="minorHAnsi" w:hAnsiTheme="minorHAnsi" w:cstheme="minorHAnsi"/>
        </w:rPr>
        <w:t>1</w:t>
      </w:r>
      <w:r w:rsidR="00216B4E">
        <w:rPr>
          <w:rFonts w:asciiTheme="minorHAnsi" w:hAnsiTheme="minorHAnsi" w:cstheme="minorHAnsi"/>
        </w:rPr>
        <w:t>1,6</w:t>
      </w:r>
      <w:r w:rsidR="00216B4E" w:rsidRPr="00593418">
        <w:rPr>
          <w:rFonts w:asciiTheme="minorHAnsi" w:hAnsiTheme="minorHAnsi" w:cstheme="minorHAnsi"/>
        </w:rPr>
        <w:t xml:space="preserve">%, </w:t>
      </w:r>
      <w:r w:rsidRPr="00593418">
        <w:rPr>
          <w:rFonts w:asciiTheme="minorHAnsi" w:hAnsiTheme="minorHAnsi" w:cstheme="minorHAnsi"/>
        </w:rPr>
        <w:t>dok je udio prerađivačke industrije 4</w:t>
      </w:r>
      <w:r w:rsidR="00216B4E">
        <w:rPr>
          <w:rFonts w:asciiTheme="minorHAnsi" w:hAnsiTheme="minorHAnsi" w:cstheme="minorHAnsi"/>
        </w:rPr>
        <w:t>,7</w:t>
      </w:r>
      <w:r w:rsidRPr="00593418">
        <w:rPr>
          <w:rFonts w:asciiTheme="minorHAnsi" w:hAnsiTheme="minorHAnsi" w:cstheme="minorHAnsi"/>
        </w:rPr>
        <w:t>% društvenog proizvoda. U okviru sektora</w:t>
      </w:r>
      <w:r w:rsidR="00A76681">
        <w:rPr>
          <w:rFonts w:asciiTheme="minorHAnsi" w:hAnsiTheme="minorHAnsi" w:cstheme="minorHAnsi"/>
        </w:rPr>
        <w:t xml:space="preserve"> prerađivačke</w:t>
      </w:r>
      <w:r w:rsidRPr="00593418">
        <w:rPr>
          <w:rFonts w:asciiTheme="minorHAnsi" w:hAnsiTheme="minorHAnsi" w:cstheme="minorHAnsi"/>
        </w:rPr>
        <w:t xml:space="preserve"> industrije, između ostalog, dominira proizvodnja čelika, aluminijuma,</w:t>
      </w:r>
      <w:r w:rsidR="000140E2">
        <w:rPr>
          <w:rFonts w:asciiTheme="minorHAnsi" w:hAnsiTheme="minorHAnsi" w:cstheme="minorHAnsi"/>
        </w:rPr>
        <w:t xml:space="preserve"> proizvoda od ostalih nemetalnih minerala,</w:t>
      </w:r>
      <w:r w:rsidRPr="00593418">
        <w:rPr>
          <w:rFonts w:asciiTheme="minorHAnsi" w:hAnsiTheme="minorHAnsi" w:cstheme="minorHAnsi"/>
        </w:rPr>
        <w:t xml:space="preserve"> </w:t>
      </w:r>
      <w:r w:rsidRPr="00056F78">
        <w:rPr>
          <w:rFonts w:asciiTheme="minorHAnsi" w:hAnsiTheme="minorHAnsi" w:cstheme="minorHAnsi"/>
        </w:rPr>
        <w:t>k</w:t>
      </w:r>
      <w:r w:rsidRPr="00593418">
        <w:rPr>
          <w:rFonts w:asciiTheme="minorHAnsi" w:hAnsiTheme="minorHAnsi" w:cstheme="minorHAnsi"/>
        </w:rPr>
        <w:t xml:space="preserve">ao </w:t>
      </w:r>
      <w:r w:rsidRPr="00056F78">
        <w:rPr>
          <w:rFonts w:asciiTheme="minorHAnsi" w:hAnsiTheme="minorHAnsi" w:cstheme="minorHAnsi"/>
        </w:rPr>
        <w:t xml:space="preserve">i </w:t>
      </w:r>
      <w:r w:rsidR="000140E2">
        <w:rPr>
          <w:rFonts w:asciiTheme="minorHAnsi" w:hAnsiTheme="minorHAnsi" w:cstheme="minorHAnsi"/>
        </w:rPr>
        <w:t>pre</w:t>
      </w:r>
      <w:r w:rsidR="000140E2" w:rsidRPr="00056F78">
        <w:rPr>
          <w:rFonts w:asciiTheme="minorHAnsi" w:hAnsiTheme="minorHAnsi" w:cstheme="minorHAnsi"/>
        </w:rPr>
        <w:t xml:space="preserve">rada </w:t>
      </w:r>
      <w:r w:rsidRPr="00056F78">
        <w:rPr>
          <w:rFonts w:asciiTheme="minorHAnsi" w:hAnsiTheme="minorHAnsi" w:cstheme="minorHAnsi"/>
        </w:rPr>
        <w:t>drveta</w:t>
      </w:r>
      <w:r w:rsidRPr="00593418">
        <w:rPr>
          <w:rFonts w:asciiTheme="minorHAnsi" w:hAnsiTheme="minorHAnsi" w:cstheme="minorHAnsi"/>
        </w:rPr>
        <w:t>. Učešće industrije u ukupnom izvozu je 91,5%. Crna Gora je u proteklom periodu sačuvala jezgro za nastavak proizvodnje osnovnih  metala i metalnih proizvoda</w:t>
      </w:r>
      <w:r w:rsidR="00CE34B0" w:rsidRPr="00593418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tako da su u strukturi izvoza najviše zastupljeni proizvodi iz metalnog sektora (aluminijum, čelik) koji čine oko 30% ukupnog izvoza industrije. Proizvodi od metala se mnogo koriste u građevinarstvu</w:t>
      </w:r>
      <w:r w:rsidR="00CE34B0" w:rsidRPr="00593418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što predstavlja značajnu razvojnu šansu, tim prije što građevinski sektor bilježi najveći rast (8,8%) u odnosu na sve industrijske sektore, pri čemu građevinski materijali </w:t>
      </w:r>
      <w:r w:rsidR="00CE34B0" w:rsidRPr="00593418">
        <w:rPr>
          <w:rFonts w:asciiTheme="minorHAnsi" w:hAnsiTheme="minorHAnsi" w:cstheme="minorHAnsi"/>
        </w:rPr>
        <w:t>čine</w:t>
      </w:r>
      <w:r w:rsidRPr="00593418">
        <w:rPr>
          <w:rFonts w:asciiTheme="minorHAnsi" w:hAnsiTheme="minorHAnsi" w:cstheme="minorHAnsi"/>
        </w:rPr>
        <w:t xml:space="preserve"> veliki dio crnogorskog ukupnog robnog uvoza (~20%). Ekspanzija građevinskog sektora je rezultat intenziviranja investicija, prije svega u infrastrukturu i turizam.</w:t>
      </w:r>
      <w:r w:rsidR="00CD0F43" w:rsidRPr="00593418">
        <w:rPr>
          <w:rFonts w:asciiTheme="minorHAnsi" w:hAnsiTheme="minorHAnsi" w:cstheme="minorHAnsi"/>
        </w:rPr>
        <w:t xml:space="preserve"> </w:t>
      </w:r>
    </w:p>
    <w:p w14:paraId="56F81D48" w14:textId="109EBBA4" w:rsidR="002C1365" w:rsidRPr="00593418" w:rsidRDefault="002C1365" w:rsidP="002C1365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3418">
        <w:rPr>
          <w:rFonts w:asciiTheme="minorHAnsi" w:hAnsiTheme="minorHAnsi" w:cstheme="minorHAnsi"/>
        </w:rPr>
        <w:t>Sektor</w:t>
      </w:r>
      <w:r w:rsidR="00A76681">
        <w:rPr>
          <w:rFonts w:asciiTheme="minorHAnsi" w:hAnsiTheme="minorHAnsi" w:cstheme="minorHAnsi"/>
        </w:rPr>
        <w:t xml:space="preserve"> prerađivačke</w:t>
      </w:r>
      <w:r w:rsidRPr="00593418">
        <w:rPr>
          <w:rFonts w:asciiTheme="minorHAnsi" w:hAnsiTheme="minorHAnsi" w:cstheme="minorHAnsi"/>
        </w:rPr>
        <w:t xml:space="preserve"> industrije </w:t>
      </w:r>
      <w:r w:rsidR="00CE34B0" w:rsidRPr="00593418">
        <w:rPr>
          <w:rFonts w:asciiTheme="minorHAnsi" w:hAnsiTheme="minorHAnsi" w:cstheme="minorHAnsi"/>
        </w:rPr>
        <w:t>generiše velike količine otpada</w:t>
      </w:r>
      <w:r w:rsidRPr="00593418">
        <w:rPr>
          <w:rFonts w:asciiTheme="minorHAnsi" w:hAnsiTheme="minorHAnsi" w:cstheme="minorHAnsi"/>
        </w:rPr>
        <w:t xml:space="preserve"> koji je rezultat proizvodnje u industrijskim sistemima kao što su Uniprom-KAP Podgorica, Toscelik Nikšić, TE Pljevlja, a i u malim i srednjim preduzećima. Najveći potencijal i upotrebnu vrijednost u strukturi industrijskog otpada imaju </w:t>
      </w:r>
      <w:r w:rsidRPr="00593418">
        <w:rPr>
          <w:rFonts w:asciiTheme="minorHAnsi" w:hAnsiTheme="minorHAnsi" w:cstheme="minorHAnsi"/>
        </w:rPr>
        <w:lastRenderedPageBreak/>
        <w:t>elektrofilterski pepeo, crveni mulj, šljaka, metalna prašina i drvni otpad. Primjenom odgovarajućih tehnologija, neki tipovi industrijskog otpada mogu biti pretvoreni u ekološki građevinski materijal, što predstavlja novu razvojnu šansu na principima cirkularne ekonomije. Budući da u</w:t>
      </w:r>
      <w:r w:rsidR="00A76681">
        <w:rPr>
          <w:rFonts w:asciiTheme="minorHAnsi" w:hAnsiTheme="minorHAnsi" w:cstheme="minorHAnsi"/>
        </w:rPr>
        <w:t xml:space="preserve"> oblasti proizvodnje</w:t>
      </w:r>
      <w:r w:rsidRPr="00593418">
        <w:rPr>
          <w:rFonts w:asciiTheme="minorHAnsi" w:hAnsiTheme="minorHAnsi" w:cstheme="minorHAnsi"/>
        </w:rPr>
        <w:t xml:space="preserve"> </w:t>
      </w:r>
      <w:r w:rsidR="00A76681" w:rsidRPr="00593418">
        <w:rPr>
          <w:rFonts w:asciiTheme="minorHAnsi" w:hAnsiTheme="minorHAnsi" w:cstheme="minorHAnsi"/>
        </w:rPr>
        <w:t>metal</w:t>
      </w:r>
      <w:r w:rsidR="00A76681">
        <w:rPr>
          <w:rFonts w:asciiTheme="minorHAnsi" w:hAnsiTheme="minorHAnsi" w:cstheme="minorHAnsi"/>
        </w:rPr>
        <w:t>a</w:t>
      </w:r>
      <w:r w:rsidRPr="00593418">
        <w:rPr>
          <w:rFonts w:asciiTheme="minorHAnsi" w:hAnsiTheme="minorHAnsi" w:cstheme="minorHAnsi"/>
        </w:rPr>
        <w:t xml:space="preserve"> govorimo o proizvodnji osnovnih metala, potrebno </w:t>
      </w:r>
      <w:r w:rsidR="00CE34B0" w:rsidRPr="00593418">
        <w:rPr>
          <w:rFonts w:asciiTheme="minorHAnsi" w:hAnsiTheme="minorHAnsi" w:cstheme="minorHAnsi"/>
        </w:rPr>
        <w:t>j</w:t>
      </w:r>
      <w:r w:rsidRPr="00593418">
        <w:rPr>
          <w:rFonts w:asciiTheme="minorHAnsi" w:hAnsiTheme="minorHAnsi" w:cstheme="minorHAnsi"/>
        </w:rPr>
        <w:t xml:space="preserve">e fokusirati </w:t>
      </w:r>
      <w:r w:rsidR="00CE34B0" w:rsidRPr="00593418">
        <w:rPr>
          <w:rFonts w:asciiTheme="minorHAnsi" w:hAnsiTheme="minorHAnsi" w:cstheme="minorHAnsi"/>
        </w:rPr>
        <w:t>se</w:t>
      </w:r>
      <w:r w:rsidRPr="00593418">
        <w:rPr>
          <w:rFonts w:asciiTheme="minorHAnsi" w:hAnsiTheme="minorHAnsi" w:cstheme="minorHAnsi"/>
        </w:rPr>
        <w:t xml:space="preserve"> na proizvode sa dodatnom vrijednošću ostvarenom većim stepenom finalne prerade, modernizovanjem postojećih kap</w:t>
      </w:r>
      <w:r w:rsidR="00CE34B0" w:rsidRPr="00593418">
        <w:rPr>
          <w:rFonts w:asciiTheme="minorHAnsi" w:hAnsiTheme="minorHAnsi" w:cstheme="minorHAnsi"/>
        </w:rPr>
        <w:t>aciteta i razvojem novih prerađ</w:t>
      </w:r>
      <w:r w:rsidRPr="00593418">
        <w:rPr>
          <w:rFonts w:asciiTheme="minorHAnsi" w:hAnsiTheme="minorHAnsi" w:cstheme="minorHAnsi"/>
        </w:rPr>
        <w:t>ivačkih kapaciteta i u sekt</w:t>
      </w:r>
      <w:r w:rsidR="00CE34B0" w:rsidRPr="00593418">
        <w:rPr>
          <w:rFonts w:asciiTheme="minorHAnsi" w:hAnsiTheme="minorHAnsi" w:cstheme="minorHAnsi"/>
        </w:rPr>
        <w:t>oru malih i srednjih preduzeća.</w:t>
      </w:r>
      <w:r w:rsidRPr="00593418">
        <w:rPr>
          <w:rFonts w:asciiTheme="minorHAnsi" w:hAnsiTheme="minorHAnsi" w:cstheme="minorHAnsi"/>
        </w:rPr>
        <w:t xml:space="preserve"> Svi postupci reciklaže otpada</w:t>
      </w:r>
      <w:r w:rsidR="008356DD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koji mogu dati konkurentan pr</w:t>
      </w:r>
      <w:r w:rsidR="00CE34B0" w:rsidRPr="00593418">
        <w:rPr>
          <w:rFonts w:asciiTheme="minorHAnsi" w:hAnsiTheme="minorHAnsi" w:cstheme="minorHAnsi"/>
        </w:rPr>
        <w:t>oizvod</w:t>
      </w:r>
      <w:r w:rsidR="00E3481D">
        <w:rPr>
          <w:rFonts w:asciiTheme="minorHAnsi" w:hAnsiTheme="minorHAnsi" w:cstheme="minorHAnsi"/>
        </w:rPr>
        <w:t>,</w:t>
      </w:r>
      <w:r w:rsidR="00CE34B0" w:rsidRPr="00593418">
        <w:rPr>
          <w:rFonts w:asciiTheme="minorHAnsi" w:hAnsiTheme="minorHAnsi" w:cstheme="minorHAnsi"/>
        </w:rPr>
        <w:t xml:space="preserve"> naročito u </w:t>
      </w:r>
      <w:r w:rsidR="00A76681">
        <w:rPr>
          <w:rFonts w:asciiTheme="minorHAnsi" w:hAnsiTheme="minorHAnsi" w:cstheme="minorHAnsi"/>
        </w:rPr>
        <w:t>oblasti</w:t>
      </w:r>
      <w:r w:rsidR="00A76681" w:rsidRPr="00593418">
        <w:rPr>
          <w:rFonts w:asciiTheme="minorHAnsi" w:hAnsiTheme="minorHAnsi" w:cstheme="minorHAnsi"/>
        </w:rPr>
        <w:t xml:space="preserve"> </w:t>
      </w:r>
      <w:r w:rsidR="00CE34B0" w:rsidRPr="00593418">
        <w:rPr>
          <w:rFonts w:asciiTheme="minorHAnsi" w:hAnsiTheme="minorHAnsi" w:cstheme="minorHAnsi"/>
        </w:rPr>
        <w:t>građ</w:t>
      </w:r>
      <w:r w:rsidRPr="00593418">
        <w:rPr>
          <w:rFonts w:asciiTheme="minorHAnsi" w:hAnsiTheme="minorHAnsi" w:cstheme="minorHAnsi"/>
        </w:rPr>
        <w:t>evinskih materijala</w:t>
      </w:r>
      <w:r w:rsidR="00CE34B0" w:rsidRPr="00593418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treba da postanu prioritet. Ispunjavanje ovakvog prioriteta mora biti praćeno ob</w:t>
      </w:r>
      <w:r w:rsidR="00CE34B0" w:rsidRPr="00593418">
        <w:rPr>
          <w:rFonts w:asciiTheme="minorHAnsi" w:hAnsiTheme="minorHAnsi" w:cstheme="minorHAnsi"/>
        </w:rPr>
        <w:t>ukom kvalitetnog kadra i unapr</w:t>
      </w:r>
      <w:r w:rsidR="008356DD">
        <w:rPr>
          <w:rFonts w:asciiTheme="minorHAnsi" w:hAnsiTheme="minorHAnsi" w:cstheme="minorHAnsi"/>
        </w:rPr>
        <w:t>ij</w:t>
      </w:r>
      <w:r w:rsidRPr="00593418">
        <w:rPr>
          <w:rFonts w:asciiTheme="minorHAnsi" w:hAnsiTheme="minorHAnsi" w:cstheme="minorHAnsi"/>
        </w:rPr>
        <w:t>eđenjem istraživačke infrastrukture. Postojeći otpad</w:t>
      </w:r>
      <w:r w:rsidR="008356DD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koji je decenijama </w:t>
      </w:r>
      <w:r w:rsidR="00CE34B0" w:rsidRPr="00593418">
        <w:rPr>
          <w:rFonts w:asciiTheme="minorHAnsi" w:hAnsiTheme="minorHAnsi" w:cstheme="minorHAnsi"/>
        </w:rPr>
        <w:t>stvaran na teritoriji Crne Gore</w:t>
      </w:r>
      <w:r w:rsidR="008356DD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</w:t>
      </w:r>
      <w:r w:rsidR="0040422E">
        <w:rPr>
          <w:rFonts w:asciiTheme="minorHAnsi" w:hAnsiTheme="minorHAnsi" w:cstheme="minorHAnsi"/>
        </w:rPr>
        <w:t>otvara</w:t>
      </w:r>
      <w:r w:rsidR="0040422E" w:rsidRPr="00593418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>mogućnost i za dobru povezanost sa specijalizovanim firmama za reciklažu otpada u Evropi i šire. Primjeri za to su  crveni mulj i elektrofilterski pepeo</w:t>
      </w:r>
      <w:r w:rsidR="00CE34B0" w:rsidRPr="00593418">
        <w:rPr>
          <w:rFonts w:asciiTheme="minorHAnsi" w:hAnsiTheme="minorHAnsi" w:cstheme="minorHAnsi"/>
        </w:rPr>
        <w:t>, za koje već postoji određ</w:t>
      </w:r>
      <w:r w:rsidRPr="00593418">
        <w:rPr>
          <w:rFonts w:asciiTheme="minorHAnsi" w:hAnsiTheme="minorHAnsi" w:cstheme="minorHAnsi"/>
        </w:rPr>
        <w:t xml:space="preserve">eni interes </w:t>
      </w:r>
      <w:r w:rsidRPr="00056F78">
        <w:rPr>
          <w:rFonts w:asciiTheme="minorHAnsi" w:hAnsiTheme="minorHAnsi" w:cstheme="minorHAnsi"/>
        </w:rPr>
        <w:t xml:space="preserve">inostranih </w:t>
      </w:r>
      <w:r w:rsidR="00056F78" w:rsidRPr="00056F78">
        <w:rPr>
          <w:rFonts w:asciiTheme="minorHAnsi" w:hAnsiTheme="minorHAnsi" w:cstheme="minorHAnsi"/>
        </w:rPr>
        <w:t>i domacih</w:t>
      </w:r>
      <w:r w:rsidR="00056F78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>firmi u smislu zajedničkih ulaganja i razvoja tehnoloških znanja  za dalju valorizaciju.</w:t>
      </w:r>
    </w:p>
    <w:p w14:paraId="705E401C" w14:textId="77777777" w:rsidR="005057E7" w:rsidRDefault="005057E7" w:rsidP="00CD0F43">
      <w:pPr>
        <w:pStyle w:val="BodyText"/>
        <w:spacing w:after="0"/>
        <w:rPr>
          <w:rFonts w:asciiTheme="minorHAnsi" w:hAnsiTheme="minorHAnsi"/>
          <w:b/>
        </w:rPr>
      </w:pPr>
    </w:p>
    <w:p w14:paraId="15FA3C5E" w14:textId="42B68D79" w:rsidR="00CD0F43" w:rsidRPr="00593418" w:rsidRDefault="00CD0F43" w:rsidP="00CD0F43">
      <w:pPr>
        <w:pStyle w:val="BodyText"/>
        <w:spacing w:after="0"/>
        <w:rPr>
          <w:rFonts w:asciiTheme="minorHAnsi" w:hAnsiTheme="minorHAnsi"/>
          <w:b/>
        </w:rPr>
      </w:pPr>
      <w:r w:rsidRPr="00593418">
        <w:rPr>
          <w:rFonts w:asciiTheme="minorHAnsi" w:hAnsiTheme="minorHAnsi"/>
          <w:b/>
        </w:rPr>
        <w:t>VIZIJA 2024</w:t>
      </w:r>
    </w:p>
    <w:p w14:paraId="1B06FC03" w14:textId="77777777" w:rsidR="00370DBB" w:rsidRDefault="00CD0F43" w:rsidP="005057E7">
      <w:pPr>
        <w:pStyle w:val="BodyText"/>
        <w:spacing w:after="120" w:line="240" w:lineRule="auto"/>
        <w:jc w:val="both"/>
      </w:pPr>
      <w:r w:rsidRPr="00593418">
        <w:t>Crna Gora sa modernizovanom i održivom industrijom koja, stimulisanjem primjene savremenih materijala i te</w:t>
      </w:r>
      <w:r w:rsidR="00056F78">
        <w:t xml:space="preserve">hnologija zasnovanih na </w:t>
      </w:r>
      <w:r w:rsidRPr="00593418">
        <w:t>znanju, inovacijama, prirodnim resursima i principima cirkularne ekonomije, omogućava veću konkuren</w:t>
      </w:r>
      <w:r w:rsidR="005057E7">
        <w:t xml:space="preserve">tnost na međunarodnom tržištu. </w:t>
      </w:r>
    </w:p>
    <w:p w14:paraId="3C4402CE" w14:textId="77777777" w:rsidR="00370DBB" w:rsidRDefault="00370DBB" w:rsidP="005057E7">
      <w:pPr>
        <w:pStyle w:val="BodyText"/>
        <w:spacing w:after="120" w:line="240" w:lineRule="auto"/>
        <w:jc w:val="both"/>
      </w:pPr>
    </w:p>
    <w:p w14:paraId="4A0E4F98" w14:textId="0AA021F9" w:rsidR="00C72310" w:rsidRPr="005057E7" w:rsidRDefault="00CD0F43" w:rsidP="005057E7">
      <w:pPr>
        <w:pStyle w:val="BodyText"/>
        <w:spacing w:after="120" w:line="240" w:lineRule="auto"/>
        <w:jc w:val="both"/>
      </w:pPr>
      <w:r w:rsidRPr="00593418">
        <w:rPr>
          <w:rFonts w:asciiTheme="minorHAnsi" w:hAnsiTheme="minorHAnsi"/>
          <w:b/>
        </w:rPr>
        <w:t>CILJEVI SEKTORA</w:t>
      </w:r>
    </w:p>
    <w:p w14:paraId="22104539" w14:textId="77777777" w:rsidR="00C72310" w:rsidRDefault="00C72310" w:rsidP="00CD0F43">
      <w:pPr>
        <w:pStyle w:val="BodyText"/>
        <w:spacing w:after="0"/>
        <w:jc w:val="both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936"/>
      </w:tblGrid>
      <w:tr w:rsidR="00107460" w:rsidRPr="00626A53" w14:paraId="037F87E3" w14:textId="77777777" w:rsidTr="00860624">
        <w:tc>
          <w:tcPr>
            <w:tcW w:w="7937" w:type="dxa"/>
          </w:tcPr>
          <w:p w14:paraId="12773D83" w14:textId="6638047E" w:rsidR="00107460" w:rsidRPr="00626A53" w:rsidRDefault="00107460" w:rsidP="00860624">
            <w:pPr>
              <w:pStyle w:val="BodyText"/>
              <w:rPr>
                <w:rFonts w:asciiTheme="minorHAnsi" w:hAnsiTheme="minorHAnsi"/>
                <w:lang w:val="hr-HR"/>
              </w:rPr>
            </w:pPr>
            <w:r w:rsidRPr="00626A53">
              <w:rPr>
                <w:rFonts w:asciiTheme="minorHAnsi" w:hAnsiTheme="minorHAnsi" w:cstheme="minorHAnsi"/>
                <w:lang w:val="hr-HR"/>
              </w:rPr>
              <w:t xml:space="preserve">Povećanje recikliranja i valorizacije industrijskog otpada </w:t>
            </w:r>
            <w:r>
              <w:rPr>
                <w:rFonts w:asciiTheme="minorHAnsi" w:hAnsiTheme="minorHAnsi" w:cstheme="minorHAnsi"/>
                <w:lang w:val="hr-HR"/>
              </w:rPr>
              <w:t xml:space="preserve">zasnovano na </w:t>
            </w:r>
            <w:r w:rsidRPr="00626A53">
              <w:rPr>
                <w:rFonts w:asciiTheme="minorHAnsi" w:hAnsiTheme="minorHAnsi" w:cstheme="minorHAnsi"/>
                <w:lang w:val="hr-HR"/>
              </w:rPr>
              <w:t>inovacijama i principima cirkularne ekonomije</w:t>
            </w:r>
          </w:p>
        </w:tc>
      </w:tr>
      <w:tr w:rsidR="00107460" w:rsidRPr="00626A53" w14:paraId="06B844E7" w14:textId="77777777" w:rsidTr="00860624">
        <w:tc>
          <w:tcPr>
            <w:tcW w:w="7937" w:type="dxa"/>
          </w:tcPr>
          <w:p w14:paraId="4E8CB2E8" w14:textId="77777777" w:rsidR="00107460" w:rsidRPr="00626A53" w:rsidRDefault="00107460" w:rsidP="00860624">
            <w:pPr>
              <w:pStyle w:val="BodyText"/>
              <w:rPr>
                <w:rFonts w:asciiTheme="minorHAnsi" w:hAnsiTheme="minorHAnsi"/>
                <w:lang w:val="hr-HR"/>
              </w:rPr>
            </w:pPr>
            <w:r w:rsidRPr="00626A53">
              <w:rPr>
                <w:rFonts w:asciiTheme="minorHAnsi" w:hAnsiTheme="minorHAnsi" w:cstheme="minorHAnsi"/>
                <w:lang w:val="hr-HR"/>
              </w:rPr>
              <w:t>Povećanje proizvodnje i primjene eko gra</w:t>
            </w:r>
            <w:r w:rsidRPr="00626A53">
              <w:rPr>
                <w:rFonts w:asciiTheme="minorHAnsi" w:hAnsiTheme="minorHAnsi"/>
                <w:lang w:val="hr-HR"/>
              </w:rPr>
              <w:t xml:space="preserve">đevinskih </w:t>
            </w:r>
            <w:r w:rsidRPr="00626A53">
              <w:rPr>
                <w:rFonts w:asciiTheme="minorHAnsi" w:hAnsiTheme="minorHAnsi" w:cstheme="minorHAnsi"/>
                <w:lang w:val="hr-HR"/>
              </w:rPr>
              <w:t>materijala</w:t>
            </w:r>
          </w:p>
        </w:tc>
      </w:tr>
    </w:tbl>
    <w:p w14:paraId="1D8C4C53" w14:textId="31694887" w:rsidR="00FF6BED" w:rsidRPr="00593418" w:rsidRDefault="00FF6BED" w:rsidP="00CD0F43">
      <w:pPr>
        <w:pStyle w:val="BodyText"/>
        <w:spacing w:after="0"/>
        <w:jc w:val="both"/>
        <w:rPr>
          <w:rFonts w:asciiTheme="minorHAnsi" w:hAnsiTheme="minorHAnsi"/>
          <w:b/>
        </w:rPr>
      </w:pPr>
    </w:p>
    <w:p w14:paraId="7FF795F2" w14:textId="77777777" w:rsidR="00CD0F43" w:rsidRPr="00593418" w:rsidRDefault="00CD0F43" w:rsidP="00CD0F43">
      <w:pPr>
        <w:spacing w:after="0"/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>FOKUSNA PODRUČJA I TEHNOLOGIJE</w:t>
      </w:r>
    </w:p>
    <w:p w14:paraId="377178B8" w14:textId="17EA9152" w:rsidR="00CD0F43" w:rsidRPr="00593418" w:rsidRDefault="00CD0F43" w:rsidP="00CD0F43">
      <w:pPr>
        <w:spacing w:after="0"/>
        <w:rPr>
          <w:rFonts w:asciiTheme="minorHAnsi" w:hAnsiTheme="minorHAnsi" w:cstheme="minorHAnsi"/>
          <w:i/>
        </w:rPr>
      </w:pPr>
      <w:r w:rsidRPr="00593418">
        <w:rPr>
          <w:rFonts w:asciiTheme="minorHAnsi" w:hAnsiTheme="minorHAnsi" w:cstheme="minorHAnsi"/>
          <w:i/>
        </w:rPr>
        <w:tab/>
      </w:r>
      <w:r w:rsidRPr="00593418">
        <w:rPr>
          <w:rFonts w:asciiTheme="minorHAnsi" w:hAnsiTheme="minorHAnsi" w:cstheme="minorHAnsi"/>
        </w:rPr>
        <w:t>POSTOJEĆA</w:t>
      </w:r>
    </w:p>
    <w:p w14:paraId="17310D01" w14:textId="3A79B8B3" w:rsidR="00CD0F43" w:rsidRPr="00593418" w:rsidRDefault="00CD0F43" w:rsidP="00622C4F">
      <w:pPr>
        <w:pStyle w:val="ListParagraph"/>
        <w:numPr>
          <w:ilvl w:val="0"/>
          <w:numId w:val="19"/>
        </w:numPr>
        <w:spacing w:before="0" w:after="160" w:line="259" w:lineRule="auto"/>
        <w:ind w:left="924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Prerada i primjena eko materijala</w:t>
      </w:r>
      <w:r w:rsidR="00B97D46">
        <w:rPr>
          <w:rFonts w:cstheme="minorHAnsi"/>
          <w:lang w:val="sr-Latn-ME"/>
        </w:rPr>
        <w:t>;</w:t>
      </w:r>
    </w:p>
    <w:p w14:paraId="4FCC90E4" w14:textId="77777777" w:rsidR="00CD0F43" w:rsidRPr="00593418" w:rsidRDefault="00CD0F43" w:rsidP="00622C4F">
      <w:pPr>
        <w:pStyle w:val="ListParagraph"/>
        <w:numPr>
          <w:ilvl w:val="0"/>
          <w:numId w:val="19"/>
        </w:numPr>
        <w:spacing w:before="0" w:after="160" w:line="259" w:lineRule="auto"/>
        <w:ind w:left="924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Održive tehnologije u preradi metala i legura.</w:t>
      </w:r>
    </w:p>
    <w:p w14:paraId="75DF5723" w14:textId="77777777" w:rsidR="00CD0F43" w:rsidRPr="00593418" w:rsidRDefault="00CD0F43" w:rsidP="00CD0F43">
      <w:pPr>
        <w:spacing w:after="0"/>
        <w:ind w:firstLine="720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SA POTENCIJALOM</w:t>
      </w:r>
    </w:p>
    <w:p w14:paraId="141ED187" w14:textId="25D240BB" w:rsidR="00CD0F43" w:rsidRPr="00593418" w:rsidRDefault="00107460" w:rsidP="00622C4F">
      <w:pPr>
        <w:pStyle w:val="ListParagraph"/>
        <w:numPr>
          <w:ilvl w:val="0"/>
          <w:numId w:val="19"/>
        </w:numPr>
        <w:spacing w:before="0" w:after="160" w:line="259" w:lineRule="auto"/>
        <w:ind w:left="924" w:hanging="357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Nove aplikacije </w:t>
      </w:r>
      <w:r w:rsidR="00CD0F43" w:rsidRPr="00593418">
        <w:rPr>
          <w:rFonts w:cstheme="minorHAnsi"/>
          <w:lang w:val="sr-Latn-ME"/>
        </w:rPr>
        <w:t>industrijskog i građevinskog otpada (elektrofilterski pepeo, crveni mulj, šljaka, metalna prašina, drvni otpad itd)</w:t>
      </w:r>
      <w:r w:rsidR="00B97D46">
        <w:rPr>
          <w:rFonts w:cstheme="minorHAnsi"/>
          <w:lang w:val="sr-Latn-ME"/>
        </w:rPr>
        <w:t>;</w:t>
      </w:r>
    </w:p>
    <w:p w14:paraId="7D58EC99" w14:textId="0E09FCA2" w:rsidR="00CD0F43" w:rsidRPr="00593418" w:rsidRDefault="00CD0F43" w:rsidP="00622C4F">
      <w:pPr>
        <w:pStyle w:val="ListParagraph"/>
        <w:numPr>
          <w:ilvl w:val="0"/>
          <w:numId w:val="19"/>
        </w:numPr>
        <w:spacing w:before="0" w:after="160" w:line="259" w:lineRule="auto"/>
        <w:ind w:left="924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 xml:space="preserve">Proizvodnja novih građevinskih ekološki prihvatljivih materijala </w:t>
      </w:r>
      <w:r w:rsidR="00B97D46">
        <w:rPr>
          <w:rFonts w:cstheme="minorHAnsi"/>
          <w:lang w:val="sr-Latn-ME"/>
        </w:rPr>
        <w:t>;</w:t>
      </w:r>
    </w:p>
    <w:p w14:paraId="5779B180" w14:textId="3893CFB7" w:rsidR="00CD0F43" w:rsidRPr="00593418" w:rsidRDefault="00CD0F43" w:rsidP="00622C4F">
      <w:pPr>
        <w:pStyle w:val="ListParagraph"/>
        <w:numPr>
          <w:ilvl w:val="0"/>
          <w:numId w:val="19"/>
        </w:numPr>
        <w:spacing w:before="0" w:after="160" w:line="259" w:lineRule="auto"/>
        <w:ind w:left="924" w:hanging="357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Prerada i primjena eko građevinskih materijala na bazi drveta i kamena</w:t>
      </w:r>
      <w:r w:rsidR="00B97D46">
        <w:rPr>
          <w:rFonts w:cstheme="minorHAnsi"/>
          <w:lang w:val="sr-Latn-ME"/>
        </w:rPr>
        <w:t>;</w:t>
      </w:r>
    </w:p>
    <w:p w14:paraId="07EB4C35" w14:textId="302D9D42" w:rsidR="00260B77" w:rsidRPr="009954BC" w:rsidRDefault="001C1DF2" w:rsidP="00260B77">
      <w:pPr>
        <w:pStyle w:val="ListParagraph"/>
        <w:numPr>
          <w:ilvl w:val="0"/>
          <w:numId w:val="19"/>
        </w:numPr>
        <w:spacing w:before="0" w:after="160" w:line="259" w:lineRule="auto"/>
        <w:ind w:left="924" w:hanging="357"/>
        <w:rPr>
          <w:rFonts w:cstheme="minorHAnsi"/>
          <w:lang w:val="sr-Latn-ME"/>
        </w:rPr>
      </w:pPr>
      <w:r>
        <w:rPr>
          <w:rFonts w:cstheme="minorHAnsi"/>
          <w:lang w:val="sr-Latn-ME"/>
        </w:rPr>
        <w:t>Unapre</w:t>
      </w:r>
      <w:r w:rsidR="00E3481D" w:rsidRPr="00593418">
        <w:rPr>
          <w:rFonts w:cstheme="minorHAnsi"/>
          <w:lang w:val="sr-Latn-ME"/>
        </w:rPr>
        <w:t>đ</w:t>
      </w:r>
      <w:r>
        <w:rPr>
          <w:rFonts w:cstheme="minorHAnsi"/>
          <w:lang w:val="sr-Latn-ME"/>
        </w:rPr>
        <w:t>enje tehnologija za valorizaciju</w:t>
      </w:r>
      <w:r w:rsidR="00260B77" w:rsidRPr="009954BC">
        <w:rPr>
          <w:rFonts w:cstheme="minorHAnsi"/>
          <w:lang w:val="sr-Latn-ME"/>
        </w:rPr>
        <w:t xml:space="preserve"> mineralnih sirovina (bentonita, bijelog boksita i karbonatnih stijena) za potrebe industrije hrane, proizvodnje keramike i poljoprivrede.</w:t>
      </w:r>
    </w:p>
    <w:p w14:paraId="0C4DEB15" w14:textId="77777777" w:rsidR="008808D0" w:rsidRDefault="008808D0" w:rsidP="00CD0F43">
      <w:pPr>
        <w:spacing w:after="0"/>
        <w:rPr>
          <w:rFonts w:asciiTheme="minorHAnsi" w:hAnsiTheme="minorHAnsi" w:cstheme="minorHAnsi"/>
          <w:b/>
        </w:rPr>
      </w:pPr>
    </w:p>
    <w:p w14:paraId="251EAD58" w14:textId="390EEAAE" w:rsidR="00CD0F43" w:rsidRDefault="00CD0F43" w:rsidP="00CD0F43">
      <w:pPr>
        <w:spacing w:after="0"/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>OKRUŽENJE ZA ISTRAŽIVANJE I INOVACIJE</w:t>
      </w:r>
    </w:p>
    <w:p w14:paraId="77554675" w14:textId="77777777" w:rsidR="00727CB3" w:rsidRPr="00593418" w:rsidRDefault="00727CB3" w:rsidP="00CD0F43">
      <w:pPr>
        <w:spacing w:after="0"/>
        <w:rPr>
          <w:rFonts w:asciiTheme="minorHAnsi" w:hAnsiTheme="minorHAnsi" w:cstheme="minorHAnsi"/>
          <w:b/>
        </w:rPr>
      </w:pPr>
    </w:p>
    <w:p w14:paraId="0ED36301" w14:textId="2E7CE40F" w:rsidR="00CD0F43" w:rsidRPr="009954BC" w:rsidRDefault="003B5C93" w:rsidP="009954BC">
      <w:pPr>
        <w:spacing w:after="0" w:line="240" w:lineRule="auto"/>
        <w:rPr>
          <w:rFonts w:cstheme="minorHAnsi"/>
        </w:rPr>
      </w:pPr>
      <w:r w:rsidRPr="009954BC">
        <w:rPr>
          <w:rFonts w:cstheme="minorHAnsi"/>
        </w:rPr>
        <w:t>NAUČNO-</w:t>
      </w:r>
      <w:r w:rsidR="002B2161" w:rsidRPr="009954BC">
        <w:rPr>
          <w:rFonts w:cstheme="minorHAnsi"/>
        </w:rPr>
        <w:t>OBRAZOVNE INSTITUCIJE</w:t>
      </w:r>
    </w:p>
    <w:p w14:paraId="01131B91" w14:textId="5F6ADD5C" w:rsidR="009954BC" w:rsidRDefault="00457B32" w:rsidP="00F14161">
      <w:pPr>
        <w:pStyle w:val="ListParagraph"/>
        <w:numPr>
          <w:ilvl w:val="3"/>
          <w:numId w:val="20"/>
        </w:numPr>
        <w:spacing w:after="0"/>
        <w:ind w:left="924" w:hanging="498"/>
        <w:rPr>
          <w:rFonts w:cstheme="minorHAnsi"/>
          <w:lang w:val="sr-Latn-ME"/>
        </w:rPr>
      </w:pPr>
      <w:r>
        <w:rPr>
          <w:rFonts w:cstheme="minorHAnsi"/>
          <w:lang w:val="sr-Latn-ME"/>
        </w:rPr>
        <w:t>Univerzitet Crne Gore</w:t>
      </w:r>
      <w:r w:rsidR="00FF680D">
        <w:rPr>
          <w:rFonts w:cstheme="minorHAnsi"/>
          <w:lang w:val="sr-Latn-ME"/>
        </w:rPr>
        <w:t xml:space="preserve"> (UCG)</w:t>
      </w:r>
      <w:r w:rsidR="00727CB3">
        <w:rPr>
          <w:rFonts w:cstheme="minorHAnsi"/>
          <w:lang w:val="sr-Latn-ME"/>
        </w:rPr>
        <w:t xml:space="preserve">, </w:t>
      </w:r>
      <w:r w:rsidR="00CD0F43" w:rsidRPr="00727CB3">
        <w:rPr>
          <w:rFonts w:cstheme="minorHAnsi"/>
          <w:lang w:val="sr-Latn-ME"/>
        </w:rPr>
        <w:t>Univerzitet Donja Gorica</w:t>
      </w:r>
      <w:r w:rsidR="00FF680D">
        <w:rPr>
          <w:rFonts w:cstheme="minorHAnsi"/>
          <w:lang w:val="sr-Latn-ME"/>
        </w:rPr>
        <w:t xml:space="preserve"> (UDG)</w:t>
      </w:r>
      <w:r w:rsidR="00727CB3">
        <w:rPr>
          <w:rFonts w:cstheme="minorHAnsi"/>
          <w:lang w:val="sr-Latn-ME"/>
        </w:rPr>
        <w:t xml:space="preserve">, </w:t>
      </w:r>
      <w:r w:rsidR="00CD0F43" w:rsidRPr="00727CB3">
        <w:rPr>
          <w:rFonts w:cstheme="minorHAnsi"/>
          <w:lang w:val="sr-Latn-ME"/>
        </w:rPr>
        <w:t xml:space="preserve">Crnogorska </w:t>
      </w:r>
      <w:r w:rsidR="00CE34B0" w:rsidRPr="00727CB3">
        <w:rPr>
          <w:rFonts w:cstheme="minorHAnsi"/>
          <w:lang w:val="sr-Latn-ME"/>
        </w:rPr>
        <w:t>a</w:t>
      </w:r>
      <w:r w:rsidR="00CD0F43" w:rsidRPr="00727CB3">
        <w:rPr>
          <w:rFonts w:cstheme="minorHAnsi"/>
          <w:lang w:val="sr-Latn-ME"/>
        </w:rPr>
        <w:t>kademija nauka i umjetnosti</w:t>
      </w:r>
      <w:r w:rsidR="00FF680D">
        <w:rPr>
          <w:rFonts w:cstheme="minorHAnsi"/>
          <w:lang w:val="sr-Latn-ME"/>
        </w:rPr>
        <w:t xml:space="preserve"> (CANU).</w:t>
      </w:r>
    </w:p>
    <w:p w14:paraId="0B79E39B" w14:textId="77777777" w:rsidR="009954BC" w:rsidRDefault="009954BC" w:rsidP="009954BC">
      <w:pPr>
        <w:pStyle w:val="ListParagraph"/>
        <w:spacing w:after="0"/>
        <w:ind w:left="924"/>
        <w:rPr>
          <w:rFonts w:cstheme="minorHAnsi"/>
          <w:lang w:val="sr-Latn-ME"/>
        </w:rPr>
      </w:pPr>
    </w:p>
    <w:p w14:paraId="5E1D6ADA" w14:textId="77777777" w:rsidR="009954BC" w:rsidRDefault="002B2161" w:rsidP="009954BC">
      <w:pPr>
        <w:pStyle w:val="ListParagraph"/>
        <w:spacing w:after="0"/>
        <w:ind w:left="924" w:hanging="924"/>
        <w:rPr>
          <w:rFonts w:cstheme="minorHAnsi"/>
        </w:rPr>
      </w:pPr>
      <w:r w:rsidRPr="009954BC">
        <w:rPr>
          <w:rFonts w:cstheme="minorHAnsi"/>
        </w:rPr>
        <w:lastRenderedPageBreak/>
        <w:t>KOMPANIJE</w:t>
      </w:r>
    </w:p>
    <w:p w14:paraId="7BE823C2" w14:textId="77777777" w:rsidR="009954BC" w:rsidRDefault="009954BC" w:rsidP="009954BC">
      <w:pPr>
        <w:pStyle w:val="ListParagraph"/>
        <w:spacing w:after="0"/>
        <w:ind w:left="924" w:hanging="924"/>
        <w:rPr>
          <w:rFonts w:cstheme="minorHAnsi"/>
        </w:rPr>
      </w:pPr>
    </w:p>
    <w:p w14:paraId="137E6BE1" w14:textId="4D9F1E41" w:rsidR="00CD0F43" w:rsidRPr="009954BC" w:rsidRDefault="00CD0F43" w:rsidP="009954BC">
      <w:pPr>
        <w:pStyle w:val="ListParagraph"/>
        <w:numPr>
          <w:ilvl w:val="0"/>
          <w:numId w:val="50"/>
        </w:numPr>
        <w:spacing w:after="0"/>
        <w:rPr>
          <w:rFonts w:cstheme="minorHAnsi"/>
          <w:lang w:val="sr-Latn-ME"/>
        </w:rPr>
      </w:pPr>
      <w:r w:rsidRPr="009954BC">
        <w:rPr>
          <w:rFonts w:cstheme="minorHAnsi"/>
          <w:lang w:val="sr-Latn-ME"/>
        </w:rPr>
        <w:t xml:space="preserve">Oko 30 većih, malih i srednjih preduzeća je prepoznato iz industrijskog i građevinskog sektora kao i Inovativno-preduzetnički centar </w:t>
      </w:r>
      <w:r w:rsidR="00FF680D">
        <w:rPr>
          <w:rFonts w:cstheme="minorHAnsi"/>
          <w:lang w:val="sr-Latn-ME"/>
        </w:rPr>
        <w:t>„</w:t>
      </w:r>
      <w:r w:rsidRPr="009954BC">
        <w:rPr>
          <w:rFonts w:cstheme="minorHAnsi"/>
          <w:lang w:val="sr-Latn-ME"/>
        </w:rPr>
        <w:t>Tehnopolis</w:t>
      </w:r>
      <w:r w:rsidR="00FF680D">
        <w:rPr>
          <w:rFonts w:cstheme="minorHAnsi"/>
          <w:lang w:val="sr-Latn-ME"/>
        </w:rPr>
        <w:t>“</w:t>
      </w:r>
      <w:r w:rsidR="00EA49B3">
        <w:rPr>
          <w:rFonts w:cstheme="minorHAnsi"/>
          <w:lang w:val="sr-Latn-ME"/>
        </w:rPr>
        <w:t xml:space="preserve"> (IPC „Tehnopolis“)</w:t>
      </w:r>
      <w:r w:rsidR="00FF680D">
        <w:rPr>
          <w:rFonts w:cstheme="minorHAnsi"/>
          <w:lang w:val="sr-Latn-ME"/>
        </w:rPr>
        <w:t>.</w:t>
      </w:r>
    </w:p>
    <w:p w14:paraId="45847B6F" w14:textId="77777777" w:rsidR="00727CB3" w:rsidRPr="009954BC" w:rsidRDefault="00727CB3" w:rsidP="00024A1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  <w:lang w:val="sr-Latn-ME"/>
        </w:rPr>
      </w:pPr>
    </w:p>
    <w:p w14:paraId="5854034C" w14:textId="22615B12" w:rsidR="00CD0F43" w:rsidRPr="00727CB3" w:rsidRDefault="002B2161" w:rsidP="00727C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</w:rPr>
      </w:pPr>
      <w:r>
        <w:rPr>
          <w:rFonts w:cstheme="minorHAnsi"/>
        </w:rPr>
        <w:t>POSLOVNE ASOCIJACIJE</w:t>
      </w:r>
    </w:p>
    <w:p w14:paraId="29894D0E" w14:textId="4080CDD2" w:rsidR="00CD0F43" w:rsidRDefault="000027CB" w:rsidP="009954BC">
      <w:pPr>
        <w:pStyle w:val="ListParagraph"/>
        <w:numPr>
          <w:ilvl w:val="0"/>
          <w:numId w:val="45"/>
        </w:numPr>
        <w:spacing w:after="160" w:line="259" w:lineRule="auto"/>
        <w:rPr>
          <w:rFonts w:eastAsia="Times New Roman" w:cstheme="minorHAnsi"/>
          <w:lang w:val="sr-Latn-ME" w:eastAsia="en-GB"/>
        </w:rPr>
      </w:pPr>
      <w:r>
        <w:rPr>
          <w:rFonts w:eastAsia="Times New Roman" w:cstheme="minorHAnsi"/>
          <w:lang w:val="sr-Latn-ME" w:eastAsia="en-GB"/>
        </w:rPr>
        <w:t>Privredna komora Crne Gore (</w:t>
      </w:r>
      <w:r w:rsidR="00CD0F43" w:rsidRPr="00593418">
        <w:rPr>
          <w:rFonts w:eastAsia="Times New Roman" w:cstheme="minorHAnsi"/>
          <w:lang w:val="sr-Latn-ME" w:eastAsia="en-GB"/>
        </w:rPr>
        <w:t>PKCG</w:t>
      </w:r>
      <w:r>
        <w:rPr>
          <w:rFonts w:eastAsia="Times New Roman" w:cstheme="minorHAnsi"/>
          <w:lang w:val="sr-Latn-ME" w:eastAsia="en-GB"/>
        </w:rPr>
        <w:t>)</w:t>
      </w:r>
      <w:r w:rsidR="00CD0F43" w:rsidRPr="00593418">
        <w:rPr>
          <w:rFonts w:eastAsia="Times New Roman" w:cstheme="minorHAnsi"/>
          <w:lang w:val="sr-Latn-ME" w:eastAsia="en-GB"/>
        </w:rPr>
        <w:t xml:space="preserve">, Unija </w:t>
      </w:r>
      <w:r w:rsidR="00CE34B0" w:rsidRPr="00593418">
        <w:rPr>
          <w:rFonts w:eastAsia="Times New Roman" w:cstheme="minorHAnsi"/>
          <w:lang w:val="sr-Latn-ME" w:eastAsia="en-GB"/>
        </w:rPr>
        <w:t>p</w:t>
      </w:r>
      <w:r w:rsidR="00CD0F43" w:rsidRPr="00593418">
        <w:rPr>
          <w:rFonts w:eastAsia="Times New Roman" w:cstheme="minorHAnsi"/>
          <w:lang w:val="sr-Latn-ME" w:eastAsia="en-GB"/>
        </w:rPr>
        <w:t>oslodavaca</w:t>
      </w:r>
      <w:r>
        <w:rPr>
          <w:rFonts w:eastAsia="Times New Roman" w:cstheme="minorHAnsi"/>
          <w:lang w:val="sr-Latn-ME" w:eastAsia="en-GB"/>
        </w:rPr>
        <w:t xml:space="preserve"> (UP)</w:t>
      </w:r>
      <w:r w:rsidR="00CD0F43" w:rsidRPr="00593418">
        <w:rPr>
          <w:rFonts w:eastAsia="Times New Roman" w:cstheme="minorHAnsi"/>
          <w:lang w:val="sr-Latn-ME" w:eastAsia="en-GB"/>
        </w:rPr>
        <w:t xml:space="preserve">, </w:t>
      </w:r>
      <w:r>
        <w:rPr>
          <w:rFonts w:eastAsia="Times New Roman" w:cstheme="minorHAnsi"/>
          <w:lang w:val="sr-Latn-ME" w:eastAsia="en-GB"/>
        </w:rPr>
        <w:t>Montenegro Biznis Alijansa (</w:t>
      </w:r>
      <w:r w:rsidR="00CD0F43" w:rsidRPr="00593418">
        <w:rPr>
          <w:rFonts w:eastAsia="Times New Roman" w:cstheme="minorHAnsi"/>
          <w:lang w:val="sr-Latn-ME" w:eastAsia="en-GB"/>
        </w:rPr>
        <w:t>MBA</w:t>
      </w:r>
      <w:r>
        <w:rPr>
          <w:rFonts w:eastAsia="Times New Roman" w:cstheme="minorHAnsi"/>
          <w:lang w:val="sr-Latn-ME" w:eastAsia="en-GB"/>
        </w:rPr>
        <w:t>)</w:t>
      </w:r>
      <w:r w:rsidR="00CD0F43" w:rsidRPr="00593418">
        <w:rPr>
          <w:rFonts w:eastAsia="Times New Roman" w:cstheme="minorHAnsi"/>
          <w:lang w:val="sr-Latn-ME" w:eastAsia="en-GB"/>
        </w:rPr>
        <w:t>, Inženjerska komora C</w:t>
      </w:r>
      <w:r w:rsidR="00E3481D">
        <w:rPr>
          <w:rFonts w:eastAsia="Times New Roman" w:cstheme="minorHAnsi"/>
          <w:lang w:val="sr-Latn-ME" w:eastAsia="en-GB"/>
        </w:rPr>
        <w:t xml:space="preserve">rne </w:t>
      </w:r>
      <w:r w:rsidR="00CD0F43" w:rsidRPr="00593418">
        <w:rPr>
          <w:rFonts w:eastAsia="Times New Roman" w:cstheme="minorHAnsi"/>
          <w:lang w:val="sr-Latn-ME" w:eastAsia="en-GB"/>
        </w:rPr>
        <w:t>G</w:t>
      </w:r>
      <w:r w:rsidR="00E3481D">
        <w:rPr>
          <w:rFonts w:eastAsia="Times New Roman" w:cstheme="minorHAnsi"/>
          <w:lang w:val="sr-Latn-ME" w:eastAsia="en-GB"/>
        </w:rPr>
        <w:t>ore</w:t>
      </w:r>
      <w:r w:rsidR="00FF680D">
        <w:rPr>
          <w:rFonts w:eastAsia="Times New Roman" w:cstheme="minorHAnsi"/>
          <w:lang w:val="sr-Latn-ME" w:eastAsia="en-GB"/>
        </w:rPr>
        <w:t>.</w:t>
      </w:r>
    </w:p>
    <w:p w14:paraId="2864DADD" w14:textId="77777777" w:rsidR="00370DBB" w:rsidRDefault="00370DBB" w:rsidP="00370DBB">
      <w:pPr>
        <w:pStyle w:val="ListParagraph"/>
        <w:spacing w:after="160" w:line="259" w:lineRule="auto"/>
        <w:rPr>
          <w:rFonts w:eastAsia="Times New Roman" w:cstheme="minorHAnsi"/>
          <w:lang w:val="sr-Latn-ME" w:eastAsia="en-GB"/>
        </w:rPr>
      </w:pPr>
    </w:p>
    <w:p w14:paraId="37E64474" w14:textId="627C650D" w:rsidR="00380A02" w:rsidRPr="009954BC" w:rsidRDefault="00A22FBB" w:rsidP="009954BC">
      <w:pPr>
        <w:rPr>
          <w:rFonts w:cstheme="minorHAnsi"/>
        </w:rPr>
      </w:pPr>
      <w:r w:rsidRPr="009954BC">
        <w:rPr>
          <w:rFonts w:cstheme="minorHAnsi"/>
        </w:rPr>
        <w:t>JAVNE</w:t>
      </w:r>
      <w:r w:rsidR="00380A02" w:rsidRPr="009954BC">
        <w:rPr>
          <w:rFonts w:cstheme="minorHAnsi"/>
        </w:rPr>
        <w:t xml:space="preserve"> INSTITUCIJE</w:t>
      </w:r>
    </w:p>
    <w:p w14:paraId="3C05704F" w14:textId="2590B11C" w:rsidR="008808D0" w:rsidRPr="00370DBB" w:rsidRDefault="00380A02" w:rsidP="00370DBB">
      <w:pPr>
        <w:pStyle w:val="ListParagraph"/>
        <w:numPr>
          <w:ilvl w:val="0"/>
          <w:numId w:val="45"/>
        </w:numPr>
        <w:rPr>
          <w:sz w:val="24"/>
          <w:lang w:val="sr-Latn-ME"/>
        </w:rPr>
      </w:pPr>
      <w:r w:rsidRPr="00D67E67">
        <w:rPr>
          <w:rFonts w:cstheme="minorHAnsi"/>
          <w:lang w:val="sr-Latn-ME"/>
        </w:rPr>
        <w:t>Ministarstvo ekonomije (MEK), Ministarstvo nauke (MNA), Ministarstvo održivog razvoja i turizma (MORT), Investiciono-razvojni fond (IRF), Ministarstvo prosvjete (MP), Ministarstvo poljoprivrede i ruralnog razvoja (MPR).</w:t>
      </w:r>
    </w:p>
    <w:p w14:paraId="38C24E46" w14:textId="77777777" w:rsidR="008808D0" w:rsidRDefault="008808D0" w:rsidP="00995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</w:rPr>
      </w:pPr>
    </w:p>
    <w:p w14:paraId="135DD274" w14:textId="5B85D828" w:rsidR="00CD0F43" w:rsidRPr="009954BC" w:rsidRDefault="002B2161" w:rsidP="00995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theme="minorHAnsi"/>
        </w:rPr>
      </w:pPr>
      <w:r w:rsidRPr="009954BC">
        <w:rPr>
          <w:rFonts w:cstheme="minorHAnsi"/>
        </w:rPr>
        <w:t>CIVILNI SEKTOR</w:t>
      </w:r>
    </w:p>
    <w:p w14:paraId="130F2022" w14:textId="7BD5C730" w:rsidR="00CD0F43" w:rsidRDefault="00CE34B0" w:rsidP="009954BC">
      <w:pPr>
        <w:pStyle w:val="BodyText"/>
        <w:numPr>
          <w:ilvl w:val="0"/>
          <w:numId w:val="45"/>
        </w:numPr>
        <w:suppressAutoHyphens w:val="0"/>
        <w:spacing w:before="60" w:after="120" w:line="240" w:lineRule="auto"/>
        <w:jc w:val="both"/>
        <w:rPr>
          <w:rFonts w:asciiTheme="minorHAnsi" w:eastAsia="Times New Roman" w:hAnsiTheme="minorHAnsi" w:cstheme="minorHAnsi"/>
          <w:kern w:val="0"/>
          <w:lang w:eastAsia="en-GB"/>
        </w:rPr>
      </w:pPr>
      <w:r w:rsidRPr="00593418">
        <w:rPr>
          <w:rFonts w:asciiTheme="minorHAnsi" w:eastAsia="Times New Roman" w:hAnsiTheme="minorHAnsi" w:cstheme="minorHAnsi"/>
          <w:kern w:val="0"/>
          <w:lang w:eastAsia="en-GB"/>
        </w:rPr>
        <w:t>Akademija inženjerskih nauka</w:t>
      </w:r>
      <w:r w:rsidR="00FF680D">
        <w:rPr>
          <w:rFonts w:asciiTheme="minorHAnsi" w:eastAsia="Times New Roman" w:hAnsiTheme="minorHAnsi" w:cstheme="minorHAnsi"/>
          <w:kern w:val="0"/>
          <w:lang w:eastAsia="en-GB"/>
        </w:rPr>
        <w:t>.</w:t>
      </w:r>
    </w:p>
    <w:p w14:paraId="5347839B" w14:textId="77777777" w:rsidR="008808D0" w:rsidRPr="00593418" w:rsidRDefault="008808D0" w:rsidP="008808D0">
      <w:pPr>
        <w:pStyle w:val="BodyText"/>
        <w:suppressAutoHyphens w:val="0"/>
        <w:spacing w:before="60" w:after="120" w:line="240" w:lineRule="auto"/>
        <w:ind w:left="720"/>
        <w:jc w:val="both"/>
        <w:rPr>
          <w:rFonts w:asciiTheme="minorHAnsi" w:eastAsia="Times New Roman" w:hAnsiTheme="minorHAnsi" w:cstheme="minorHAnsi"/>
          <w:kern w:val="0"/>
          <w:lang w:eastAsia="en-GB"/>
        </w:rPr>
      </w:pPr>
    </w:p>
    <w:p w14:paraId="56416DE0" w14:textId="77777777" w:rsidR="00CD0F43" w:rsidRPr="00370DBB" w:rsidRDefault="00CD0F43" w:rsidP="00DD371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70DBB">
        <w:rPr>
          <w:rFonts w:asciiTheme="minorHAnsi" w:hAnsiTheme="minorHAnsi" w:cstheme="minorHAnsi"/>
          <w:b/>
          <w:sz w:val="20"/>
          <w:szCs w:val="20"/>
        </w:rPr>
        <w:t>Sinergijski efekat u odnosu na ostale prioritetne sektore</w:t>
      </w:r>
    </w:p>
    <w:p w14:paraId="34152947" w14:textId="77777777" w:rsidR="00C72310" w:rsidRDefault="00C72310" w:rsidP="00DD37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6237"/>
      </w:tblGrid>
      <w:tr w:rsidR="00C72310" w:rsidRPr="00797413" w14:paraId="70D5D84D" w14:textId="77777777" w:rsidTr="00370DBB">
        <w:trPr>
          <w:jc w:val="center"/>
        </w:trPr>
        <w:tc>
          <w:tcPr>
            <w:tcW w:w="2646" w:type="dxa"/>
          </w:tcPr>
          <w:p w14:paraId="076EB170" w14:textId="77777777" w:rsidR="00C72310" w:rsidRPr="00814594" w:rsidRDefault="00C72310" w:rsidP="00C72310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  <w:lang w:val="hr-HR"/>
              </w:rPr>
            </w:pPr>
          </w:p>
        </w:tc>
        <w:tc>
          <w:tcPr>
            <w:tcW w:w="6237" w:type="dxa"/>
            <w:hideMark/>
          </w:tcPr>
          <w:p w14:paraId="3C99BC34" w14:textId="77777777" w:rsidR="00C72310" w:rsidRPr="00626A53" w:rsidRDefault="00C72310" w:rsidP="00C72310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626A53">
              <w:rPr>
                <w:rFonts w:asciiTheme="minorHAnsi" w:hAnsiTheme="minorHAnsi" w:cs="Tahoma"/>
                <w:b/>
                <w:lang w:val="hr-HR"/>
              </w:rPr>
              <w:t>Novi materijali i održive tehnologije</w:t>
            </w:r>
          </w:p>
        </w:tc>
      </w:tr>
      <w:tr w:rsidR="00C72310" w:rsidRPr="00797413" w14:paraId="295FE527" w14:textId="77777777" w:rsidTr="00370DBB">
        <w:trPr>
          <w:jc w:val="center"/>
        </w:trPr>
        <w:tc>
          <w:tcPr>
            <w:tcW w:w="2646" w:type="dxa"/>
            <w:hideMark/>
          </w:tcPr>
          <w:p w14:paraId="56D7F1C4" w14:textId="77777777" w:rsidR="00C72310" w:rsidRPr="00626A53" w:rsidRDefault="00C72310" w:rsidP="00C72310">
            <w:pPr>
              <w:jc w:val="center"/>
              <w:rPr>
                <w:rFonts w:asciiTheme="minorHAnsi" w:hAnsiTheme="minorHAnsi" w:cs="Tahoma"/>
                <w:b/>
                <w:lang w:val="hr-HR"/>
              </w:rPr>
            </w:pPr>
            <w:r w:rsidRPr="00626A53">
              <w:rPr>
                <w:rFonts w:asciiTheme="minorHAnsi" w:hAnsiTheme="minorHAnsi" w:cs="Tahoma"/>
                <w:b/>
                <w:lang w:val="hr-HR"/>
              </w:rPr>
              <w:t>Održivi i zdravstveni turizam</w:t>
            </w:r>
          </w:p>
        </w:tc>
        <w:tc>
          <w:tcPr>
            <w:tcW w:w="6237" w:type="dxa"/>
          </w:tcPr>
          <w:p w14:paraId="0F2EBFAD" w14:textId="77777777" w:rsidR="00C72310" w:rsidRPr="00F14161" w:rsidRDefault="00C72310" w:rsidP="00622C4F">
            <w:pPr>
              <w:pStyle w:val="ListParagraph"/>
              <w:numPr>
                <w:ilvl w:val="0"/>
                <w:numId w:val="25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F14161">
              <w:rPr>
                <w:rFonts w:cstheme="minorHAnsi"/>
                <w:lang w:val="hr-HR"/>
              </w:rPr>
              <w:t>primjena nanomaterijala u zdravstvenom turizmu</w:t>
            </w:r>
          </w:p>
          <w:p w14:paraId="3562C658" w14:textId="074C3431" w:rsidR="00C72310" w:rsidRPr="00F14161" w:rsidRDefault="00260B77" w:rsidP="00622C4F">
            <w:pPr>
              <w:pStyle w:val="ListParagraph"/>
              <w:numPr>
                <w:ilvl w:val="0"/>
                <w:numId w:val="25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F14161">
              <w:rPr>
                <w:rFonts w:cstheme="minorHAnsi"/>
                <w:lang w:val="hr-HR"/>
              </w:rPr>
              <w:t>primjena mineralnih sirovina u kozmetologiji i farmaciji (bentonit i karbonatne stijene)</w:t>
            </w:r>
          </w:p>
        </w:tc>
      </w:tr>
      <w:tr w:rsidR="00C72310" w:rsidRPr="00797413" w14:paraId="5D09C827" w14:textId="77777777" w:rsidTr="00370DBB">
        <w:trPr>
          <w:jc w:val="center"/>
        </w:trPr>
        <w:tc>
          <w:tcPr>
            <w:tcW w:w="2646" w:type="dxa"/>
            <w:hideMark/>
          </w:tcPr>
          <w:p w14:paraId="5EE6D212" w14:textId="1EFE035F" w:rsidR="00C72310" w:rsidRPr="00626A53" w:rsidRDefault="00C72310" w:rsidP="00C72310">
            <w:pPr>
              <w:jc w:val="center"/>
              <w:rPr>
                <w:rFonts w:asciiTheme="minorHAnsi" w:hAnsiTheme="minorHAnsi" w:cs="Tahoma"/>
                <w:b/>
                <w:lang w:val="hr-HR"/>
              </w:rPr>
            </w:pPr>
            <w:r w:rsidRPr="00626A53">
              <w:rPr>
                <w:rFonts w:asciiTheme="minorHAnsi" w:hAnsiTheme="minorHAnsi" w:cs="Tahoma"/>
                <w:b/>
                <w:lang w:val="hr-HR"/>
              </w:rPr>
              <w:t>Obnovljivi izvori energije</w:t>
            </w:r>
            <w:r w:rsidR="00766100">
              <w:rPr>
                <w:rFonts w:asciiTheme="minorHAnsi" w:hAnsiTheme="minorHAnsi" w:cs="Tahoma"/>
                <w:b/>
                <w:lang w:val="hr-HR"/>
              </w:rPr>
              <w:t xml:space="preserve"> i energetska efikasnost</w:t>
            </w:r>
          </w:p>
        </w:tc>
        <w:tc>
          <w:tcPr>
            <w:tcW w:w="6237" w:type="dxa"/>
            <w:hideMark/>
          </w:tcPr>
          <w:p w14:paraId="5815F2A0" w14:textId="3194FBA8" w:rsidR="00E051CD" w:rsidRPr="00F14161" w:rsidRDefault="00E051CD" w:rsidP="00622C4F">
            <w:pPr>
              <w:pStyle w:val="ListParagraph"/>
              <w:numPr>
                <w:ilvl w:val="0"/>
                <w:numId w:val="25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F14161">
              <w:rPr>
                <w:rFonts w:eastAsia="Times New Roman" w:cstheme="majorHAnsi"/>
                <w:lang w:val="hr-HR" w:eastAsia="en-GB"/>
              </w:rPr>
              <w:t xml:space="preserve">Primjena savremenih materijala i tehnologija za </w:t>
            </w:r>
            <w:r w:rsidRPr="00F14161">
              <w:rPr>
                <w:rFonts w:cstheme="minorHAnsi"/>
                <w:lang w:val="hr-HR"/>
              </w:rPr>
              <w:t>proizvodnju i prenos električne energije</w:t>
            </w:r>
          </w:p>
        </w:tc>
      </w:tr>
      <w:tr w:rsidR="00C72310" w:rsidRPr="00797413" w14:paraId="68893088" w14:textId="77777777" w:rsidTr="00370DBB">
        <w:trPr>
          <w:jc w:val="center"/>
        </w:trPr>
        <w:tc>
          <w:tcPr>
            <w:tcW w:w="2646" w:type="dxa"/>
          </w:tcPr>
          <w:p w14:paraId="5B506CD0" w14:textId="77777777" w:rsidR="00C72310" w:rsidRPr="00626A53" w:rsidRDefault="00C72310" w:rsidP="00C72310">
            <w:pPr>
              <w:jc w:val="center"/>
              <w:rPr>
                <w:rFonts w:asciiTheme="minorHAnsi" w:hAnsiTheme="minorHAnsi" w:cs="Tahoma"/>
                <w:b/>
                <w:lang w:val="hr-HR"/>
              </w:rPr>
            </w:pPr>
            <w:r w:rsidRPr="00626A53">
              <w:rPr>
                <w:rFonts w:asciiTheme="minorHAnsi" w:hAnsiTheme="minorHAnsi" w:cs="Tahoma"/>
                <w:b/>
                <w:lang w:val="hr-HR"/>
              </w:rPr>
              <w:t>Održiva poljoprivreda i lanac vrijednosti hrane</w:t>
            </w:r>
          </w:p>
        </w:tc>
        <w:tc>
          <w:tcPr>
            <w:tcW w:w="6237" w:type="dxa"/>
          </w:tcPr>
          <w:p w14:paraId="376B4FF0" w14:textId="21DDACBE" w:rsidR="00C72310" w:rsidRPr="00F14161" w:rsidRDefault="00C72310" w:rsidP="00622C4F">
            <w:pPr>
              <w:pStyle w:val="ListParagraph"/>
              <w:numPr>
                <w:ilvl w:val="0"/>
                <w:numId w:val="25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F14161">
              <w:rPr>
                <w:rFonts w:cstheme="minorHAnsi"/>
                <w:lang w:val="hr-HR"/>
              </w:rPr>
              <w:t>Proizvodnja biološke (biorazgradive) i pametne ambalaže za poljoprivredne  proizvode.</w:t>
            </w:r>
          </w:p>
          <w:p w14:paraId="5038BCE1" w14:textId="77777777" w:rsidR="00C72310" w:rsidRPr="00F14161" w:rsidRDefault="00C72310" w:rsidP="00622C4F">
            <w:pPr>
              <w:pStyle w:val="ListParagraph"/>
              <w:numPr>
                <w:ilvl w:val="0"/>
                <w:numId w:val="25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F14161">
              <w:rPr>
                <w:rFonts w:cstheme="minorHAnsi"/>
                <w:lang w:val="hr-HR"/>
              </w:rPr>
              <w:t>Razvoj bioloških preparata i biopesticida.</w:t>
            </w:r>
          </w:p>
          <w:p w14:paraId="2AE68501" w14:textId="2BB2E4FF" w:rsidR="00C72310" w:rsidRPr="00F14161" w:rsidRDefault="00260B77" w:rsidP="00622C4F">
            <w:pPr>
              <w:pStyle w:val="ListParagraph"/>
              <w:numPr>
                <w:ilvl w:val="0"/>
                <w:numId w:val="25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F14161">
              <w:rPr>
                <w:rFonts w:cstheme="minorHAnsi"/>
                <w:lang w:val="hr-HR"/>
              </w:rPr>
              <w:t>Proizvodnja stočne hrane valorizacijom mineralnih sirovina ( karbonatne stijene)</w:t>
            </w:r>
          </w:p>
        </w:tc>
      </w:tr>
      <w:tr w:rsidR="00C72310" w:rsidRPr="004947B3" w14:paraId="0EAF9925" w14:textId="77777777" w:rsidTr="00370DBB">
        <w:trPr>
          <w:jc w:val="center"/>
        </w:trPr>
        <w:tc>
          <w:tcPr>
            <w:tcW w:w="2646" w:type="dxa"/>
            <w:hideMark/>
          </w:tcPr>
          <w:p w14:paraId="7217C1F2" w14:textId="77777777" w:rsidR="00C72310" w:rsidRPr="00626A53" w:rsidRDefault="00C72310" w:rsidP="00C72310">
            <w:pPr>
              <w:jc w:val="center"/>
              <w:rPr>
                <w:rFonts w:asciiTheme="minorHAnsi" w:hAnsiTheme="minorHAnsi" w:cs="Tahoma"/>
                <w:b/>
                <w:lang w:val="hr-HR"/>
              </w:rPr>
            </w:pPr>
            <w:r w:rsidRPr="00626A53">
              <w:rPr>
                <w:rFonts w:asciiTheme="minorHAnsi" w:hAnsiTheme="minorHAnsi" w:cs="Tahoma"/>
                <w:b/>
                <w:lang w:val="hr-HR"/>
              </w:rPr>
              <w:t xml:space="preserve">ICT </w:t>
            </w:r>
          </w:p>
        </w:tc>
        <w:tc>
          <w:tcPr>
            <w:tcW w:w="6237" w:type="dxa"/>
            <w:hideMark/>
          </w:tcPr>
          <w:p w14:paraId="14785A60" w14:textId="70765949" w:rsidR="00C72310" w:rsidRPr="00626A53" w:rsidRDefault="00C72310" w:rsidP="00622C4F">
            <w:pPr>
              <w:pStyle w:val="ListParagraph"/>
              <w:numPr>
                <w:ilvl w:val="0"/>
                <w:numId w:val="18"/>
              </w:numPr>
              <w:spacing w:after="0"/>
              <w:ind w:left="680" w:hanging="284"/>
              <w:rPr>
                <w:rFonts w:cstheme="minorHAnsi"/>
                <w:lang w:val="hr-HR"/>
              </w:rPr>
            </w:pPr>
            <w:r w:rsidRPr="00626A53">
              <w:rPr>
                <w:rFonts w:cstheme="minorHAnsi"/>
                <w:lang w:val="hr-HR"/>
              </w:rPr>
              <w:t xml:space="preserve">Efikasno upravljanje proizvodnim pogonima koristeći </w:t>
            </w:r>
            <w:r w:rsidR="00107460">
              <w:rPr>
                <w:rFonts w:cstheme="minorHAnsi"/>
                <w:lang w:val="hr-HR"/>
              </w:rPr>
              <w:t>ICT</w:t>
            </w:r>
          </w:p>
          <w:p w14:paraId="682FD948" w14:textId="77777777" w:rsidR="00C72310" w:rsidRPr="00626A53" w:rsidRDefault="00C72310" w:rsidP="00622C4F">
            <w:pPr>
              <w:pStyle w:val="ListParagraph"/>
              <w:numPr>
                <w:ilvl w:val="0"/>
                <w:numId w:val="25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626A53">
              <w:rPr>
                <w:rFonts w:cstheme="minorHAnsi"/>
                <w:lang w:val="hr-HR"/>
              </w:rPr>
              <w:t>Pametne kuće i pametni gradovi</w:t>
            </w:r>
          </w:p>
        </w:tc>
      </w:tr>
    </w:tbl>
    <w:p w14:paraId="2ADD50BA" w14:textId="77777777" w:rsidR="00C72310" w:rsidRPr="00593418" w:rsidRDefault="00C72310" w:rsidP="00DD37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4DA0F0E" w14:textId="77777777" w:rsidR="00626A53" w:rsidRDefault="00626A53" w:rsidP="003D633A">
      <w:pPr>
        <w:rPr>
          <w:rFonts w:asciiTheme="minorHAnsi" w:hAnsiTheme="minorHAnsi" w:cstheme="minorHAnsi"/>
          <w:b/>
        </w:rPr>
      </w:pPr>
    </w:p>
    <w:p w14:paraId="20764643" w14:textId="417AB407" w:rsidR="00CD0F43" w:rsidRDefault="003D633A" w:rsidP="003D633A">
      <w:pPr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>KLJUČNI INDIKATORI</w:t>
      </w:r>
    </w:p>
    <w:p w14:paraId="1B59521A" w14:textId="77777777" w:rsidR="00363582" w:rsidRPr="00593418" w:rsidRDefault="00363582" w:rsidP="003D633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5"/>
        <w:gridCol w:w="1560"/>
        <w:gridCol w:w="1352"/>
      </w:tblGrid>
      <w:tr w:rsidR="00CD0F43" w:rsidRPr="00593418" w14:paraId="1FD98408" w14:textId="77777777" w:rsidTr="00CD0F43">
        <w:trPr>
          <w:jc w:val="center"/>
        </w:trPr>
        <w:tc>
          <w:tcPr>
            <w:tcW w:w="5225" w:type="dxa"/>
          </w:tcPr>
          <w:p w14:paraId="74724570" w14:textId="7A9A9596" w:rsidR="00CD0F43" w:rsidRPr="00593418" w:rsidRDefault="00F17001" w:rsidP="00CD0F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</w:pPr>
            <w:r w:rsidRPr="005934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Indik</w:t>
            </w:r>
            <w:r w:rsidR="00CD0F43" w:rsidRPr="005934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GB"/>
              </w:rPr>
              <w:t>ator</w:t>
            </w:r>
          </w:p>
        </w:tc>
        <w:tc>
          <w:tcPr>
            <w:tcW w:w="1560" w:type="dxa"/>
          </w:tcPr>
          <w:p w14:paraId="5EDED65E" w14:textId="3AF54627" w:rsidR="00CD0F43" w:rsidRPr="00593418" w:rsidRDefault="00CD0F43" w:rsidP="00CD0F4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59341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2018</w:t>
            </w:r>
            <w:r w:rsidR="00C3231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52" w:type="dxa"/>
          </w:tcPr>
          <w:p w14:paraId="25D2B795" w14:textId="31C9B411" w:rsidR="00CD0F43" w:rsidRPr="00593418" w:rsidRDefault="00CD0F43" w:rsidP="00CD0F4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</w:pPr>
            <w:r w:rsidRPr="00593418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2024</w:t>
            </w:r>
            <w:r w:rsidR="00C3231D">
              <w:rPr>
                <w:rFonts w:asciiTheme="minorHAnsi" w:hAnsiTheme="minorHAnsi" w:cstheme="minorHAnsi"/>
                <w:b/>
                <w:sz w:val="24"/>
                <w:szCs w:val="24"/>
                <w:lang w:eastAsia="en-GB"/>
              </w:rPr>
              <w:t>.</w:t>
            </w:r>
          </w:p>
        </w:tc>
      </w:tr>
      <w:tr w:rsidR="00CD0F43" w:rsidRPr="00593418" w14:paraId="4B444840" w14:textId="77777777" w:rsidTr="00CD0F43">
        <w:trPr>
          <w:jc w:val="center"/>
        </w:trPr>
        <w:tc>
          <w:tcPr>
            <w:tcW w:w="5225" w:type="dxa"/>
          </w:tcPr>
          <w:p w14:paraId="76AAE385" w14:textId="45DA88F0" w:rsidR="00CD0F43" w:rsidRPr="00593418" w:rsidRDefault="00C3231D" w:rsidP="00CD0F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Učešće industrije u BDP-</w:t>
            </w:r>
            <w:r w:rsidR="00CD0F43" w:rsidRPr="00593418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560" w:type="dxa"/>
          </w:tcPr>
          <w:p w14:paraId="14E76380" w14:textId="0A4D5602" w:rsidR="00CD0F43" w:rsidRPr="00593418" w:rsidRDefault="00CD0F43" w:rsidP="00216B4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1</w:t>
            </w:r>
            <w:r w:rsidR="00216B4E">
              <w:rPr>
                <w:rFonts w:asciiTheme="minorHAnsi" w:hAnsiTheme="minorHAnsi" w:cstheme="minorHAnsi"/>
              </w:rPr>
              <w:t>1.6</w:t>
            </w:r>
            <w:r w:rsidRPr="00593418">
              <w:rPr>
                <w:rFonts w:asciiTheme="minorHAnsi" w:hAnsiTheme="minorHAnsi" w:cstheme="minorHAnsi"/>
              </w:rPr>
              <w:t>% (201</w:t>
            </w:r>
            <w:r w:rsidR="00107460">
              <w:rPr>
                <w:rFonts w:asciiTheme="minorHAnsi" w:hAnsiTheme="minorHAnsi" w:cstheme="minorHAnsi"/>
              </w:rPr>
              <w:t>7</w:t>
            </w:r>
            <w:r w:rsidRPr="0059341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52" w:type="dxa"/>
          </w:tcPr>
          <w:p w14:paraId="0BE0D47C" w14:textId="1DE5708F" w:rsidR="00CD0F43" w:rsidRPr="00593418" w:rsidRDefault="00CE4F16" w:rsidP="00CD0F4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CD0F43" w:rsidRPr="00593418">
              <w:rPr>
                <w:rFonts w:asciiTheme="minorHAnsi" w:hAnsiTheme="minorHAnsi" w:cstheme="minorHAnsi"/>
              </w:rPr>
              <w:t>%</w:t>
            </w:r>
          </w:p>
        </w:tc>
      </w:tr>
      <w:tr w:rsidR="00CD0F43" w:rsidRPr="00593418" w14:paraId="77D0BE10" w14:textId="77777777" w:rsidTr="00CD0F43">
        <w:trPr>
          <w:jc w:val="center"/>
        </w:trPr>
        <w:tc>
          <w:tcPr>
            <w:tcW w:w="5225" w:type="dxa"/>
          </w:tcPr>
          <w:p w14:paraId="1594A9BA" w14:textId="77777777" w:rsidR="00CD0F43" w:rsidRPr="00593418" w:rsidRDefault="00CD0F43" w:rsidP="00CD0F4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Učešće prerađenog u ukupnom industrijskom otpadu</w:t>
            </w:r>
          </w:p>
        </w:tc>
        <w:tc>
          <w:tcPr>
            <w:tcW w:w="1560" w:type="dxa"/>
          </w:tcPr>
          <w:p w14:paraId="033FFC52" w14:textId="77777777" w:rsidR="00CD0F43" w:rsidRPr="00593418" w:rsidRDefault="00CD0F43" w:rsidP="00CD0F4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2.5%</w:t>
            </w:r>
          </w:p>
        </w:tc>
        <w:tc>
          <w:tcPr>
            <w:tcW w:w="1352" w:type="dxa"/>
          </w:tcPr>
          <w:p w14:paraId="48BF8EA9" w14:textId="77777777" w:rsidR="00CD0F43" w:rsidRPr="00593418" w:rsidRDefault="00CD0F43" w:rsidP="00CD0F43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6%</w:t>
            </w:r>
          </w:p>
        </w:tc>
      </w:tr>
    </w:tbl>
    <w:p w14:paraId="291D10D3" w14:textId="1158C417" w:rsidR="00CD0F43" w:rsidRPr="00593418" w:rsidRDefault="00CD0F43" w:rsidP="00CD0F43"/>
    <w:p w14:paraId="5B1B4A37" w14:textId="5E2A101B" w:rsidR="00CD0F43" w:rsidRPr="00593418" w:rsidRDefault="00253B54" w:rsidP="00A327C7">
      <w:pPr>
        <w:pStyle w:val="Heading2"/>
      </w:pPr>
      <w:bookmarkStart w:id="36" w:name="_Toc529890092"/>
      <w:bookmarkStart w:id="37" w:name="_Toc530143287"/>
      <w:r w:rsidRPr="00593418">
        <w:lastRenderedPageBreak/>
        <w:t>VI</w:t>
      </w:r>
      <w:r w:rsidR="00826F04">
        <w:t xml:space="preserve"> </w:t>
      </w:r>
      <w:r w:rsidR="00B078A4" w:rsidRPr="00593418">
        <w:t xml:space="preserve">2. </w:t>
      </w:r>
      <w:r w:rsidR="00CD0F43" w:rsidRPr="00593418">
        <w:t>ODRŽIVA POLJOPRIVREDA I LANAC VRIJEDNOSTI HRANE</w:t>
      </w:r>
      <w:bookmarkEnd w:id="36"/>
      <w:bookmarkEnd w:id="37"/>
    </w:p>
    <w:p w14:paraId="0DA22710" w14:textId="77777777" w:rsidR="00F17001" w:rsidRPr="00593418" w:rsidRDefault="00F17001" w:rsidP="00360197">
      <w:pPr>
        <w:jc w:val="both"/>
        <w:rPr>
          <w:rFonts w:ascii="Cambria" w:hAnsi="Cambria"/>
        </w:rPr>
      </w:pPr>
    </w:p>
    <w:p w14:paraId="771B0149" w14:textId="33A2DDF8" w:rsidR="00CD0F43" w:rsidRPr="00C577DE" w:rsidRDefault="00CD0F43" w:rsidP="00F17001">
      <w:pPr>
        <w:spacing w:after="120" w:line="240" w:lineRule="auto"/>
        <w:jc w:val="both"/>
        <w:rPr>
          <w:rFonts w:asciiTheme="minorHAnsi" w:eastAsia="Batang" w:hAnsiTheme="minorHAnsi"/>
          <w:bCs/>
        </w:rPr>
      </w:pPr>
      <w:r w:rsidRPr="00C577DE">
        <w:rPr>
          <w:rFonts w:asciiTheme="minorHAnsi" w:hAnsiTheme="minorHAnsi"/>
        </w:rPr>
        <w:t>Poljoprivreda je sektor koji ima višestruku ulogu u razvoju društva i ekonomije Crne Gore. Njen ekonomski značaj ogleda se u visokom doprinosu stvaranj</w:t>
      </w:r>
      <w:r w:rsidR="009B2F08">
        <w:rPr>
          <w:rFonts w:asciiTheme="minorHAnsi" w:hAnsiTheme="minorHAnsi"/>
        </w:rPr>
        <w:t>a</w:t>
      </w:r>
      <w:r w:rsidRPr="00C577DE">
        <w:rPr>
          <w:rFonts w:asciiTheme="minorHAnsi" w:hAnsiTheme="minorHAnsi"/>
        </w:rPr>
        <w:t xml:space="preserve"> BDP</w:t>
      </w:r>
      <w:r w:rsidR="009B2F08">
        <w:rPr>
          <w:rFonts w:asciiTheme="minorHAnsi" w:hAnsiTheme="minorHAnsi"/>
        </w:rPr>
        <w:t>-a</w:t>
      </w:r>
      <w:r w:rsidRPr="00C577DE">
        <w:rPr>
          <w:rFonts w:asciiTheme="minorHAnsi" w:hAnsiTheme="minorHAnsi"/>
        </w:rPr>
        <w:t xml:space="preserve"> (preko 7%, a u EU je ispod 2%). Još je veće učešće poljoprivrede u zapošljavanju radne snage, budući da je </w:t>
      </w:r>
      <w:r w:rsidRPr="00C577DE">
        <w:rPr>
          <w:rFonts w:asciiTheme="minorHAnsi" w:hAnsiTheme="minorHAnsi" w:cs="Arial"/>
        </w:rPr>
        <w:t xml:space="preserve">na porodičnim poljoprivrednim gazdinstvima angažovana gotovo četvrtina ukupno zaposlenih u Crnoj Gori. Pored toga, </w:t>
      </w:r>
      <w:r w:rsidRPr="00C577DE">
        <w:rPr>
          <w:rFonts w:asciiTheme="minorHAnsi" w:hAnsiTheme="minorHAnsi"/>
        </w:rPr>
        <w:t xml:space="preserve">poljoprivreda ima i druge važne uloge: </w:t>
      </w:r>
      <w:r w:rsidRPr="00C577DE">
        <w:rPr>
          <w:rFonts w:asciiTheme="minorHAnsi" w:eastAsia="Batang" w:hAnsiTheme="minorHAnsi"/>
        </w:rPr>
        <w:t>osnova je za cjelokupan lanac hrane (prehrambenu industriju i povezane sektore)</w:t>
      </w:r>
      <w:r w:rsidRPr="00C577DE">
        <w:rPr>
          <w:rFonts w:asciiTheme="minorHAnsi" w:hAnsiTheme="minorHAnsi"/>
        </w:rPr>
        <w:t xml:space="preserve">; </w:t>
      </w:r>
      <w:r w:rsidRPr="00C577DE">
        <w:rPr>
          <w:rFonts w:asciiTheme="minorHAnsi" w:eastAsia="Batang" w:hAnsiTheme="minorHAnsi"/>
        </w:rPr>
        <w:t>nezaobilazna je podrška</w:t>
      </w:r>
      <w:r w:rsidRPr="00C577DE">
        <w:rPr>
          <w:rFonts w:asciiTheme="minorHAnsi" w:eastAsia="Batang" w:hAnsiTheme="minorHAnsi"/>
          <w:bCs/>
        </w:rPr>
        <w:t xml:space="preserve"> razvoju turizma; </w:t>
      </w:r>
      <w:r w:rsidRPr="00C577DE">
        <w:rPr>
          <w:rFonts w:asciiTheme="minorHAnsi" w:hAnsiTheme="minorHAnsi"/>
        </w:rPr>
        <w:t xml:space="preserve">podstiče razvoj brojnih </w:t>
      </w:r>
      <w:r w:rsidRPr="00C577DE">
        <w:rPr>
          <w:rFonts w:asciiTheme="minorHAnsi" w:eastAsia="Batang" w:hAnsiTheme="minorHAnsi"/>
        </w:rPr>
        <w:t>drug</w:t>
      </w:r>
      <w:r w:rsidRPr="00C577DE">
        <w:rPr>
          <w:rFonts w:asciiTheme="minorHAnsi" w:hAnsiTheme="minorHAnsi"/>
        </w:rPr>
        <w:t>ih</w:t>
      </w:r>
      <w:r w:rsidRPr="00C577DE">
        <w:rPr>
          <w:rFonts w:asciiTheme="minorHAnsi" w:eastAsia="Batang" w:hAnsiTheme="minorHAnsi"/>
        </w:rPr>
        <w:t xml:space="preserve"> sektor</w:t>
      </w:r>
      <w:r w:rsidRPr="00C577DE">
        <w:rPr>
          <w:rFonts w:asciiTheme="minorHAnsi" w:hAnsiTheme="minorHAnsi"/>
        </w:rPr>
        <w:t>a (proizvodnju opreme, mehanizacije i ambalaže, zatim transport i brojne usluge);</w:t>
      </w:r>
      <w:r w:rsidRPr="00C577DE">
        <w:rPr>
          <w:rFonts w:asciiTheme="minorHAnsi" w:eastAsia="Batang" w:hAnsiTheme="minorHAnsi"/>
        </w:rPr>
        <w:t xml:space="preserve"> </w:t>
      </w:r>
      <w:r w:rsidRPr="00C577DE">
        <w:rPr>
          <w:rFonts w:asciiTheme="minorHAnsi" w:hAnsiTheme="minorHAnsi"/>
        </w:rPr>
        <w:t xml:space="preserve">ključna je u održivom razvoju i ublažavanju </w:t>
      </w:r>
      <w:r w:rsidRPr="00C577DE">
        <w:rPr>
          <w:rFonts w:asciiTheme="minorHAnsi" w:eastAsia="Batang" w:hAnsiTheme="minorHAnsi"/>
        </w:rPr>
        <w:t>depopulacije seoskih područja</w:t>
      </w:r>
      <w:r w:rsidRPr="00C577DE">
        <w:rPr>
          <w:rFonts w:asciiTheme="minorHAnsi" w:hAnsiTheme="minorHAnsi"/>
        </w:rPr>
        <w:t>;</w:t>
      </w:r>
      <w:r w:rsidRPr="00C577DE">
        <w:rPr>
          <w:rFonts w:asciiTheme="minorHAnsi" w:eastAsia="Batang" w:hAnsiTheme="minorHAnsi"/>
        </w:rPr>
        <w:t xml:space="preserve"> doprinosi očuvanju okoline, biodiverziteta i pejzaža; doprinosi borbi protiv siromaštva u seoskim područjima i važan je činilac u o</w:t>
      </w:r>
      <w:r w:rsidRPr="00C577DE">
        <w:rPr>
          <w:rFonts w:asciiTheme="minorHAnsi" w:eastAsia="Batang" w:hAnsiTheme="minorHAnsi"/>
          <w:bCs/>
        </w:rPr>
        <w:t xml:space="preserve">čuvanju tradicije i ukupnog kulturnog nasljeđa crnogorskog sela. </w:t>
      </w:r>
    </w:p>
    <w:p w14:paraId="620D4AB9" w14:textId="4C08A473" w:rsidR="00CD0F43" w:rsidRPr="00C577DE" w:rsidRDefault="00CD0F43" w:rsidP="00F17001">
      <w:pPr>
        <w:spacing w:after="120" w:line="240" w:lineRule="auto"/>
        <w:jc w:val="both"/>
        <w:rPr>
          <w:rFonts w:asciiTheme="minorHAnsi" w:hAnsiTheme="minorHAnsi"/>
          <w:lang w:eastAsia="en-GB"/>
        </w:rPr>
      </w:pPr>
      <w:r w:rsidRPr="00C577DE">
        <w:rPr>
          <w:rFonts w:asciiTheme="minorHAnsi" w:eastAsia="Batang" w:hAnsiTheme="minorHAnsi"/>
          <w:bCs/>
        </w:rPr>
        <w:t xml:space="preserve">Brojne su razvojne mogućnosti koje nudi poljoprivreda i na nju naslonjen lanac vrijednosti hrane: </w:t>
      </w:r>
      <w:r w:rsidR="009B2F08">
        <w:rPr>
          <w:rFonts w:asciiTheme="minorHAnsi" w:eastAsia="Batang" w:hAnsiTheme="minorHAnsi"/>
          <w:bCs/>
        </w:rPr>
        <w:t>1</w:t>
      </w:r>
      <w:r w:rsidRPr="00C577DE">
        <w:rPr>
          <w:rFonts w:asciiTheme="minorHAnsi" w:eastAsia="Batang" w:hAnsiTheme="minorHAnsi"/>
          <w:bCs/>
        </w:rPr>
        <w:t xml:space="preserve">) </w:t>
      </w:r>
      <w:r w:rsidRPr="00C577DE">
        <w:rPr>
          <w:rFonts w:asciiTheme="minorHAnsi" w:hAnsiTheme="minorHAnsi"/>
          <w:lang w:eastAsia="en-GB"/>
        </w:rPr>
        <w:t xml:space="preserve">kreiranje novih radnih mjesta za različite stručne profile; </w:t>
      </w:r>
      <w:r w:rsidR="009B2F08">
        <w:rPr>
          <w:rFonts w:asciiTheme="minorHAnsi" w:hAnsiTheme="minorHAnsi"/>
          <w:lang w:eastAsia="en-GB"/>
        </w:rPr>
        <w:t>2</w:t>
      </w:r>
      <w:r w:rsidRPr="00C577DE">
        <w:rPr>
          <w:rFonts w:asciiTheme="minorHAnsi" w:hAnsiTheme="minorHAnsi"/>
          <w:lang w:eastAsia="en-GB"/>
        </w:rPr>
        <w:t xml:space="preserve">) ogroman prostor za plasiranje znanja i inovativnih tehnologija u čitavom lancu vrijednosti hrane; </w:t>
      </w:r>
      <w:r w:rsidR="009B2F08">
        <w:rPr>
          <w:rFonts w:asciiTheme="minorHAnsi" w:hAnsiTheme="minorHAnsi"/>
          <w:lang w:eastAsia="en-GB"/>
        </w:rPr>
        <w:t>3</w:t>
      </w:r>
      <w:r w:rsidRPr="00C577DE">
        <w:rPr>
          <w:rFonts w:asciiTheme="minorHAnsi" w:hAnsiTheme="minorHAnsi"/>
          <w:lang w:eastAsia="en-GB"/>
        </w:rPr>
        <w:t xml:space="preserve">) siguran potencijal rasta i generisanje nove vrijednosti održivim korišćenjem lokalnih sirovina; </w:t>
      </w:r>
      <w:r w:rsidR="009B2F08">
        <w:rPr>
          <w:rFonts w:asciiTheme="minorHAnsi" w:hAnsiTheme="minorHAnsi"/>
          <w:lang w:eastAsia="en-GB"/>
        </w:rPr>
        <w:t>4</w:t>
      </w:r>
      <w:r w:rsidRPr="00C577DE">
        <w:rPr>
          <w:rFonts w:asciiTheme="minorHAnsi" w:hAnsiTheme="minorHAnsi"/>
          <w:lang w:eastAsia="en-GB"/>
        </w:rPr>
        <w:t xml:space="preserve">) široka paleta lokalnih proizvoda za poboljšanje ukupne turističke ponude; </w:t>
      </w:r>
      <w:r w:rsidR="009B2F08">
        <w:rPr>
          <w:rFonts w:asciiTheme="minorHAnsi" w:hAnsiTheme="minorHAnsi"/>
          <w:lang w:eastAsia="en-GB"/>
        </w:rPr>
        <w:t>5</w:t>
      </w:r>
      <w:r w:rsidRPr="00C577DE">
        <w:rPr>
          <w:rFonts w:asciiTheme="minorHAnsi" w:hAnsiTheme="minorHAnsi"/>
          <w:lang w:eastAsia="en-GB"/>
        </w:rPr>
        <w:t>)</w:t>
      </w:r>
      <w:r w:rsidRPr="00C577DE">
        <w:rPr>
          <w:rFonts w:asciiTheme="minorHAnsi" w:hAnsiTheme="minorHAnsi"/>
        </w:rPr>
        <w:t xml:space="preserve"> povoljni uslovi za organsku proizvodnju opravdavaju orijentaciju Crne Gore kao ekološke države</w:t>
      </w:r>
      <w:r w:rsidRPr="00C577DE">
        <w:rPr>
          <w:rFonts w:asciiTheme="minorHAnsi" w:hAnsiTheme="minorHAnsi"/>
          <w:lang w:eastAsia="en-GB"/>
        </w:rPr>
        <w:t xml:space="preserve">; </w:t>
      </w:r>
      <w:r w:rsidR="009B2F08">
        <w:rPr>
          <w:rFonts w:asciiTheme="minorHAnsi" w:hAnsiTheme="minorHAnsi"/>
          <w:lang w:eastAsia="en-GB"/>
        </w:rPr>
        <w:t>6</w:t>
      </w:r>
      <w:r w:rsidRPr="00C577DE">
        <w:rPr>
          <w:rFonts w:asciiTheme="minorHAnsi" w:hAnsiTheme="minorHAnsi"/>
          <w:lang w:eastAsia="en-GB"/>
        </w:rPr>
        <w:t xml:space="preserve">) spoj tradicije u proizvodnji brojnih proizvoda i inovativnih tehnologija i </w:t>
      </w:r>
      <w:r w:rsidR="009B2F08">
        <w:rPr>
          <w:rFonts w:asciiTheme="minorHAnsi" w:hAnsiTheme="minorHAnsi"/>
          <w:lang w:eastAsia="en-GB"/>
        </w:rPr>
        <w:t>7</w:t>
      </w:r>
      <w:r w:rsidRPr="00C577DE">
        <w:rPr>
          <w:rFonts w:asciiTheme="minorHAnsi" w:hAnsiTheme="minorHAnsi"/>
          <w:lang w:eastAsia="en-GB"/>
        </w:rPr>
        <w:t xml:space="preserve">) </w:t>
      </w:r>
      <w:r w:rsidR="00863E59" w:rsidRPr="00C577DE">
        <w:rPr>
          <w:rFonts w:asciiTheme="minorHAnsi" w:hAnsiTheme="minorHAnsi"/>
          <w:lang w:eastAsia="en-GB"/>
        </w:rPr>
        <w:t>proizvod</w:t>
      </w:r>
      <w:r w:rsidR="00863E59">
        <w:rPr>
          <w:rFonts w:asciiTheme="minorHAnsi" w:hAnsiTheme="minorHAnsi"/>
          <w:lang w:eastAsia="en-GB"/>
        </w:rPr>
        <w:t>i</w:t>
      </w:r>
      <w:r w:rsidR="00863E59" w:rsidRPr="00C577DE">
        <w:rPr>
          <w:rFonts w:asciiTheme="minorHAnsi" w:hAnsiTheme="minorHAnsi"/>
          <w:lang w:eastAsia="en-GB"/>
        </w:rPr>
        <w:t xml:space="preserve"> </w:t>
      </w:r>
      <w:r w:rsidRPr="00C577DE">
        <w:rPr>
          <w:rFonts w:asciiTheme="minorHAnsi" w:hAnsiTheme="minorHAnsi"/>
          <w:lang w:eastAsia="en-GB"/>
        </w:rPr>
        <w:t xml:space="preserve">nusproizvode koji se koriste kao sirovina u proizvodnji energije. </w:t>
      </w:r>
    </w:p>
    <w:p w14:paraId="32F88921" w14:textId="44812CB5" w:rsidR="00CD0F43" w:rsidRDefault="00CD0F43" w:rsidP="00F17001">
      <w:pPr>
        <w:spacing w:after="120" w:line="240" w:lineRule="auto"/>
        <w:jc w:val="both"/>
        <w:rPr>
          <w:rFonts w:asciiTheme="minorHAnsi" w:hAnsiTheme="minorHAnsi"/>
          <w:lang w:eastAsia="en-GB"/>
        </w:rPr>
      </w:pPr>
      <w:r w:rsidRPr="00C577DE">
        <w:rPr>
          <w:rFonts w:asciiTheme="minorHAnsi" w:hAnsiTheme="minorHAnsi"/>
          <w:lang w:eastAsia="en-GB"/>
        </w:rPr>
        <w:t xml:space="preserve">Ulaganje u održivu poljoprivredu je racionalno korišćenje investicija, zato što, pored sinergije s brojnim sektorima, donosi i brojne društvene koristi (nematerijalne i nemjerljive ekosistemske usluge). </w:t>
      </w:r>
      <w:r w:rsidRPr="00C577DE">
        <w:rPr>
          <w:rFonts w:asciiTheme="minorHAnsi" w:hAnsiTheme="minorHAnsi"/>
        </w:rPr>
        <w:t xml:space="preserve">Poljoprivredu u Crnoj Gori karakteriše raznovrsnost proizvodnje po regionima (raznolikost agroekoloških i klimatskih uslova </w:t>
      </w:r>
      <w:r w:rsidR="00863E59">
        <w:rPr>
          <w:rFonts w:asciiTheme="minorHAnsi" w:hAnsiTheme="minorHAnsi"/>
        </w:rPr>
        <w:t>omoguća</w:t>
      </w:r>
      <w:r w:rsidR="00863E59" w:rsidRPr="00C577DE">
        <w:rPr>
          <w:rFonts w:asciiTheme="minorHAnsi" w:hAnsiTheme="minorHAnsi"/>
        </w:rPr>
        <w:t xml:space="preserve">va </w:t>
      </w:r>
      <w:r w:rsidRPr="00C577DE">
        <w:rPr>
          <w:rFonts w:asciiTheme="minorHAnsi" w:hAnsiTheme="minorHAnsi"/>
        </w:rPr>
        <w:t>veliku raznolikost gajenih biljnih i životinjskih vrsta) kao i postojanje velikog broja autohtonih vrsta i sorti u biljnoj i rasa u stočarskoj proizvodnji. Poljoprivredu karakteriše visoka komplementarnost s drugim prioritetnim</w:t>
      </w:r>
      <w:r w:rsidRPr="00C577DE">
        <w:rPr>
          <w:rFonts w:asciiTheme="minorHAnsi" w:hAnsiTheme="minorHAnsi" w:cs="Times New Roman"/>
          <w:noProof/>
          <w:lang w:eastAsia="en-GB"/>
        </w:rPr>
        <w:t xml:space="preserve"> </w:t>
      </w:r>
      <w:r w:rsidRPr="00C577DE">
        <w:rPr>
          <w:rFonts w:asciiTheme="minorHAnsi" w:hAnsiTheme="minorHAnsi"/>
        </w:rPr>
        <w:t xml:space="preserve">sektorima, a posebno sa turizmom kao pokretačem svih vidova agroturizma i zdravstvenog turizma kroz prezentovanje tradicionalne gastronomije u kontekstu turističke ponude. </w:t>
      </w:r>
      <w:r w:rsidRPr="00C577DE">
        <w:rPr>
          <w:rFonts w:asciiTheme="minorHAnsi" w:hAnsiTheme="minorHAnsi"/>
          <w:lang w:eastAsia="en-GB"/>
        </w:rPr>
        <w:t>Takođe, održiv razvoj sektora ublažava negativne demografske trendove, doprinosi balansu u teritorijalnom razvoju, omogućava inkluziju različitih grupa i doprinosi ublažavanju posljedica klimatskih promjena.</w:t>
      </w:r>
    </w:p>
    <w:p w14:paraId="2A9CFC7E" w14:textId="77777777" w:rsidR="008808D0" w:rsidRPr="00C577DE" w:rsidRDefault="008808D0" w:rsidP="00F17001">
      <w:pPr>
        <w:spacing w:after="120" w:line="240" w:lineRule="auto"/>
        <w:jc w:val="both"/>
        <w:rPr>
          <w:rFonts w:asciiTheme="minorHAnsi" w:hAnsiTheme="minorHAnsi"/>
        </w:rPr>
      </w:pPr>
    </w:p>
    <w:p w14:paraId="498965BC" w14:textId="77777777" w:rsidR="00C577DE" w:rsidRPr="003575AB" w:rsidRDefault="00CD0F43" w:rsidP="00F17001">
      <w:pPr>
        <w:pStyle w:val="BodyText"/>
        <w:spacing w:after="120" w:line="240" w:lineRule="auto"/>
        <w:jc w:val="both"/>
        <w:rPr>
          <w:rFonts w:asciiTheme="minorHAnsi" w:hAnsiTheme="minorHAnsi"/>
          <w:b/>
        </w:rPr>
      </w:pPr>
      <w:r w:rsidRPr="003575AB">
        <w:rPr>
          <w:rFonts w:asciiTheme="minorHAnsi" w:hAnsiTheme="minorHAnsi"/>
          <w:b/>
        </w:rPr>
        <w:t>VIZIJA 2024</w:t>
      </w:r>
    </w:p>
    <w:p w14:paraId="737DC796" w14:textId="631C49C6" w:rsidR="00826F04" w:rsidRDefault="00CD0F43" w:rsidP="008808D0">
      <w:pPr>
        <w:pStyle w:val="BodyText"/>
        <w:spacing w:after="120" w:line="240" w:lineRule="auto"/>
        <w:jc w:val="both"/>
        <w:rPr>
          <w:rFonts w:asciiTheme="minorHAnsi" w:hAnsiTheme="minorHAnsi"/>
        </w:rPr>
      </w:pPr>
      <w:r w:rsidRPr="00C577DE">
        <w:rPr>
          <w:rFonts w:asciiTheme="minorHAnsi" w:hAnsiTheme="minorHAnsi" w:cstheme="majorHAnsi"/>
        </w:rPr>
        <w:t>Crna Gora je prepoznata po poljoprivredi koja je zasnovana na znanju i inovacijama, razvija se na principima održivosti, čuva tradiciju i vrijednosti sela, upotpunjuje ljepotu crnogorskog pejzaža i čini vitalnu osnovu za lanac vrijednosti hrane</w:t>
      </w:r>
      <w:r w:rsidR="007E3CE6">
        <w:rPr>
          <w:rFonts w:asciiTheme="minorHAnsi" w:hAnsiTheme="minorHAnsi" w:cstheme="majorHAnsi"/>
        </w:rPr>
        <w:t>,</w:t>
      </w:r>
      <w:r w:rsidRPr="00C577DE">
        <w:rPr>
          <w:rFonts w:asciiTheme="minorHAnsi" w:hAnsiTheme="minorHAnsi" w:cstheme="majorHAnsi"/>
        </w:rPr>
        <w:t xml:space="preserve"> koji potrošaču nudi široku paletu autentičnih proizvoda.</w:t>
      </w:r>
    </w:p>
    <w:p w14:paraId="4F472F42" w14:textId="77777777" w:rsidR="008808D0" w:rsidRPr="008808D0" w:rsidRDefault="008808D0" w:rsidP="008808D0">
      <w:pPr>
        <w:pStyle w:val="BodyText"/>
        <w:spacing w:after="120" w:line="240" w:lineRule="auto"/>
        <w:jc w:val="both"/>
        <w:rPr>
          <w:rFonts w:asciiTheme="minorHAnsi" w:hAnsiTheme="minorHAnsi"/>
        </w:rPr>
      </w:pPr>
    </w:p>
    <w:p w14:paraId="370DCCE2" w14:textId="51779436" w:rsidR="00CD0F43" w:rsidRPr="003575AB" w:rsidRDefault="00CD0F43" w:rsidP="00CD0F43">
      <w:pPr>
        <w:pStyle w:val="BodyText"/>
        <w:spacing w:after="0"/>
        <w:jc w:val="both"/>
        <w:rPr>
          <w:rFonts w:asciiTheme="minorHAnsi" w:hAnsiTheme="minorHAnsi"/>
          <w:b/>
        </w:rPr>
      </w:pPr>
      <w:r w:rsidRPr="003575AB">
        <w:rPr>
          <w:rFonts w:asciiTheme="minorHAnsi" w:hAnsiTheme="minorHAnsi"/>
          <w:b/>
        </w:rPr>
        <w:t>CILJEVI SEKTORA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49"/>
      </w:tblGrid>
      <w:tr w:rsidR="00CD0F43" w:rsidRPr="00593418" w14:paraId="078DF8AF" w14:textId="77777777" w:rsidTr="00CD0F43">
        <w:trPr>
          <w:jc w:val="center"/>
        </w:trPr>
        <w:tc>
          <w:tcPr>
            <w:tcW w:w="5749" w:type="dxa"/>
          </w:tcPr>
          <w:p w14:paraId="2779D285" w14:textId="77777777" w:rsidR="00CD0F43" w:rsidRPr="00C577DE" w:rsidRDefault="00CD0F43" w:rsidP="00CD0F43">
            <w:pPr>
              <w:spacing w:after="160" w:line="259" w:lineRule="auto"/>
              <w:rPr>
                <w:rFonts w:asciiTheme="minorHAnsi" w:hAnsiTheme="minorHAnsi"/>
              </w:rPr>
            </w:pPr>
            <w:r w:rsidRPr="00C577DE">
              <w:rPr>
                <w:rFonts w:asciiTheme="minorHAnsi" w:eastAsia="Times New Roman" w:hAnsiTheme="minorHAnsi" w:cstheme="majorHAnsi"/>
                <w:lang w:eastAsia="en-GB"/>
              </w:rPr>
              <w:t>Jačanje lanca vrijednosti organske proizvodnje</w:t>
            </w:r>
          </w:p>
        </w:tc>
      </w:tr>
      <w:tr w:rsidR="00CD0F43" w:rsidRPr="00593418" w14:paraId="061BB375" w14:textId="77777777" w:rsidTr="00CD0F43">
        <w:trPr>
          <w:jc w:val="center"/>
        </w:trPr>
        <w:tc>
          <w:tcPr>
            <w:tcW w:w="5749" w:type="dxa"/>
          </w:tcPr>
          <w:p w14:paraId="6C8A062C" w14:textId="77777777" w:rsidR="00CD0F43" w:rsidRPr="00C577DE" w:rsidRDefault="00CD0F43" w:rsidP="00CD0F43">
            <w:pPr>
              <w:spacing w:after="160" w:line="259" w:lineRule="auto"/>
              <w:rPr>
                <w:rFonts w:asciiTheme="minorHAnsi" w:hAnsiTheme="minorHAnsi"/>
              </w:rPr>
            </w:pPr>
            <w:r w:rsidRPr="00C577DE">
              <w:rPr>
                <w:rFonts w:asciiTheme="minorHAnsi" w:eastAsia="Times New Roman" w:hAnsiTheme="minorHAnsi" w:cstheme="majorHAnsi"/>
                <w:lang w:eastAsia="en-GB"/>
              </w:rPr>
              <w:t xml:space="preserve">Razvoj novih poljoprivrednih proizvoda </w:t>
            </w:r>
          </w:p>
        </w:tc>
      </w:tr>
    </w:tbl>
    <w:p w14:paraId="5A6C1E53" w14:textId="77777777" w:rsidR="00C577DE" w:rsidRPr="00C577DE" w:rsidRDefault="00C577DE" w:rsidP="00CD0F43">
      <w:pPr>
        <w:spacing w:after="0"/>
        <w:rPr>
          <w:rFonts w:asciiTheme="minorHAnsi" w:hAnsiTheme="minorHAnsi"/>
        </w:rPr>
      </w:pPr>
    </w:p>
    <w:p w14:paraId="40040FC4" w14:textId="720C3C24" w:rsidR="00CD0F43" w:rsidRDefault="00CD0F43" w:rsidP="00CD0F43">
      <w:pPr>
        <w:spacing w:after="0"/>
        <w:rPr>
          <w:rFonts w:asciiTheme="minorHAnsi" w:hAnsiTheme="minorHAnsi"/>
          <w:b/>
        </w:rPr>
      </w:pPr>
      <w:r w:rsidRPr="00457B32">
        <w:rPr>
          <w:rFonts w:asciiTheme="minorHAnsi" w:hAnsiTheme="minorHAnsi"/>
          <w:b/>
        </w:rPr>
        <w:t>FOKUSNA PODRUČJA I TEHNOLOGIJE</w:t>
      </w:r>
    </w:p>
    <w:p w14:paraId="2CE78244" w14:textId="474C0396" w:rsidR="00F14161" w:rsidRPr="00457B32" w:rsidRDefault="00F14161" w:rsidP="00CD0F43">
      <w:pPr>
        <w:spacing w:after="0"/>
        <w:rPr>
          <w:rFonts w:asciiTheme="minorHAnsi" w:hAnsiTheme="minorHAnsi"/>
          <w:b/>
        </w:rPr>
      </w:pPr>
    </w:p>
    <w:p w14:paraId="31F869D7" w14:textId="7B6CFBD5" w:rsidR="00CD0F43" w:rsidRPr="00C577DE" w:rsidRDefault="00CD0F43" w:rsidP="00CD0F43">
      <w:pPr>
        <w:spacing w:after="0"/>
        <w:rPr>
          <w:rFonts w:asciiTheme="minorHAnsi" w:hAnsiTheme="minorHAnsi"/>
        </w:rPr>
      </w:pPr>
      <w:r w:rsidRPr="00C577DE">
        <w:rPr>
          <w:rFonts w:asciiTheme="minorHAnsi" w:hAnsiTheme="minorHAnsi"/>
        </w:rPr>
        <w:tab/>
        <w:t>POSTOJEĆA</w:t>
      </w:r>
    </w:p>
    <w:p w14:paraId="3837C3B1" w14:textId="77777777" w:rsidR="00FB78BC" w:rsidRPr="00FB78BC" w:rsidRDefault="00FB78BC" w:rsidP="00FB78BC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636"/>
        <w:rPr>
          <w:rFonts w:eastAsia="Times New Roman" w:cstheme="majorHAnsi"/>
          <w:lang w:val="sr-Latn-ME" w:eastAsia="en-GB"/>
        </w:rPr>
      </w:pPr>
      <w:r w:rsidRPr="00FB78BC">
        <w:rPr>
          <w:rFonts w:eastAsia="Times New Roman" w:cstheme="majorHAnsi"/>
          <w:lang w:val="sr-Latn-ME" w:eastAsia="en-GB"/>
        </w:rPr>
        <w:t>Meso i mesne prerađevine (tradicionalni i novi proizvodi).</w:t>
      </w:r>
    </w:p>
    <w:p w14:paraId="2201305A" w14:textId="49501A3A" w:rsidR="00CD0F43" w:rsidRPr="00C577DE" w:rsidRDefault="00CD0F43" w:rsidP="005B5889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636"/>
        <w:rPr>
          <w:rFonts w:eastAsia="Times New Roman" w:cstheme="majorHAnsi"/>
          <w:lang w:val="sr-Latn-ME" w:eastAsia="en-GB"/>
        </w:rPr>
      </w:pPr>
      <w:r w:rsidRPr="00C577DE">
        <w:rPr>
          <w:rFonts w:eastAsia="Times New Roman" w:cstheme="majorHAnsi"/>
          <w:lang w:val="sr-Latn-ME" w:eastAsia="en-GB"/>
        </w:rPr>
        <w:lastRenderedPageBreak/>
        <w:t>Vino (od autohtonih i introdukovanih sorti vinove loze, novi tipovi vina, aromatična vina, ulje od sjemenki grožđa, suvo grožđe) i pivo</w:t>
      </w:r>
      <w:r w:rsidR="00B97D46">
        <w:rPr>
          <w:rFonts w:eastAsia="Times New Roman" w:cstheme="majorHAnsi"/>
          <w:lang w:val="sr-Latn-ME" w:eastAsia="en-GB"/>
        </w:rPr>
        <w:t>;</w:t>
      </w:r>
    </w:p>
    <w:p w14:paraId="47B06788" w14:textId="7B607294" w:rsidR="00FB78BC" w:rsidRDefault="00FB78BC" w:rsidP="00C70DA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276"/>
        <w:rPr>
          <w:rFonts w:eastAsia="Times New Roman" w:cstheme="majorHAnsi"/>
          <w:lang w:val="sr-Latn-ME" w:eastAsia="en-GB"/>
        </w:rPr>
      </w:pPr>
      <w:r>
        <w:rPr>
          <w:rFonts w:eastAsia="Times New Roman" w:cstheme="majorHAnsi"/>
          <w:lang w:val="sr-Latn-ME" w:eastAsia="en-GB"/>
        </w:rPr>
        <w:t xml:space="preserve">•   </w:t>
      </w:r>
      <w:r w:rsidRPr="00FB78BC">
        <w:rPr>
          <w:rFonts w:eastAsia="Times New Roman" w:cstheme="majorHAnsi"/>
          <w:lang w:val="sr-Latn-ME" w:eastAsia="en-GB"/>
        </w:rPr>
        <w:t xml:space="preserve">Mlječni proizvodi: tradicionalni i novi (uključujući autohtone kulture za proizvodnju </w:t>
      </w:r>
      <w:r w:rsidR="00C70DA0">
        <w:rPr>
          <w:rFonts w:eastAsia="Times New Roman" w:cstheme="majorHAnsi"/>
          <w:lang w:val="sr-Latn-ME" w:eastAsia="en-GB"/>
        </w:rPr>
        <w:t xml:space="preserve">         </w:t>
      </w:r>
      <w:r w:rsidRPr="00FB78BC">
        <w:rPr>
          <w:rFonts w:eastAsia="Times New Roman" w:cstheme="majorHAnsi"/>
          <w:lang w:val="sr-Latn-ME" w:eastAsia="en-GB"/>
        </w:rPr>
        <w:t>mliječnih proizvoda).</w:t>
      </w:r>
    </w:p>
    <w:p w14:paraId="725ACC7B" w14:textId="169265E4" w:rsidR="00CD0F43" w:rsidRDefault="001B1D59" w:rsidP="008808D0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9" w:lineRule="auto"/>
        <w:ind w:left="1636"/>
        <w:rPr>
          <w:rFonts w:eastAsia="Times New Roman" w:cstheme="majorHAnsi"/>
          <w:lang w:val="sr-Latn-ME" w:eastAsia="en-GB"/>
        </w:rPr>
      </w:pPr>
      <w:r w:rsidRPr="00C577DE">
        <w:rPr>
          <w:rFonts w:eastAsia="Times New Roman" w:cstheme="majorHAnsi"/>
          <w:lang w:val="sr-Latn-ME" w:eastAsia="en-GB"/>
        </w:rPr>
        <w:t>Proizvodi ribarstva i akvakulture</w:t>
      </w:r>
      <w:r>
        <w:rPr>
          <w:rFonts w:eastAsia="Times New Roman" w:cstheme="majorHAnsi"/>
          <w:lang w:val="sr-Latn-ME" w:eastAsia="en-GB"/>
        </w:rPr>
        <w:t>;</w:t>
      </w:r>
    </w:p>
    <w:p w14:paraId="095B930E" w14:textId="77777777" w:rsidR="008808D0" w:rsidRPr="008808D0" w:rsidRDefault="008808D0" w:rsidP="008808D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9" w:lineRule="auto"/>
        <w:ind w:left="1636"/>
        <w:rPr>
          <w:rFonts w:eastAsia="Times New Roman" w:cstheme="majorHAnsi"/>
          <w:lang w:val="sr-Latn-ME" w:eastAsia="en-GB"/>
        </w:rPr>
      </w:pPr>
    </w:p>
    <w:p w14:paraId="20637FCC" w14:textId="77777777" w:rsidR="00CD0F43" w:rsidRDefault="00CD0F43" w:rsidP="00CD0F43">
      <w:pPr>
        <w:spacing w:after="0"/>
        <w:ind w:firstLine="720"/>
        <w:rPr>
          <w:rFonts w:asciiTheme="minorHAnsi" w:hAnsiTheme="minorHAnsi"/>
        </w:rPr>
      </w:pPr>
      <w:r w:rsidRPr="00C577DE">
        <w:rPr>
          <w:rFonts w:asciiTheme="minorHAnsi" w:hAnsiTheme="minorHAnsi"/>
        </w:rPr>
        <w:t>SA POTENCIJALOM</w:t>
      </w:r>
    </w:p>
    <w:p w14:paraId="1EDF5DC0" w14:textId="77777777" w:rsidR="00FB78BC" w:rsidRPr="00C577DE" w:rsidRDefault="00FB78BC" w:rsidP="00CD0F43">
      <w:pPr>
        <w:spacing w:after="0"/>
        <w:ind w:firstLine="720"/>
        <w:rPr>
          <w:rFonts w:asciiTheme="minorHAnsi" w:hAnsiTheme="minorHAnsi"/>
        </w:rPr>
      </w:pPr>
    </w:p>
    <w:p w14:paraId="311F752F" w14:textId="77777777" w:rsidR="00FB78BC" w:rsidRPr="00C577DE" w:rsidRDefault="00FB78BC" w:rsidP="00FB78BC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9" w:lineRule="auto"/>
        <w:ind w:left="1636"/>
        <w:rPr>
          <w:rFonts w:cstheme="minorHAnsi"/>
          <w:lang w:val="sr-Latn-ME"/>
        </w:rPr>
      </w:pPr>
      <w:r w:rsidRPr="00C577DE">
        <w:rPr>
          <w:rFonts w:eastAsia="Times New Roman" w:cstheme="majorHAnsi"/>
          <w:lang w:val="sr-Latn-ME" w:eastAsia="en-GB"/>
        </w:rPr>
        <w:t>Razvoj organske proizvodnje u svim ključnim sektorima poljoprivrede.</w:t>
      </w:r>
    </w:p>
    <w:p w14:paraId="5FE155EA" w14:textId="70D986A1" w:rsidR="00CD0F43" w:rsidRPr="001B1D59" w:rsidRDefault="00CD0F43" w:rsidP="005B5889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9" w:lineRule="auto"/>
        <w:ind w:left="1636"/>
        <w:rPr>
          <w:rFonts w:cstheme="minorHAnsi"/>
          <w:lang w:val="sr-Latn-ME"/>
        </w:rPr>
      </w:pPr>
      <w:r w:rsidRPr="00C577DE">
        <w:rPr>
          <w:rFonts w:eastAsia="Times New Roman" w:cstheme="majorHAnsi"/>
          <w:lang w:val="sr-Latn-ME" w:eastAsia="en-GB"/>
        </w:rPr>
        <w:t>Inovacije, kreiranje novih proizvoda i primjena novih tehnologija za proizvodnju hrane, uključujući proizvodnju ekološke i pametne ambalaže, bioloških preparata, biopesticida</w:t>
      </w:r>
      <w:r w:rsidR="00CE34B0" w:rsidRPr="00C577DE">
        <w:rPr>
          <w:rFonts w:eastAsia="Times New Roman" w:cstheme="majorHAnsi"/>
          <w:lang w:val="sr-Latn-ME" w:eastAsia="en-GB"/>
        </w:rPr>
        <w:t>,</w:t>
      </w:r>
      <w:r w:rsidRPr="00C577DE">
        <w:rPr>
          <w:rFonts w:eastAsia="Times New Roman" w:cstheme="majorHAnsi"/>
          <w:lang w:val="sr-Latn-ME" w:eastAsia="en-GB"/>
        </w:rPr>
        <w:t xml:space="preserve"> kao i pametno upravljanje otpadom</w:t>
      </w:r>
      <w:r w:rsidR="00B97D46">
        <w:rPr>
          <w:rFonts w:eastAsia="Times New Roman" w:cstheme="majorHAnsi"/>
          <w:lang w:val="sr-Latn-ME" w:eastAsia="en-GB"/>
        </w:rPr>
        <w:t>;</w:t>
      </w:r>
    </w:p>
    <w:p w14:paraId="048DA4A8" w14:textId="7E682B93" w:rsidR="001B1D59" w:rsidRPr="001B1D59" w:rsidRDefault="001B1D59" w:rsidP="001B1D59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636"/>
        <w:rPr>
          <w:rFonts w:eastAsia="Times New Roman" w:cstheme="majorHAnsi"/>
          <w:lang w:val="sr-Latn-ME" w:eastAsia="en-GB"/>
        </w:rPr>
      </w:pPr>
      <w:r w:rsidRPr="00C577DE">
        <w:rPr>
          <w:rFonts w:eastAsia="Times New Roman" w:cstheme="majorHAnsi"/>
          <w:lang w:val="sr-Latn-ME" w:eastAsia="en-GB"/>
        </w:rPr>
        <w:t>Kreiranje novih pro</w:t>
      </w:r>
      <w:r>
        <w:rPr>
          <w:rFonts w:eastAsia="Times New Roman" w:cstheme="majorHAnsi"/>
          <w:lang w:val="sr-Latn-ME" w:eastAsia="en-GB"/>
        </w:rPr>
        <w:t>i</w:t>
      </w:r>
      <w:r w:rsidRPr="00C577DE">
        <w:rPr>
          <w:rFonts w:eastAsia="Times New Roman" w:cstheme="majorHAnsi"/>
          <w:lang w:val="sr-Latn-ME" w:eastAsia="en-GB"/>
        </w:rPr>
        <w:t>zvoda od voć</w:t>
      </w:r>
      <w:r>
        <w:rPr>
          <w:rFonts w:eastAsia="Times New Roman" w:cstheme="majorHAnsi"/>
          <w:lang w:val="sr-Latn-ME" w:eastAsia="en-GB"/>
        </w:rPr>
        <w:t>a i povrća;</w:t>
      </w:r>
    </w:p>
    <w:p w14:paraId="067BF585" w14:textId="6B6455A6" w:rsidR="00FB78BC" w:rsidRPr="00C577DE" w:rsidRDefault="00FB78BC" w:rsidP="00FB78BC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636"/>
        <w:rPr>
          <w:rFonts w:eastAsia="Times New Roman" w:cstheme="majorHAnsi"/>
          <w:lang w:val="sr-Latn-ME" w:eastAsia="en-GB"/>
        </w:rPr>
      </w:pPr>
      <w:r w:rsidRPr="00C577DE">
        <w:rPr>
          <w:rFonts w:eastAsia="Times New Roman" w:cstheme="majorHAnsi"/>
          <w:lang w:val="sr-Latn-ME" w:eastAsia="en-GB"/>
        </w:rPr>
        <w:t>Uzgoj</w:t>
      </w:r>
      <w:r w:rsidR="001B1D59">
        <w:rPr>
          <w:rFonts w:eastAsia="Times New Roman" w:cstheme="majorHAnsi"/>
          <w:lang w:val="sr-Latn-ME" w:eastAsia="en-GB"/>
        </w:rPr>
        <w:t xml:space="preserve">, </w:t>
      </w:r>
      <w:r w:rsidRPr="00C577DE">
        <w:rPr>
          <w:rFonts w:eastAsia="Times New Roman" w:cstheme="majorHAnsi"/>
          <w:lang w:val="sr-Latn-ME" w:eastAsia="en-GB"/>
        </w:rPr>
        <w:t xml:space="preserve">sakupljanje </w:t>
      </w:r>
      <w:r w:rsidR="001B1D59">
        <w:rPr>
          <w:rFonts w:eastAsia="Times New Roman" w:cstheme="majorHAnsi"/>
          <w:lang w:val="sr-Latn-ME" w:eastAsia="en-GB"/>
        </w:rPr>
        <w:t xml:space="preserve">i prerada </w:t>
      </w:r>
      <w:r w:rsidRPr="00C577DE">
        <w:rPr>
          <w:rFonts w:eastAsia="Times New Roman" w:cstheme="majorHAnsi"/>
          <w:lang w:val="sr-Latn-ME" w:eastAsia="en-GB"/>
        </w:rPr>
        <w:t>ljekovitog, aromatičnog bilja i pečuraka (proizvodnja ulja, kozmetičkih, farmaceutskih, spa-proizvoda, začina, napitaka i slično)</w:t>
      </w:r>
      <w:r>
        <w:rPr>
          <w:rFonts w:eastAsia="Times New Roman" w:cstheme="majorHAnsi"/>
          <w:lang w:val="sr-Latn-ME" w:eastAsia="en-GB"/>
        </w:rPr>
        <w:t>;</w:t>
      </w:r>
    </w:p>
    <w:p w14:paraId="1B80809B" w14:textId="77777777" w:rsidR="00C70DA0" w:rsidRDefault="00C70DA0" w:rsidP="00C70DA0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9" w:lineRule="auto"/>
        <w:ind w:left="1636"/>
        <w:rPr>
          <w:rFonts w:eastAsia="Times New Roman" w:cstheme="majorHAnsi"/>
          <w:lang w:val="sr-Latn-ME" w:eastAsia="en-GB"/>
        </w:rPr>
      </w:pPr>
      <w:r w:rsidRPr="00C70DA0">
        <w:rPr>
          <w:rFonts w:eastAsia="Times New Roman" w:cstheme="majorHAnsi"/>
          <w:lang w:val="sr-Latn-ME" w:eastAsia="en-GB"/>
        </w:rPr>
        <w:t xml:space="preserve">Proizvodnja krompira i s njim povezanih žitarica i heljde (integralna brašna, široka paleta prerađevina i sl.). </w:t>
      </w:r>
    </w:p>
    <w:p w14:paraId="0888E313" w14:textId="4A1E33D5" w:rsidR="00FB78BC" w:rsidRPr="008808D0" w:rsidRDefault="00C70DA0" w:rsidP="008808D0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9" w:lineRule="auto"/>
        <w:ind w:left="1636"/>
        <w:rPr>
          <w:rFonts w:eastAsia="Times New Roman" w:cstheme="majorHAnsi"/>
          <w:lang w:val="sr-Latn-ME" w:eastAsia="en-GB"/>
        </w:rPr>
      </w:pPr>
      <w:r w:rsidRPr="00C70DA0">
        <w:rPr>
          <w:rFonts w:eastAsia="Times New Roman" w:cstheme="majorHAnsi"/>
          <w:lang w:val="sr-Latn-ME" w:eastAsia="en-GB"/>
        </w:rPr>
        <w:t>Maslinovo ulje</w:t>
      </w:r>
      <w:r w:rsidR="001B1D59">
        <w:rPr>
          <w:rFonts w:eastAsia="Times New Roman" w:cstheme="majorHAnsi"/>
          <w:lang w:val="sr-Latn-ME" w:eastAsia="en-GB"/>
        </w:rPr>
        <w:t xml:space="preserve"> i ostali proizvodi od maslina</w:t>
      </w:r>
    </w:p>
    <w:p w14:paraId="7CA2860E" w14:textId="77777777" w:rsidR="003D633A" w:rsidRPr="00C577DE" w:rsidRDefault="003D633A" w:rsidP="003D633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60" w:line="259" w:lineRule="auto"/>
        <w:ind w:left="1636"/>
        <w:rPr>
          <w:rFonts w:cstheme="minorHAnsi"/>
          <w:lang w:val="sr-Latn-ME"/>
        </w:rPr>
      </w:pPr>
    </w:p>
    <w:p w14:paraId="1C7B6691" w14:textId="16908E24" w:rsidR="00CD0F43" w:rsidRPr="00363582" w:rsidRDefault="003D633A" w:rsidP="008808D0">
      <w:pPr>
        <w:pStyle w:val="ListParagraph"/>
        <w:jc w:val="center"/>
        <w:rPr>
          <w:b/>
          <w:sz w:val="20"/>
          <w:szCs w:val="20"/>
        </w:rPr>
      </w:pPr>
      <w:r w:rsidRPr="00363582">
        <w:rPr>
          <w:b/>
          <w:sz w:val="20"/>
          <w:szCs w:val="20"/>
        </w:rPr>
        <w:t>Sinergijski efekat u odnosu na ostale prioritetne sektore</w:t>
      </w:r>
    </w:p>
    <w:p w14:paraId="42A9A82F" w14:textId="77777777" w:rsidR="00626A53" w:rsidRPr="00C577DE" w:rsidRDefault="00626A53" w:rsidP="003D633A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639"/>
        <w:jc w:val="center"/>
        <w:rPr>
          <w:rFonts w:cstheme="minorHAnsi"/>
          <w:b/>
          <w:lang w:val="sr-Latn-M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77"/>
        <w:gridCol w:w="6079"/>
      </w:tblGrid>
      <w:tr w:rsidR="00305A2C" w:rsidRPr="00C577DE" w14:paraId="1BE9BA86" w14:textId="77777777" w:rsidTr="00C577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D87" w14:textId="77777777" w:rsidR="00305A2C" w:rsidRPr="00C577DE" w:rsidRDefault="00305A2C" w:rsidP="00C577DE">
            <w:pPr>
              <w:rPr>
                <w:rFonts w:asciiTheme="minorHAnsi" w:hAnsiTheme="minorHAnsi" w:cs="Times New Roman"/>
                <w:b/>
                <w:bCs/>
                <w:lang w:val="hr-HR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FC2B" w14:textId="77777777" w:rsidR="00305A2C" w:rsidRPr="00C577DE" w:rsidRDefault="00305A2C" w:rsidP="00C577DE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C577DE">
              <w:rPr>
                <w:rFonts w:asciiTheme="minorHAnsi" w:hAnsiTheme="minorHAnsi" w:cs="Tahoma"/>
                <w:b/>
                <w:lang w:val="hr-HR"/>
              </w:rPr>
              <w:t>Održiva poljoprivreda i lanac vrijednosti hrane</w:t>
            </w:r>
          </w:p>
          <w:p w14:paraId="2787B2F9" w14:textId="77777777" w:rsidR="00305A2C" w:rsidRPr="00C577DE" w:rsidRDefault="00305A2C" w:rsidP="00C577DE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05A2C" w:rsidRPr="00C577DE" w14:paraId="2BB1FB69" w14:textId="77777777" w:rsidTr="00C577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65C4" w14:textId="77777777" w:rsidR="00305A2C" w:rsidRPr="00C577DE" w:rsidRDefault="00305A2C" w:rsidP="00C577DE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>Održivi i zdravstveni turizam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0E29" w14:textId="77777777" w:rsidR="00305A2C" w:rsidRPr="00C577DE" w:rsidRDefault="00305A2C" w:rsidP="005B5889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C577DE">
              <w:rPr>
                <w:rFonts w:cstheme="minorHAnsi"/>
                <w:lang w:val="hr-HR"/>
              </w:rPr>
              <w:t>Proizvodnja ljekovitog bilja, eteričnih ulja, kozmetičkih, spa i dr. preparata.</w:t>
            </w:r>
          </w:p>
        </w:tc>
      </w:tr>
      <w:tr w:rsidR="00305A2C" w:rsidRPr="00C577DE" w14:paraId="5D0C9EBC" w14:textId="77777777" w:rsidTr="00C577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ADAE" w14:textId="77F1F5E1" w:rsidR="00305A2C" w:rsidRPr="00C577DE" w:rsidRDefault="00305A2C" w:rsidP="00C577DE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>Obnovljivi izvori energije</w:t>
            </w:r>
            <w:r w:rsidR="007E3CE6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i energetska efikasnost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C1C0" w14:textId="77777777" w:rsidR="00305A2C" w:rsidRDefault="00305A2C" w:rsidP="00E051CD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Energetski efikasno i pametno upravljanje poljoprivrednom proizvodnjom</w:t>
            </w:r>
          </w:p>
          <w:p w14:paraId="2941D171" w14:textId="487D285E" w:rsidR="00E051CD" w:rsidRPr="00E051CD" w:rsidRDefault="00E051CD" w:rsidP="00E051CD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cstheme="minorHAnsi"/>
                <w:lang w:val="hr-HR"/>
              </w:rPr>
              <w:t xml:space="preserve">Efikasno korišćenje </w:t>
            </w:r>
            <w:r w:rsidR="00C30B3F">
              <w:rPr>
                <w:rFonts w:cstheme="minorHAnsi"/>
                <w:lang w:val="hr-HR"/>
              </w:rPr>
              <w:t>otpada</w:t>
            </w:r>
            <w:r w:rsidRPr="00C577DE">
              <w:rPr>
                <w:rFonts w:cstheme="minorHAnsi"/>
                <w:lang w:val="hr-HR"/>
              </w:rPr>
              <w:t xml:space="preserve"> kao energenta</w:t>
            </w:r>
          </w:p>
        </w:tc>
      </w:tr>
      <w:tr w:rsidR="00305A2C" w:rsidRPr="00C577DE" w14:paraId="433F94D2" w14:textId="77777777" w:rsidTr="00C577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576" w14:textId="77777777" w:rsidR="00305A2C" w:rsidRPr="00C577DE" w:rsidRDefault="00305A2C" w:rsidP="00C577DE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>Novi materijali i održive tehnologije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0AC" w14:textId="77777777" w:rsidR="00305A2C" w:rsidRPr="00C577DE" w:rsidRDefault="00305A2C" w:rsidP="005B5889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C577DE">
              <w:rPr>
                <w:rFonts w:cstheme="minorHAnsi"/>
                <w:lang w:val="hr-HR"/>
              </w:rPr>
              <w:t>Proizvodnja biološke (biorazgradive) i pametne ambalaže za poljoprivredne  proizvode.</w:t>
            </w:r>
          </w:p>
          <w:p w14:paraId="74429DB3" w14:textId="77777777" w:rsidR="00305A2C" w:rsidRPr="00F14161" w:rsidRDefault="00305A2C" w:rsidP="005B5889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F14161">
              <w:rPr>
                <w:rFonts w:cstheme="minorHAnsi"/>
                <w:lang w:val="hr-HR"/>
              </w:rPr>
              <w:t>Razvoj bioloških preparata i biopesticida.</w:t>
            </w:r>
          </w:p>
          <w:p w14:paraId="35561A66" w14:textId="3AA8C36E" w:rsidR="00305A2C" w:rsidRPr="00C577DE" w:rsidRDefault="00260B77" w:rsidP="005B5889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F14161">
              <w:rPr>
                <w:rFonts w:cstheme="minorHAnsi"/>
                <w:lang w:val="hr-HR"/>
              </w:rPr>
              <w:t>Proizvodnja stočne hrane valorizacijom mineralnih sirovina ( karbonatne stijene)</w:t>
            </w:r>
          </w:p>
        </w:tc>
      </w:tr>
      <w:tr w:rsidR="00305A2C" w:rsidRPr="00C577DE" w14:paraId="41E6E274" w14:textId="77777777" w:rsidTr="00C577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06FD" w14:textId="77777777" w:rsidR="00305A2C" w:rsidRPr="00C577DE" w:rsidRDefault="00305A2C" w:rsidP="00C577DE">
            <w:pPr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 xml:space="preserve">ICT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1BC9" w14:textId="77777777" w:rsidR="00305A2C" w:rsidRPr="00C577DE" w:rsidRDefault="00305A2C" w:rsidP="005B5889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 w:rsidRPr="00C577DE">
              <w:rPr>
                <w:rFonts w:cstheme="majorHAnsi"/>
                <w:lang w:val="hr-HR"/>
              </w:rPr>
              <w:t>Pametno i efikasno upravljanje poljoprivredom</w:t>
            </w:r>
          </w:p>
          <w:p w14:paraId="1CA4294A" w14:textId="7E1C7964" w:rsidR="00305A2C" w:rsidRPr="00C577DE" w:rsidRDefault="00305A2C" w:rsidP="005B5889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C577DE">
              <w:rPr>
                <w:rFonts w:cstheme="majorHAnsi"/>
                <w:lang w:val="hr-HR"/>
              </w:rPr>
              <w:t>Primjena senzora za nadgledanje zdrave hrane i životne sredine (bio-senzori,  pametna bova, pametna košnica itd.)</w:t>
            </w:r>
          </w:p>
          <w:p w14:paraId="60D0B61A" w14:textId="7C10DE10" w:rsidR="00305A2C" w:rsidRPr="00C577DE" w:rsidRDefault="00305A2C" w:rsidP="005B5889">
            <w:pPr>
              <w:pStyle w:val="ListParagraph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C577DE">
              <w:rPr>
                <w:rFonts w:cstheme="minorHAnsi"/>
                <w:lang w:val="hr-HR"/>
              </w:rPr>
              <w:t>BIO-ICT centar izvrsnosti</w:t>
            </w:r>
          </w:p>
        </w:tc>
      </w:tr>
    </w:tbl>
    <w:p w14:paraId="4D745EFC" w14:textId="0DEF913F" w:rsidR="00626A53" w:rsidRDefault="00626A53" w:rsidP="00F17001">
      <w:pPr>
        <w:spacing w:after="120" w:line="240" w:lineRule="auto"/>
        <w:rPr>
          <w:rFonts w:asciiTheme="minorHAnsi" w:hAnsiTheme="minorHAnsi" w:cstheme="minorHAnsi"/>
        </w:rPr>
      </w:pPr>
    </w:p>
    <w:p w14:paraId="20137004" w14:textId="6CE883D5" w:rsidR="00CD0F43" w:rsidRPr="003575AB" w:rsidRDefault="00CD0F43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3575AB">
        <w:rPr>
          <w:rFonts w:asciiTheme="minorHAnsi" w:hAnsiTheme="minorHAnsi" w:cstheme="minorHAnsi"/>
          <w:b/>
        </w:rPr>
        <w:t>OKRUŽENJE ZA ISTRAŽIVANJE I INOVACIJE</w:t>
      </w:r>
    </w:p>
    <w:p w14:paraId="495EF9F2" w14:textId="2C439628" w:rsidR="00380A02" w:rsidRPr="00593418" w:rsidRDefault="00380A02" w:rsidP="00380A02">
      <w:pPr>
        <w:spacing w:after="120" w:line="240" w:lineRule="auto"/>
        <w:rPr>
          <w:rFonts w:asciiTheme="minorHAnsi" w:hAnsiTheme="minorHAnsi" w:cstheme="minorHAnsi"/>
        </w:rPr>
      </w:pPr>
      <w:r w:rsidRPr="00C3231D">
        <w:rPr>
          <w:rFonts w:asciiTheme="minorHAnsi" w:hAnsiTheme="minorHAnsi" w:cstheme="minorHAnsi"/>
        </w:rPr>
        <w:t>NAUČNO-OBRAZOVNE INSTITUCIJE</w:t>
      </w:r>
    </w:p>
    <w:p w14:paraId="04102D74" w14:textId="2F7A5F9C" w:rsidR="00BB4478" w:rsidRDefault="00380A02" w:rsidP="00024A19">
      <w:pPr>
        <w:pStyle w:val="ListParagraph"/>
        <w:numPr>
          <w:ilvl w:val="0"/>
          <w:numId w:val="43"/>
        </w:numPr>
        <w:rPr>
          <w:rFonts w:cstheme="minorHAnsi"/>
          <w:lang w:val="sr-Latn-ME"/>
        </w:rPr>
      </w:pPr>
      <w:r w:rsidRPr="001313A1">
        <w:rPr>
          <w:rFonts w:cstheme="minorHAnsi"/>
          <w:lang w:val="sr-Latn-ME"/>
        </w:rPr>
        <w:t>Univerzitet Crne Gore</w:t>
      </w:r>
      <w:r w:rsidR="00FF680D" w:rsidRPr="001313A1">
        <w:rPr>
          <w:rFonts w:cstheme="minorHAnsi"/>
          <w:lang w:val="sr-Latn-ME"/>
        </w:rPr>
        <w:t xml:space="preserve"> (UCG)</w:t>
      </w:r>
      <w:r w:rsidRPr="001313A1">
        <w:rPr>
          <w:rFonts w:cstheme="minorHAnsi"/>
          <w:lang w:val="sr-Latn-ME"/>
        </w:rPr>
        <w:t>, Univerzitet Donja Gorica</w:t>
      </w:r>
      <w:r w:rsidR="00FF680D" w:rsidRPr="001313A1">
        <w:rPr>
          <w:rFonts w:cstheme="minorHAnsi"/>
          <w:lang w:val="sr-Latn-ME"/>
        </w:rPr>
        <w:t xml:space="preserve"> (UDG)</w:t>
      </w:r>
      <w:r w:rsidRPr="001313A1">
        <w:rPr>
          <w:rFonts w:cstheme="minorHAnsi"/>
          <w:lang w:val="sr-Latn-ME"/>
        </w:rPr>
        <w:t>, Institut za javno zdravlje</w:t>
      </w:r>
      <w:r w:rsidR="00FF680D" w:rsidRPr="001313A1">
        <w:rPr>
          <w:rFonts w:cstheme="minorHAnsi"/>
          <w:lang w:val="sr-Latn-ME"/>
        </w:rPr>
        <w:t xml:space="preserve"> Crne Gore (IJZCG)</w:t>
      </w:r>
      <w:r w:rsidRPr="001313A1">
        <w:rPr>
          <w:rFonts w:cstheme="minorHAnsi"/>
          <w:lang w:val="sr-Latn-ME"/>
        </w:rPr>
        <w:t>, Crnogorska akademija nauka i umjetnosti</w:t>
      </w:r>
      <w:r w:rsidR="00FF680D" w:rsidRPr="001313A1">
        <w:rPr>
          <w:rFonts w:cstheme="minorHAnsi"/>
          <w:lang w:val="sr-Latn-ME"/>
        </w:rPr>
        <w:t xml:space="preserve"> (CANU).</w:t>
      </w:r>
    </w:p>
    <w:p w14:paraId="04B2BAE4" w14:textId="77777777" w:rsidR="008808D0" w:rsidRPr="008808D0" w:rsidRDefault="008808D0" w:rsidP="008808D0">
      <w:pPr>
        <w:pStyle w:val="ListParagraph"/>
        <w:rPr>
          <w:rFonts w:cstheme="minorHAnsi"/>
          <w:lang w:val="sr-Latn-ME"/>
        </w:rPr>
      </w:pPr>
    </w:p>
    <w:p w14:paraId="266524DC" w14:textId="77777777" w:rsidR="00363582" w:rsidRDefault="00363582" w:rsidP="00BB4478">
      <w:pPr>
        <w:spacing w:after="120" w:line="240" w:lineRule="auto"/>
        <w:rPr>
          <w:rFonts w:asciiTheme="minorHAnsi" w:hAnsiTheme="minorHAnsi" w:cstheme="minorHAnsi"/>
        </w:rPr>
      </w:pPr>
    </w:p>
    <w:p w14:paraId="4C41F369" w14:textId="14BCB47F" w:rsidR="00BB4478" w:rsidRPr="00593418" w:rsidRDefault="00BB4478" w:rsidP="00BB4478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KOMPANIJE </w:t>
      </w:r>
    </w:p>
    <w:p w14:paraId="73DC591C" w14:textId="090CF294" w:rsidR="008808D0" w:rsidRDefault="00BB4478" w:rsidP="00363582">
      <w:pPr>
        <w:spacing w:after="120" w:line="240" w:lineRule="auto"/>
        <w:jc w:val="both"/>
        <w:rPr>
          <w:rFonts w:cstheme="minorHAnsi"/>
        </w:rPr>
      </w:pPr>
      <w:r w:rsidRPr="00F14161">
        <w:rPr>
          <w:rFonts w:cstheme="minorHAnsi"/>
        </w:rPr>
        <w:t xml:space="preserve">Prepoznato je oko 40 kompanija u preradi mesa, mlječnih proizvoda, povrća i voća, ljekovitog, aromatičnog bilja i pečuraka, proizvodnji meda, maslinovog ulja, krompira i žitarica, ribarstvu i akvakulturi. U proizvodnji vina dominira „13. jul - Plantaže“ (plus 70 malih vinarija), a u proizvodnji piva najpoznatija je nikšićka pivara „Trebjesa“. </w:t>
      </w:r>
    </w:p>
    <w:p w14:paraId="50C2BAFB" w14:textId="77777777" w:rsidR="00363582" w:rsidRDefault="00363582" w:rsidP="00363582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82EDC45" w14:textId="48BC1E1F" w:rsidR="00CD0F43" w:rsidRPr="00593418" w:rsidRDefault="00CD0F43" w:rsidP="00F14161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POSLOVNE ASOCIJACIJE</w:t>
      </w:r>
    </w:p>
    <w:p w14:paraId="7991D88F" w14:textId="2012394A" w:rsidR="00F14161" w:rsidRDefault="008C3BD0" w:rsidP="00923467">
      <w:pPr>
        <w:spacing w:after="120" w:line="240" w:lineRule="auto"/>
        <w:ind w:left="720" w:hanging="720"/>
        <w:rPr>
          <w:rFonts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CD0F43" w:rsidRPr="00593418">
        <w:rPr>
          <w:rFonts w:asciiTheme="minorHAnsi" w:hAnsiTheme="minorHAnsi" w:cstheme="minorHAnsi"/>
        </w:rPr>
        <w:t>•</w:t>
      </w:r>
      <w:r w:rsidR="00CD0F43" w:rsidRPr="00593418">
        <w:rPr>
          <w:rFonts w:asciiTheme="minorHAnsi" w:hAnsiTheme="minorHAnsi" w:cstheme="minorHAnsi"/>
        </w:rPr>
        <w:tab/>
      </w:r>
      <w:r w:rsidR="00093EFE">
        <w:rPr>
          <w:rFonts w:asciiTheme="minorHAnsi" w:hAnsiTheme="minorHAnsi" w:cstheme="minorHAnsi"/>
        </w:rPr>
        <w:t>Privredna komora Crne Gore (</w:t>
      </w:r>
      <w:r w:rsidR="00CD0F43" w:rsidRPr="00593418">
        <w:rPr>
          <w:rFonts w:asciiTheme="minorHAnsi" w:hAnsiTheme="minorHAnsi" w:cstheme="minorHAnsi"/>
        </w:rPr>
        <w:t>PKCG</w:t>
      </w:r>
      <w:r w:rsidR="00093EFE">
        <w:rPr>
          <w:rFonts w:asciiTheme="minorHAnsi" w:hAnsiTheme="minorHAnsi" w:cstheme="minorHAnsi"/>
        </w:rPr>
        <w:t>)</w:t>
      </w:r>
      <w:r w:rsidR="00CD0F43" w:rsidRPr="00593418">
        <w:rPr>
          <w:rFonts w:asciiTheme="minorHAnsi" w:hAnsiTheme="minorHAnsi" w:cstheme="minorHAnsi"/>
        </w:rPr>
        <w:t xml:space="preserve">, Unija </w:t>
      </w:r>
      <w:r w:rsidR="00593418">
        <w:rPr>
          <w:rFonts w:asciiTheme="minorHAnsi" w:hAnsiTheme="minorHAnsi" w:cstheme="minorHAnsi"/>
        </w:rPr>
        <w:t>p</w:t>
      </w:r>
      <w:r w:rsidR="00CD0F43" w:rsidRPr="00593418">
        <w:rPr>
          <w:rFonts w:asciiTheme="minorHAnsi" w:hAnsiTheme="minorHAnsi" w:cstheme="minorHAnsi"/>
        </w:rPr>
        <w:t>oslodavaca</w:t>
      </w:r>
      <w:r w:rsidR="00093EFE">
        <w:rPr>
          <w:rFonts w:asciiTheme="minorHAnsi" w:hAnsiTheme="minorHAnsi" w:cstheme="minorHAnsi"/>
        </w:rPr>
        <w:t xml:space="preserve"> (UP)</w:t>
      </w:r>
      <w:r w:rsidR="00CD0F43" w:rsidRPr="00593418">
        <w:rPr>
          <w:rFonts w:asciiTheme="minorHAnsi" w:hAnsiTheme="minorHAnsi" w:cstheme="minorHAnsi"/>
        </w:rPr>
        <w:t xml:space="preserve">, </w:t>
      </w:r>
      <w:r w:rsidR="00093EFE">
        <w:rPr>
          <w:rFonts w:asciiTheme="minorHAnsi" w:hAnsiTheme="minorHAnsi" w:cstheme="minorHAnsi"/>
        </w:rPr>
        <w:t>Montenegro Biznis Alijansa (</w:t>
      </w:r>
      <w:r w:rsidR="00CD0F43" w:rsidRPr="00593418">
        <w:rPr>
          <w:rFonts w:asciiTheme="minorHAnsi" w:hAnsiTheme="minorHAnsi" w:cstheme="minorHAnsi"/>
        </w:rPr>
        <w:t>MBA</w:t>
      </w:r>
      <w:r w:rsidR="00093EFE">
        <w:rPr>
          <w:rFonts w:asciiTheme="minorHAnsi" w:hAnsiTheme="minorHAnsi" w:cstheme="minorHAnsi"/>
        </w:rPr>
        <w:t>)</w:t>
      </w:r>
      <w:r w:rsidR="00CD0F43" w:rsidRPr="0059341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CD0F43" w:rsidRPr="00593418">
        <w:rPr>
          <w:rFonts w:asciiTheme="minorHAnsi" w:hAnsiTheme="minorHAnsi" w:cstheme="minorHAnsi"/>
        </w:rPr>
        <w:t>Nacionalno udruženje pčelara, Udruženje maslinara „Boka“, Ulcinj</w:t>
      </w:r>
      <w:r>
        <w:rPr>
          <w:rFonts w:asciiTheme="minorHAnsi" w:hAnsiTheme="minorHAnsi" w:cstheme="minorHAnsi"/>
        </w:rPr>
        <w:t xml:space="preserve">, </w:t>
      </w:r>
      <w:r w:rsidR="00CD0F43" w:rsidRPr="00593418">
        <w:rPr>
          <w:rFonts w:asciiTheme="minorHAnsi" w:hAnsiTheme="minorHAnsi" w:cstheme="minorHAnsi"/>
        </w:rPr>
        <w:t>Nacionalno udruženje vinogradara i vinara</w:t>
      </w:r>
      <w:r>
        <w:rPr>
          <w:rFonts w:asciiTheme="minorHAnsi" w:hAnsiTheme="minorHAnsi" w:cstheme="minorHAnsi"/>
        </w:rPr>
        <w:t xml:space="preserve">, </w:t>
      </w:r>
      <w:r w:rsidR="00CD0F43" w:rsidRPr="00593418">
        <w:rPr>
          <w:rFonts w:asciiTheme="minorHAnsi" w:hAnsiTheme="minorHAnsi" w:cstheme="minorHAnsi"/>
        </w:rPr>
        <w:t>Klaster registrovanih proizvođača sira, Klaster malih vinarija, Klaster ribnjaka, Klaster maslinara</w:t>
      </w:r>
      <w:r w:rsidR="00CF31EB">
        <w:rPr>
          <w:rFonts w:asciiTheme="minorHAnsi" w:hAnsiTheme="minorHAnsi" w:cstheme="minorHAnsi"/>
        </w:rPr>
        <w:t xml:space="preserve">, </w:t>
      </w:r>
      <w:r w:rsidR="00CF31EB">
        <w:t>Klaster crnogorski pršut, Klaster malinara</w:t>
      </w:r>
      <w:r w:rsidR="00B97D46">
        <w:t>.</w:t>
      </w:r>
    </w:p>
    <w:p w14:paraId="3F059DDF" w14:textId="77777777" w:rsidR="008808D0" w:rsidRDefault="008808D0" w:rsidP="008C3BD0">
      <w:pPr>
        <w:rPr>
          <w:rFonts w:cstheme="minorHAnsi"/>
        </w:rPr>
      </w:pPr>
    </w:p>
    <w:p w14:paraId="014602E0" w14:textId="684BCD08" w:rsidR="003D633A" w:rsidRPr="008C3BD0" w:rsidRDefault="00A22FBB" w:rsidP="008C3BD0">
      <w:pPr>
        <w:rPr>
          <w:rFonts w:cstheme="minorHAnsi"/>
        </w:rPr>
      </w:pPr>
      <w:r>
        <w:rPr>
          <w:rFonts w:cstheme="minorHAnsi"/>
        </w:rPr>
        <w:t xml:space="preserve">JAVNE </w:t>
      </w:r>
      <w:r w:rsidR="008C3BD0">
        <w:rPr>
          <w:rFonts w:cstheme="minorHAnsi"/>
        </w:rPr>
        <w:t>INSTITUCIJE</w:t>
      </w:r>
    </w:p>
    <w:p w14:paraId="5447D95B" w14:textId="44F8BEF8" w:rsidR="00CD0F43" w:rsidRPr="00923467" w:rsidRDefault="00CD0F43" w:rsidP="00F14161">
      <w:pPr>
        <w:pStyle w:val="ListParagraph"/>
        <w:numPr>
          <w:ilvl w:val="0"/>
          <w:numId w:val="46"/>
        </w:numPr>
        <w:rPr>
          <w:rFonts w:cs="font332"/>
          <w:lang w:val="sr-Latn-ME"/>
        </w:rPr>
      </w:pPr>
      <w:r w:rsidRPr="00F14161">
        <w:rPr>
          <w:rFonts w:ascii="Calibri" w:hAnsi="Calibri" w:cstheme="minorHAnsi"/>
        </w:rPr>
        <w:t>Ministarstvo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poljoprivrede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i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ruralnog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razvoja</w:t>
      </w:r>
      <w:r w:rsidR="00B97D46" w:rsidRPr="00923467">
        <w:rPr>
          <w:rFonts w:ascii="Calibri" w:hAnsi="Calibri" w:cstheme="minorHAnsi"/>
          <w:lang w:val="sr-Latn-ME"/>
        </w:rPr>
        <w:t xml:space="preserve"> (</w:t>
      </w:r>
      <w:r w:rsidR="00B97D46">
        <w:rPr>
          <w:rFonts w:ascii="Calibri" w:hAnsi="Calibri" w:cstheme="minorHAnsi"/>
        </w:rPr>
        <w:t>MPRR</w:t>
      </w:r>
      <w:r w:rsidR="00B97D46" w:rsidRPr="00923467">
        <w:rPr>
          <w:rFonts w:ascii="Calibri" w:hAnsi="Calibri" w:cstheme="minorHAnsi"/>
          <w:lang w:val="sr-Latn-ME"/>
        </w:rPr>
        <w:t>)</w:t>
      </w:r>
      <w:r w:rsidRPr="00923467">
        <w:rPr>
          <w:rFonts w:ascii="Calibri" w:hAnsi="Calibri" w:cstheme="minorHAnsi"/>
          <w:lang w:val="sr-Latn-ME"/>
        </w:rPr>
        <w:t xml:space="preserve">, </w:t>
      </w:r>
      <w:r w:rsidRPr="00F14161">
        <w:rPr>
          <w:rFonts w:ascii="Calibri" w:hAnsi="Calibri" w:cstheme="minorHAnsi"/>
        </w:rPr>
        <w:t>Ministarstvo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ekonomije</w:t>
      </w:r>
      <w:r w:rsidRPr="00923467">
        <w:rPr>
          <w:rFonts w:ascii="Calibri" w:hAnsi="Calibri" w:cstheme="minorHAnsi"/>
          <w:lang w:val="sr-Latn-ME"/>
        </w:rPr>
        <w:t xml:space="preserve"> (</w:t>
      </w:r>
      <w:r w:rsidRPr="00F14161">
        <w:rPr>
          <w:rFonts w:ascii="Calibri" w:hAnsi="Calibri" w:cstheme="minorHAnsi"/>
        </w:rPr>
        <w:t>MEK</w:t>
      </w:r>
      <w:r w:rsidRPr="00923467">
        <w:rPr>
          <w:rFonts w:ascii="Calibri" w:hAnsi="Calibri" w:cstheme="minorHAnsi"/>
          <w:lang w:val="sr-Latn-ME"/>
        </w:rPr>
        <w:t xml:space="preserve">), </w:t>
      </w:r>
      <w:r w:rsidRPr="00F14161">
        <w:rPr>
          <w:rFonts w:ascii="Calibri" w:hAnsi="Calibri" w:cstheme="minorHAnsi"/>
        </w:rPr>
        <w:t>Ministarstvo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nauke</w:t>
      </w:r>
      <w:r w:rsidR="00B45566" w:rsidRPr="00923467">
        <w:rPr>
          <w:rFonts w:ascii="Calibri" w:hAnsi="Calibri" w:cstheme="minorHAnsi"/>
          <w:lang w:val="sr-Latn-ME"/>
        </w:rPr>
        <w:t xml:space="preserve"> (</w:t>
      </w:r>
      <w:r w:rsidR="00B45566">
        <w:rPr>
          <w:rFonts w:ascii="Calibri" w:hAnsi="Calibri" w:cstheme="minorHAnsi"/>
        </w:rPr>
        <w:t>MNA</w:t>
      </w:r>
      <w:r w:rsidR="00B45566" w:rsidRPr="00923467">
        <w:rPr>
          <w:rFonts w:ascii="Calibri" w:hAnsi="Calibri" w:cstheme="minorHAnsi"/>
          <w:lang w:val="sr-Latn-ME"/>
        </w:rPr>
        <w:t>)</w:t>
      </w:r>
      <w:r w:rsidRPr="00923467">
        <w:rPr>
          <w:rFonts w:ascii="Calibri" w:hAnsi="Calibri" w:cstheme="minorHAnsi"/>
          <w:lang w:val="sr-Latn-ME"/>
        </w:rPr>
        <w:t xml:space="preserve">, </w:t>
      </w:r>
      <w:r w:rsidRPr="00F14161">
        <w:rPr>
          <w:rFonts w:ascii="Calibri" w:hAnsi="Calibri" w:cstheme="minorHAnsi"/>
        </w:rPr>
        <w:t>Ministarstvo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odr</w:t>
      </w:r>
      <w:r w:rsidRPr="00923467">
        <w:rPr>
          <w:rFonts w:ascii="Calibri" w:hAnsi="Calibri" w:cstheme="minorHAnsi"/>
          <w:lang w:val="sr-Latn-ME"/>
        </w:rPr>
        <w:t>ž</w:t>
      </w:r>
      <w:r w:rsidRPr="00F14161">
        <w:rPr>
          <w:rFonts w:ascii="Calibri" w:hAnsi="Calibri" w:cstheme="minorHAnsi"/>
        </w:rPr>
        <w:t>ivog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razvoja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i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turizma</w:t>
      </w:r>
      <w:r w:rsidR="00093EFE" w:rsidRPr="00923467">
        <w:rPr>
          <w:rFonts w:cstheme="minorHAnsi"/>
          <w:lang w:val="sr-Latn-ME"/>
        </w:rPr>
        <w:t xml:space="preserve"> (</w:t>
      </w:r>
      <w:r w:rsidR="00093EFE">
        <w:rPr>
          <w:rFonts w:cstheme="minorHAnsi"/>
        </w:rPr>
        <w:t>MORT</w:t>
      </w:r>
      <w:r w:rsidR="00093EFE" w:rsidRPr="00923467">
        <w:rPr>
          <w:rFonts w:cstheme="minorHAnsi"/>
          <w:lang w:val="sr-Latn-ME"/>
        </w:rPr>
        <w:t>)</w:t>
      </w:r>
      <w:r w:rsidRPr="00923467">
        <w:rPr>
          <w:rFonts w:cstheme="minorHAnsi"/>
          <w:lang w:val="sr-Latn-ME"/>
        </w:rPr>
        <w:t>,</w:t>
      </w:r>
      <w:r w:rsidRPr="00923467">
        <w:rPr>
          <w:rFonts w:cs="font332"/>
          <w:lang w:val="sr-Latn-ME"/>
        </w:rPr>
        <w:t xml:space="preserve"> </w:t>
      </w:r>
      <w:r w:rsidR="0025599C" w:rsidRPr="00F14161">
        <w:rPr>
          <w:rFonts w:cs="font332"/>
        </w:rPr>
        <w:t>Monteorganica</w:t>
      </w:r>
      <w:r w:rsidR="0025599C" w:rsidRPr="00923467">
        <w:rPr>
          <w:rFonts w:cs="font332"/>
          <w:lang w:val="sr-Latn-ME"/>
        </w:rPr>
        <w:t xml:space="preserve"> - </w:t>
      </w:r>
      <w:r w:rsidR="0025599C" w:rsidRPr="00F14161">
        <w:rPr>
          <w:rFonts w:cs="font332"/>
        </w:rPr>
        <w:t>sertifikaciono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tijelo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CG</w:t>
      </w:r>
      <w:r w:rsidRPr="00923467">
        <w:rPr>
          <w:rFonts w:cs="font332"/>
          <w:lang w:val="sr-Latn-ME"/>
        </w:rPr>
        <w:t xml:space="preserve">, </w:t>
      </w:r>
      <w:r w:rsidR="00093EFE">
        <w:rPr>
          <w:rFonts w:cstheme="minorHAnsi"/>
        </w:rPr>
        <w:t>Investiciono</w:t>
      </w:r>
      <w:r w:rsidR="00093EFE" w:rsidRPr="00923467">
        <w:rPr>
          <w:rFonts w:cstheme="minorHAnsi"/>
          <w:lang w:val="sr-Latn-ME"/>
        </w:rPr>
        <w:t>-</w:t>
      </w:r>
      <w:r w:rsidR="00093EFE">
        <w:rPr>
          <w:rFonts w:cstheme="minorHAnsi"/>
        </w:rPr>
        <w:t>razvojni</w:t>
      </w:r>
      <w:r w:rsidR="00093EFE" w:rsidRPr="00923467">
        <w:rPr>
          <w:rFonts w:cstheme="minorHAnsi"/>
          <w:lang w:val="sr-Latn-ME"/>
        </w:rPr>
        <w:t xml:space="preserve"> </w:t>
      </w:r>
      <w:r w:rsidR="00093EFE">
        <w:rPr>
          <w:rFonts w:cstheme="minorHAnsi"/>
        </w:rPr>
        <w:t>fond</w:t>
      </w:r>
      <w:r w:rsidR="00093EFE" w:rsidRPr="00923467">
        <w:rPr>
          <w:rFonts w:cstheme="minorHAnsi"/>
          <w:lang w:val="sr-Latn-ME"/>
        </w:rPr>
        <w:t xml:space="preserve"> (</w:t>
      </w:r>
      <w:r w:rsidRPr="00F14161">
        <w:rPr>
          <w:rFonts w:cs="font332"/>
        </w:rPr>
        <w:t>IRF</w:t>
      </w:r>
      <w:r w:rsidR="00093EFE" w:rsidRPr="00923467">
        <w:rPr>
          <w:rFonts w:cstheme="minorHAnsi"/>
          <w:lang w:val="sr-Latn-ME"/>
        </w:rPr>
        <w:t>)</w:t>
      </w:r>
      <w:r w:rsidRPr="00923467">
        <w:rPr>
          <w:rFonts w:cstheme="minorHAnsi"/>
          <w:lang w:val="sr-Latn-ME"/>
        </w:rPr>
        <w:t>,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lokalna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uprava</w:t>
      </w:r>
      <w:r w:rsidRPr="00923467">
        <w:rPr>
          <w:rFonts w:cs="font332"/>
          <w:lang w:val="sr-Latn-ME"/>
        </w:rPr>
        <w:t xml:space="preserve">, </w:t>
      </w:r>
      <w:r w:rsidRPr="00F14161">
        <w:rPr>
          <w:rFonts w:cs="font332"/>
        </w:rPr>
        <w:t>Uprava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za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bezbjednost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hrane</w:t>
      </w:r>
      <w:r w:rsidRPr="00923467">
        <w:rPr>
          <w:rFonts w:cs="font332"/>
          <w:lang w:val="sr-Latn-ME"/>
        </w:rPr>
        <w:t xml:space="preserve">, </w:t>
      </w:r>
      <w:r w:rsidRPr="00F14161">
        <w:rPr>
          <w:rFonts w:cs="font332"/>
        </w:rPr>
        <w:t>veterinu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i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fitosanitarne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poslove</w:t>
      </w:r>
      <w:r w:rsidRPr="00923467">
        <w:rPr>
          <w:rFonts w:cs="font332"/>
          <w:lang w:val="sr-Latn-ME"/>
        </w:rPr>
        <w:t xml:space="preserve">, </w:t>
      </w:r>
      <w:r w:rsidRPr="00F14161">
        <w:rPr>
          <w:rFonts w:cs="font332"/>
        </w:rPr>
        <w:t>Akreditaciono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tijelo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CG</w:t>
      </w:r>
      <w:r w:rsidRPr="00923467">
        <w:rPr>
          <w:rFonts w:cs="font332"/>
          <w:lang w:val="sr-Latn-ME"/>
        </w:rPr>
        <w:t xml:space="preserve">, </w:t>
      </w:r>
      <w:r w:rsidRPr="00F14161">
        <w:rPr>
          <w:rFonts w:cs="font332"/>
        </w:rPr>
        <w:t>Zavod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za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metrologiju</w:t>
      </w:r>
      <w:r w:rsidRPr="00923467">
        <w:rPr>
          <w:rFonts w:cs="font332"/>
          <w:lang w:val="sr-Latn-ME"/>
        </w:rPr>
        <w:t xml:space="preserve">, </w:t>
      </w:r>
      <w:r w:rsidRPr="00F14161">
        <w:rPr>
          <w:rFonts w:cs="font332"/>
        </w:rPr>
        <w:t>Zavod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za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za</w:t>
      </w:r>
      <w:r w:rsidRPr="00923467">
        <w:rPr>
          <w:rFonts w:cs="font332"/>
          <w:lang w:val="sr-Latn-ME"/>
        </w:rPr>
        <w:t>š</w:t>
      </w:r>
      <w:r w:rsidRPr="00F14161">
        <w:rPr>
          <w:rFonts w:cs="font332"/>
        </w:rPr>
        <w:t>titu</w:t>
      </w:r>
      <w:r w:rsidRPr="00923467">
        <w:rPr>
          <w:rFonts w:cs="font332"/>
          <w:lang w:val="sr-Latn-ME"/>
        </w:rPr>
        <w:t xml:space="preserve"> </w:t>
      </w:r>
      <w:r w:rsidR="008A0A92" w:rsidRPr="00F14161">
        <w:rPr>
          <w:rFonts w:cs="font332"/>
        </w:rPr>
        <w:t>intelektualn</w:t>
      </w:r>
      <w:r w:rsidR="008A0A92">
        <w:rPr>
          <w:rFonts w:cs="font332"/>
        </w:rPr>
        <w:t>e</w:t>
      </w:r>
      <w:r w:rsidR="008A0A92" w:rsidRPr="00923467">
        <w:rPr>
          <w:rFonts w:cs="font332"/>
          <w:lang w:val="sr-Latn-ME"/>
        </w:rPr>
        <w:t xml:space="preserve"> </w:t>
      </w:r>
      <w:r w:rsidR="008A0A92" w:rsidRPr="00F14161">
        <w:rPr>
          <w:rFonts w:cs="font332"/>
        </w:rPr>
        <w:t>svojin</w:t>
      </w:r>
      <w:r w:rsidR="008A0A92">
        <w:rPr>
          <w:rFonts w:cs="font332"/>
        </w:rPr>
        <w:t>e</w:t>
      </w:r>
      <w:r w:rsidRPr="00923467">
        <w:rPr>
          <w:rFonts w:cs="font332"/>
          <w:lang w:val="sr-Latn-ME"/>
        </w:rPr>
        <w:t xml:space="preserve">, </w:t>
      </w:r>
      <w:r w:rsidRPr="00F14161">
        <w:rPr>
          <w:rFonts w:cs="font332"/>
        </w:rPr>
        <w:t>Centar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za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ekotoksikolo</w:t>
      </w:r>
      <w:r w:rsidRPr="00923467">
        <w:rPr>
          <w:rFonts w:cs="font332"/>
          <w:lang w:val="sr-Latn-ME"/>
        </w:rPr>
        <w:t>š</w:t>
      </w:r>
      <w:r w:rsidRPr="00F14161">
        <w:rPr>
          <w:rFonts w:cs="font332"/>
        </w:rPr>
        <w:t>ka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istra</w:t>
      </w:r>
      <w:r w:rsidRPr="00923467">
        <w:rPr>
          <w:rFonts w:cs="font332"/>
          <w:lang w:val="sr-Latn-ME"/>
        </w:rPr>
        <w:t>ž</w:t>
      </w:r>
      <w:r w:rsidRPr="00F14161">
        <w:rPr>
          <w:rFonts w:cs="font332"/>
        </w:rPr>
        <w:t>ivanja</w:t>
      </w:r>
      <w:r w:rsidRPr="00923467">
        <w:rPr>
          <w:rFonts w:cs="font332"/>
          <w:lang w:val="sr-Latn-ME"/>
        </w:rPr>
        <w:t xml:space="preserve"> </w:t>
      </w:r>
      <w:r w:rsidR="00093EFE" w:rsidRPr="00923467">
        <w:rPr>
          <w:rFonts w:cstheme="minorHAnsi"/>
          <w:lang w:val="sr-Latn-ME"/>
        </w:rPr>
        <w:t>(</w:t>
      </w:r>
      <w:r w:rsidR="00093EFE">
        <w:rPr>
          <w:rFonts w:cstheme="minorHAnsi"/>
        </w:rPr>
        <w:t>CETI</w:t>
      </w:r>
      <w:r w:rsidR="00093EFE" w:rsidRPr="00923467">
        <w:rPr>
          <w:rFonts w:cstheme="minorHAnsi"/>
          <w:lang w:val="sr-Latn-ME"/>
        </w:rPr>
        <w:t>)</w:t>
      </w:r>
      <w:r w:rsidR="003E319F" w:rsidRPr="00923467">
        <w:rPr>
          <w:rFonts w:cstheme="minorHAnsi"/>
          <w:lang w:val="sr-Latn-ME"/>
        </w:rPr>
        <w:t>.</w:t>
      </w:r>
    </w:p>
    <w:p w14:paraId="3D49C5B9" w14:textId="77777777" w:rsidR="008808D0" w:rsidRDefault="008808D0" w:rsidP="00F14161">
      <w:pPr>
        <w:spacing w:after="120" w:line="240" w:lineRule="auto"/>
        <w:rPr>
          <w:rFonts w:asciiTheme="minorHAnsi" w:hAnsiTheme="minorHAnsi" w:cstheme="minorHAnsi"/>
        </w:rPr>
      </w:pPr>
    </w:p>
    <w:p w14:paraId="5F8BEE31" w14:textId="0050F814" w:rsidR="00CD0F43" w:rsidRPr="00F14161" w:rsidRDefault="00CD0F43" w:rsidP="00F14161">
      <w:pPr>
        <w:spacing w:after="120" w:line="240" w:lineRule="auto"/>
        <w:rPr>
          <w:rFonts w:asciiTheme="minorHAnsi" w:hAnsiTheme="minorHAnsi" w:cstheme="minorHAnsi"/>
        </w:rPr>
      </w:pPr>
      <w:r w:rsidRPr="00F14161">
        <w:rPr>
          <w:rFonts w:asciiTheme="minorHAnsi" w:hAnsiTheme="minorHAnsi" w:cstheme="minorHAnsi"/>
        </w:rPr>
        <w:t>CIVILNI SEKTOR</w:t>
      </w:r>
    </w:p>
    <w:p w14:paraId="163DB548" w14:textId="55EEB421" w:rsidR="00CD0F43" w:rsidRPr="00593418" w:rsidRDefault="008C3BD0" w:rsidP="00F17001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CD0F43" w:rsidRPr="00593418">
        <w:rPr>
          <w:rFonts w:asciiTheme="minorHAnsi" w:hAnsiTheme="minorHAnsi" w:cstheme="minorHAnsi"/>
        </w:rPr>
        <w:t>•</w:t>
      </w:r>
      <w:r w:rsidR="00CD0F43" w:rsidRPr="00593418">
        <w:rPr>
          <w:rFonts w:asciiTheme="minorHAnsi" w:hAnsiTheme="minorHAnsi" w:cstheme="minorHAnsi"/>
        </w:rPr>
        <w:tab/>
        <w:t>Centar za zaštitu potrošača</w:t>
      </w:r>
      <w:r w:rsidR="003E319F">
        <w:rPr>
          <w:rFonts w:asciiTheme="minorHAnsi" w:hAnsiTheme="minorHAnsi" w:cstheme="minorHAnsi"/>
        </w:rPr>
        <w:t>.</w:t>
      </w:r>
    </w:p>
    <w:p w14:paraId="586038B6" w14:textId="77777777" w:rsidR="00CD0F43" w:rsidRPr="00593418" w:rsidRDefault="00CD0F43" w:rsidP="00F17001">
      <w:pPr>
        <w:spacing w:after="120" w:line="240" w:lineRule="auto"/>
        <w:rPr>
          <w:rFonts w:asciiTheme="minorHAnsi" w:hAnsiTheme="minorHAnsi" w:cstheme="minorHAnsi"/>
        </w:rPr>
      </w:pPr>
    </w:p>
    <w:p w14:paraId="7E6C88BD" w14:textId="5DDAE377" w:rsidR="00CD0F43" w:rsidRDefault="003D633A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 xml:space="preserve">       </w:t>
      </w:r>
      <w:r w:rsidR="00CD0F43" w:rsidRPr="00593418">
        <w:rPr>
          <w:rFonts w:asciiTheme="minorHAnsi" w:hAnsiTheme="minorHAnsi" w:cstheme="minorHAnsi"/>
          <w:b/>
        </w:rPr>
        <w:t>KLJUČNI INDIKATORI</w:t>
      </w:r>
    </w:p>
    <w:p w14:paraId="31552612" w14:textId="77777777" w:rsidR="00363582" w:rsidRPr="00593418" w:rsidRDefault="00363582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5"/>
        <w:gridCol w:w="1756"/>
        <w:gridCol w:w="1755"/>
      </w:tblGrid>
      <w:tr w:rsidR="00CD0F43" w:rsidRPr="00593418" w14:paraId="2D7DDA03" w14:textId="77777777" w:rsidTr="00CD0F43">
        <w:trPr>
          <w:trHeight w:val="623"/>
          <w:jc w:val="center"/>
        </w:trPr>
        <w:tc>
          <w:tcPr>
            <w:tcW w:w="5553" w:type="dxa"/>
          </w:tcPr>
          <w:p w14:paraId="24C6A6B5" w14:textId="77777777" w:rsidR="00CD0F43" w:rsidRPr="00593418" w:rsidRDefault="00CD0F43" w:rsidP="00F1700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593418">
              <w:rPr>
                <w:rFonts w:asciiTheme="minorHAnsi" w:eastAsia="Times New Roman" w:hAnsiTheme="minorHAnsi" w:cstheme="minorHAnsi"/>
                <w:b/>
                <w:lang w:eastAsia="en-GB"/>
              </w:rPr>
              <w:t>Indikator</w:t>
            </w:r>
          </w:p>
        </w:tc>
        <w:tc>
          <w:tcPr>
            <w:tcW w:w="1761" w:type="dxa"/>
          </w:tcPr>
          <w:p w14:paraId="73F644E5" w14:textId="0CEC5E3C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 w:rsidRPr="00593418">
              <w:rPr>
                <w:rFonts w:asciiTheme="minorHAnsi" w:hAnsiTheme="minorHAnsi" w:cstheme="minorHAnsi"/>
                <w:b/>
                <w:lang w:eastAsia="en-GB"/>
              </w:rPr>
              <w:t>2018</w:t>
            </w:r>
            <w:r w:rsidR="00593418">
              <w:rPr>
                <w:rFonts w:asciiTheme="minorHAnsi" w:hAnsiTheme="minorHAnsi" w:cstheme="minorHAnsi"/>
                <w:b/>
                <w:lang w:eastAsia="en-GB"/>
              </w:rPr>
              <w:t>.</w:t>
            </w:r>
          </w:p>
        </w:tc>
        <w:tc>
          <w:tcPr>
            <w:tcW w:w="1760" w:type="dxa"/>
          </w:tcPr>
          <w:p w14:paraId="49BDE88C" w14:textId="77777777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 w:rsidRPr="00593418">
              <w:rPr>
                <w:rFonts w:asciiTheme="minorHAnsi" w:hAnsiTheme="minorHAnsi" w:cstheme="minorHAnsi"/>
                <w:b/>
                <w:lang w:eastAsia="en-GB"/>
              </w:rPr>
              <w:t>Ciljna vrijednost</w:t>
            </w:r>
          </w:p>
          <w:p w14:paraId="158F174E" w14:textId="03E2ADF9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 w:rsidRPr="00593418">
              <w:rPr>
                <w:rFonts w:asciiTheme="minorHAnsi" w:hAnsiTheme="minorHAnsi" w:cstheme="minorHAnsi"/>
                <w:b/>
                <w:lang w:eastAsia="en-GB"/>
              </w:rPr>
              <w:t>2024</w:t>
            </w:r>
            <w:r w:rsidR="00593418">
              <w:rPr>
                <w:rFonts w:asciiTheme="minorHAnsi" w:hAnsiTheme="minorHAnsi" w:cstheme="minorHAnsi"/>
                <w:b/>
                <w:lang w:eastAsia="en-GB"/>
              </w:rPr>
              <w:t>.</w:t>
            </w:r>
          </w:p>
        </w:tc>
      </w:tr>
      <w:tr w:rsidR="00CD0F43" w:rsidRPr="00593418" w14:paraId="03D42976" w14:textId="77777777" w:rsidTr="00CD0F43">
        <w:trPr>
          <w:trHeight w:val="323"/>
          <w:jc w:val="center"/>
        </w:trPr>
        <w:tc>
          <w:tcPr>
            <w:tcW w:w="5553" w:type="dxa"/>
          </w:tcPr>
          <w:p w14:paraId="5021744A" w14:textId="77777777" w:rsidR="00CD0F43" w:rsidRPr="00593418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Sertifikovane površine u organskoj proizvodnji</w:t>
            </w:r>
          </w:p>
        </w:tc>
        <w:tc>
          <w:tcPr>
            <w:tcW w:w="1761" w:type="dxa"/>
          </w:tcPr>
          <w:p w14:paraId="2E771480" w14:textId="2C1E6EB9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1</w:t>
            </w:r>
            <w:r w:rsidR="00593418">
              <w:rPr>
                <w:rFonts w:asciiTheme="minorHAnsi" w:hAnsiTheme="minorHAnsi" w:cstheme="minorHAnsi"/>
              </w:rPr>
              <w:t>.</w:t>
            </w:r>
            <w:r w:rsidRPr="00593418">
              <w:rPr>
                <w:rFonts w:asciiTheme="minorHAnsi" w:hAnsiTheme="minorHAnsi" w:cstheme="minorHAnsi"/>
              </w:rPr>
              <w:t xml:space="preserve">762 ha (2017) </w:t>
            </w:r>
          </w:p>
        </w:tc>
        <w:tc>
          <w:tcPr>
            <w:tcW w:w="1760" w:type="dxa"/>
          </w:tcPr>
          <w:p w14:paraId="295A2F45" w14:textId="39573E51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3</w:t>
            </w:r>
            <w:r w:rsidR="00593418">
              <w:rPr>
                <w:rFonts w:asciiTheme="minorHAnsi" w:hAnsiTheme="minorHAnsi" w:cstheme="minorHAnsi"/>
              </w:rPr>
              <w:t>.</w:t>
            </w:r>
            <w:r w:rsidRPr="00593418">
              <w:rPr>
                <w:rFonts w:asciiTheme="minorHAnsi" w:hAnsiTheme="minorHAnsi" w:cstheme="minorHAnsi"/>
              </w:rPr>
              <w:t>500 ha</w:t>
            </w:r>
          </w:p>
        </w:tc>
      </w:tr>
      <w:tr w:rsidR="00CD0F43" w:rsidRPr="00593418" w14:paraId="72A53360" w14:textId="77777777" w:rsidTr="00CD0F43">
        <w:trPr>
          <w:trHeight w:val="501"/>
          <w:jc w:val="center"/>
        </w:trPr>
        <w:tc>
          <w:tcPr>
            <w:tcW w:w="5553" w:type="dxa"/>
          </w:tcPr>
          <w:p w14:paraId="7D473A9A" w14:textId="77777777" w:rsidR="00CD0F43" w:rsidRPr="00593418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Procenat korišćenog od raspoloživog poljoprivrednog zemljišta</w:t>
            </w:r>
          </w:p>
        </w:tc>
        <w:tc>
          <w:tcPr>
            <w:tcW w:w="1761" w:type="dxa"/>
          </w:tcPr>
          <w:p w14:paraId="30A022A1" w14:textId="674F70F0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256</w:t>
            </w:r>
            <w:r w:rsidR="00593418">
              <w:rPr>
                <w:rFonts w:asciiTheme="minorHAnsi" w:hAnsiTheme="minorHAnsi" w:cstheme="minorHAnsi"/>
              </w:rPr>
              <w:t>.</w:t>
            </w:r>
            <w:r w:rsidRPr="00593418">
              <w:rPr>
                <w:rFonts w:asciiTheme="minorHAnsi" w:hAnsiTheme="minorHAnsi" w:cstheme="minorHAnsi"/>
              </w:rPr>
              <w:t xml:space="preserve">361 ha </w:t>
            </w:r>
            <w:r w:rsidR="00E6597F">
              <w:rPr>
                <w:rFonts w:asciiTheme="minorHAnsi" w:hAnsiTheme="minorHAnsi" w:cstheme="minorHAnsi"/>
              </w:rPr>
              <w:t>(2017)</w:t>
            </w:r>
          </w:p>
          <w:p w14:paraId="0A5D378F" w14:textId="77777777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49,5%</w:t>
            </w:r>
          </w:p>
        </w:tc>
        <w:tc>
          <w:tcPr>
            <w:tcW w:w="1760" w:type="dxa"/>
          </w:tcPr>
          <w:p w14:paraId="35291DD9" w14:textId="7EEE1895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300</w:t>
            </w:r>
            <w:r w:rsidR="00593418">
              <w:rPr>
                <w:rFonts w:asciiTheme="minorHAnsi" w:hAnsiTheme="minorHAnsi" w:cstheme="minorHAnsi"/>
              </w:rPr>
              <w:t>.</w:t>
            </w:r>
            <w:r w:rsidRPr="00593418">
              <w:rPr>
                <w:rFonts w:asciiTheme="minorHAnsi" w:hAnsiTheme="minorHAnsi" w:cstheme="minorHAnsi"/>
              </w:rPr>
              <w:t>000 ha</w:t>
            </w:r>
          </w:p>
          <w:p w14:paraId="056AF0D1" w14:textId="77777777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55%</w:t>
            </w:r>
          </w:p>
        </w:tc>
      </w:tr>
      <w:tr w:rsidR="00CD0F43" w:rsidRPr="00593418" w14:paraId="75610BB6" w14:textId="77777777" w:rsidTr="00CD0F43">
        <w:trPr>
          <w:trHeight w:val="501"/>
          <w:jc w:val="center"/>
        </w:trPr>
        <w:tc>
          <w:tcPr>
            <w:tcW w:w="5553" w:type="dxa"/>
          </w:tcPr>
          <w:p w14:paraId="46B0E595" w14:textId="77777777" w:rsidR="00CD0F43" w:rsidRPr="00593418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Bruto vrijednost poljoprivredne proizvodnje</w:t>
            </w:r>
          </w:p>
        </w:tc>
        <w:tc>
          <w:tcPr>
            <w:tcW w:w="1761" w:type="dxa"/>
          </w:tcPr>
          <w:p w14:paraId="0B645AC7" w14:textId="77777777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295.472.000 e (2016)</w:t>
            </w:r>
          </w:p>
        </w:tc>
        <w:tc>
          <w:tcPr>
            <w:tcW w:w="1760" w:type="dxa"/>
          </w:tcPr>
          <w:p w14:paraId="23FB2903" w14:textId="77777777" w:rsidR="00CD0F43" w:rsidRPr="00593418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330.000.000 e</w:t>
            </w:r>
          </w:p>
        </w:tc>
      </w:tr>
    </w:tbl>
    <w:p w14:paraId="1CC48F48" w14:textId="5410259E" w:rsidR="00363582" w:rsidRPr="00593418" w:rsidRDefault="00363582" w:rsidP="00923467">
      <w:pPr>
        <w:suppressAutoHyphens w:val="0"/>
        <w:spacing w:after="0" w:line="240" w:lineRule="auto"/>
      </w:pPr>
    </w:p>
    <w:p w14:paraId="13976655" w14:textId="77777777" w:rsidR="00363582" w:rsidRDefault="00363582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iCs/>
          <w:noProof/>
          <w:color w:val="C00000"/>
          <w:sz w:val="24"/>
          <w:szCs w:val="24"/>
          <w:lang w:eastAsia="en-GB"/>
        </w:rPr>
      </w:pPr>
      <w:bookmarkStart w:id="38" w:name="_Toc529890093"/>
      <w:r>
        <w:br w:type="page"/>
      </w:r>
    </w:p>
    <w:p w14:paraId="6017C5F7" w14:textId="45C0E17E" w:rsidR="00CD0F43" w:rsidRPr="00593418" w:rsidRDefault="00253B54" w:rsidP="00A327C7">
      <w:pPr>
        <w:pStyle w:val="Heading2"/>
      </w:pPr>
      <w:bookmarkStart w:id="39" w:name="_Toc530143288"/>
      <w:r w:rsidRPr="00593418">
        <w:lastRenderedPageBreak/>
        <w:t>VI</w:t>
      </w:r>
      <w:r w:rsidR="00826F04">
        <w:t xml:space="preserve"> </w:t>
      </w:r>
      <w:r w:rsidR="00B078A4" w:rsidRPr="00593418">
        <w:t xml:space="preserve">3. </w:t>
      </w:r>
      <w:r w:rsidR="00CD0F43" w:rsidRPr="00593418">
        <w:t>OBNOVLJIVI IZVORI ENERGIJE</w:t>
      </w:r>
      <w:r w:rsidR="002223E5">
        <w:t xml:space="preserve"> I ENERGETSKA EFIKASNOST</w:t>
      </w:r>
      <w:bookmarkEnd w:id="38"/>
      <w:bookmarkEnd w:id="39"/>
    </w:p>
    <w:p w14:paraId="5CBE4D7F" w14:textId="77777777" w:rsidR="00CD0F43" w:rsidRPr="00593418" w:rsidRDefault="00CD0F43" w:rsidP="00CD0F43"/>
    <w:p w14:paraId="0BAFD98E" w14:textId="53D8A962" w:rsidR="00CD0F43" w:rsidRPr="00C577DE" w:rsidRDefault="00CD0F43" w:rsidP="00F17001">
      <w:pPr>
        <w:spacing w:after="120" w:line="240" w:lineRule="auto"/>
        <w:jc w:val="both"/>
        <w:rPr>
          <w:rFonts w:asciiTheme="minorHAnsi" w:eastAsia="Times New Roman" w:hAnsiTheme="minorHAnsi" w:cstheme="majorHAnsi"/>
          <w:lang w:eastAsia="en-GB"/>
        </w:rPr>
      </w:pPr>
      <w:r w:rsidRPr="00C577DE">
        <w:rPr>
          <w:rFonts w:asciiTheme="minorHAnsi" w:eastAsia="Times New Roman" w:hAnsiTheme="minorHAnsi" w:cstheme="majorHAnsi"/>
          <w:lang w:eastAsia="en-GB"/>
        </w:rPr>
        <w:t>Elektroenergetski sektor u Crnoj Gori je posljedn</w:t>
      </w:r>
      <w:r w:rsidR="00016AE5">
        <w:rPr>
          <w:rFonts w:asciiTheme="minorHAnsi" w:eastAsia="Times New Roman" w:hAnsiTheme="minorHAnsi" w:cstheme="majorHAnsi"/>
          <w:lang w:eastAsia="en-GB"/>
        </w:rPr>
        <w:t>j</w:t>
      </w:r>
      <w:r w:rsidRPr="00C577DE">
        <w:rPr>
          <w:rFonts w:asciiTheme="minorHAnsi" w:eastAsia="Times New Roman" w:hAnsiTheme="minorHAnsi" w:cstheme="majorHAnsi"/>
          <w:lang w:eastAsia="en-GB"/>
        </w:rPr>
        <w:t>ih decenija pretrpio krupne promjene. Tradicionalni, vertikalno integrisani, monopolistički elektroenergetski sistem (EES) zamijenjen je deregulisanim sistemom, sa tržištem električne energije kao važnom karikom pri definisanju cijene isporučene energ</w:t>
      </w:r>
      <w:r w:rsidR="00571AC0">
        <w:rPr>
          <w:rFonts w:asciiTheme="minorHAnsi" w:eastAsia="Times New Roman" w:hAnsiTheme="minorHAnsi" w:cstheme="majorHAnsi"/>
          <w:lang w:eastAsia="en-GB"/>
        </w:rPr>
        <w:t>ije. Crna Gora, kao pretendent z</w:t>
      </w:r>
      <w:r w:rsidRPr="00C577DE">
        <w:rPr>
          <w:rFonts w:asciiTheme="minorHAnsi" w:eastAsia="Times New Roman" w:hAnsiTheme="minorHAnsi" w:cstheme="majorHAnsi"/>
          <w:lang w:eastAsia="en-GB"/>
        </w:rPr>
        <w:t>a članstvo u EU, obavezala se na poštovanje relevantnih evropskih propisa i politika, uključujući povećanje udjela korišćenja energije iz obnovljivih izvora. S tim u vezi, realizovani su, ili su u procesu realizacije, brojni projekti u oblasti obnovljivih izvora energije - projekti izgradnje mini-hidroelektrana, dvije veće farme vjetrolektrana i velike solarne elektrane. Osim pre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t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hodno pomenutih aktivnosti, u završnoj fazi je realizacija projekta instalacije podvodnog elektroprenosnog kabla, koji će omogućiti povezivanje EES Crne Gore i Italije. Ako se navedenom doda i potreba za implementacijom skladišnih kapaciteta energije, prevashodno sa ciljem povećanja pouzdanosti napajanja potrošača, postaje jasno da EES Crne Gore dobija potpuno novu fizionomiju. Saglasno tome, ekonomična, ekološki prihvatljiva i pouzdana proizvodnja, prenos i upotreba električne energije, kao i način optimalnog upravljanja, postaju glavni izazovi savremenog elektroenergetskog sektora u Crnoj Gori. </w:t>
      </w:r>
    </w:p>
    <w:p w14:paraId="7439DCF2" w14:textId="3E691E98" w:rsidR="00CD0F43" w:rsidRPr="00C577DE" w:rsidRDefault="00CD0F43" w:rsidP="00F17001">
      <w:pPr>
        <w:spacing w:after="120" w:line="240" w:lineRule="auto"/>
        <w:jc w:val="both"/>
        <w:rPr>
          <w:rFonts w:asciiTheme="minorHAnsi" w:eastAsia="Times New Roman" w:hAnsiTheme="minorHAnsi" w:cstheme="majorHAnsi"/>
          <w:lang w:eastAsia="en-GB"/>
        </w:rPr>
      </w:pPr>
      <w:r w:rsidRPr="00C577DE">
        <w:rPr>
          <w:rFonts w:asciiTheme="minorHAnsi" w:eastAsia="Times New Roman" w:hAnsiTheme="minorHAnsi" w:cstheme="majorHAnsi"/>
          <w:lang w:eastAsia="en-GB"/>
        </w:rPr>
        <w:t xml:space="preserve">Crna Gora ima veliki potencijal za 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o</w:t>
      </w:r>
      <w:r w:rsidRPr="00C577DE">
        <w:rPr>
          <w:rFonts w:asciiTheme="minorHAnsi" w:eastAsia="Times New Roman" w:hAnsiTheme="minorHAnsi" w:cstheme="majorHAnsi"/>
          <w:lang w:eastAsia="en-GB"/>
        </w:rPr>
        <w:t>bnovljive vidove energije (OIE) i</w:t>
      </w:r>
      <w:r w:rsidR="003D6228">
        <w:rPr>
          <w:rFonts w:asciiTheme="minorHAnsi" w:eastAsia="Times New Roman" w:hAnsiTheme="minorHAnsi" w:cstheme="majorHAnsi"/>
          <w:lang w:eastAsia="en-GB"/>
        </w:rPr>
        <w:t>,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 iako hidroenergija već obezb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j</w:t>
      </w:r>
      <w:r w:rsidRPr="00C577DE">
        <w:rPr>
          <w:rFonts w:asciiTheme="minorHAnsi" w:eastAsia="Times New Roman" w:hAnsiTheme="minorHAnsi" w:cstheme="majorHAnsi"/>
          <w:lang w:eastAsia="en-GB"/>
        </w:rPr>
        <w:t>eđuje dvije trećine ukupne proizvodnje energije u zemlji, samo 17% teoretskog hidroenergetskog potencijala do sada je eksploatisano. Do skoro je hidroenergija bila jedini obnovljivi izvor energije koji doprinosi značajnoj proizvodnji energije u Crnoj Gori.</w:t>
      </w:r>
    </w:p>
    <w:p w14:paraId="6ADE313D" w14:textId="65FCB5B9" w:rsidR="00CD0F43" w:rsidRPr="00C577DE" w:rsidRDefault="00CD0F43" w:rsidP="00F17001">
      <w:pPr>
        <w:spacing w:after="120" w:line="240" w:lineRule="auto"/>
        <w:jc w:val="both"/>
        <w:rPr>
          <w:rFonts w:asciiTheme="minorHAnsi" w:eastAsia="Times New Roman" w:hAnsiTheme="minorHAnsi" w:cstheme="majorHAnsi"/>
          <w:lang w:eastAsia="en-GB"/>
        </w:rPr>
      </w:pPr>
      <w:r w:rsidRPr="00C577DE">
        <w:rPr>
          <w:rFonts w:asciiTheme="minorHAnsi" w:eastAsia="Times New Roman" w:hAnsiTheme="minorHAnsi" w:cstheme="majorHAnsi"/>
          <w:lang w:eastAsia="en-GB"/>
        </w:rPr>
        <w:t>Potencijal velikih hidroelektrana na glavnim rijekama u Crnoj Gori iznosi 9846 GWh,  dok na manjim rijekama iznosi 800-1000 GWh godišnje. Tehnički i ekonomski opravdani korisni potencijal na glavnim rijekama u Crnoj Gori je između 3,7 i 4,6 TWh / godišnje. Za upoređivanje, realni korisni potencijal za male hidroelektrane proc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j</w:t>
      </w:r>
      <w:r w:rsidRPr="00C577DE">
        <w:rPr>
          <w:rFonts w:asciiTheme="minorHAnsi" w:eastAsia="Times New Roman" w:hAnsiTheme="minorHAnsi" w:cstheme="majorHAnsi"/>
          <w:lang w:eastAsia="en-GB"/>
        </w:rPr>
        <w:t>enjuje se na 400 GWh godišnje. Na osnovu trenutno dod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ij</w:t>
      </w:r>
      <w:r w:rsidRPr="00C577DE">
        <w:rPr>
          <w:rFonts w:asciiTheme="minorHAnsi" w:eastAsia="Times New Roman" w:hAnsiTheme="minorHAnsi" w:cstheme="majorHAnsi"/>
          <w:lang w:eastAsia="en-GB"/>
        </w:rPr>
        <w:t>eljenih koncesija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,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 do sada je realizovano 20 malih hidroelektrana (MHE) ukupne instalisane snage od oko 33 MW. Sve u svemu, teorijski potencijal za hidroenergiju u Crnoj Gori iznosi nešto manje od 11 TWh / godišnje, od čega se 5,7 TWh / godišnje može ekonomski kvalitetno koristiti.</w:t>
      </w:r>
    </w:p>
    <w:p w14:paraId="2C423B51" w14:textId="24CC13B7" w:rsidR="004167BE" w:rsidRPr="00C577DE" w:rsidRDefault="00CD0F43" w:rsidP="004167BE">
      <w:pPr>
        <w:spacing w:after="120" w:line="240" w:lineRule="auto"/>
        <w:jc w:val="both"/>
        <w:rPr>
          <w:rFonts w:asciiTheme="minorHAnsi" w:eastAsia="Times New Roman" w:hAnsiTheme="minorHAnsi" w:cstheme="majorHAnsi"/>
          <w:lang w:eastAsia="en-GB"/>
        </w:rPr>
      </w:pPr>
      <w:r w:rsidRPr="00C577DE">
        <w:rPr>
          <w:rFonts w:asciiTheme="minorHAnsi" w:eastAsia="Times New Roman" w:hAnsiTheme="minorHAnsi" w:cstheme="majorHAnsi"/>
          <w:lang w:eastAsia="en-GB"/>
        </w:rPr>
        <w:t xml:space="preserve">Crna Gora ima </w:t>
      </w:r>
      <w:r w:rsidR="008C65AF" w:rsidRPr="00C812A1">
        <w:rPr>
          <w:bCs/>
          <w:color w:val="000000"/>
          <w:lang w:val="en-US"/>
        </w:rPr>
        <w:t>značajan potencijal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 vjetra za z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on</w:t>
      </w:r>
      <w:r w:rsidR="00C812A1">
        <w:rPr>
          <w:rFonts w:asciiTheme="minorHAnsi" w:eastAsia="Times New Roman" w:hAnsiTheme="minorHAnsi" w:cstheme="majorHAnsi"/>
          <w:lang w:eastAsia="en-GB"/>
        </w:rPr>
        <w:t>e sa velikom brzinom vjetra tj.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 xml:space="preserve"> iznad 7 m/</w:t>
      </w:r>
      <w:r w:rsidRPr="00C577DE">
        <w:rPr>
          <w:rFonts w:asciiTheme="minorHAnsi" w:eastAsia="Times New Roman" w:hAnsiTheme="minorHAnsi" w:cstheme="majorHAnsi"/>
          <w:lang w:eastAsia="en-GB"/>
        </w:rPr>
        <w:t>s. Potencijal se povećava ako se uzmu u obzir srednje potencijalne zone. Snaga proizvedena od vjetra može da dostigne do 25% (925 GWh) godišnje potrošnje energije u zemlji. Najnoviji projekti, poput vjetroelektrane Krnovo (72 MW) i Mo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ž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ura (46 MW, u izgradnji), ukazuju na pravac budućeg razvoja 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 xml:space="preserve">korišćenja 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potencijala vjetra. </w:t>
      </w:r>
      <w:r w:rsidR="004167BE">
        <w:rPr>
          <w:rFonts w:asciiTheme="minorHAnsi" w:eastAsia="Times New Roman" w:hAnsiTheme="minorHAnsi" w:cstheme="majorHAnsi"/>
          <w:lang w:eastAsia="en-GB"/>
        </w:rPr>
        <w:t xml:space="preserve">Uzimajući u obzir činjenicu da je </w:t>
      </w:r>
      <w:r w:rsidR="00660BF8" w:rsidRPr="00C577DE">
        <w:rPr>
          <w:rFonts w:asciiTheme="minorHAnsi" w:eastAsia="Times New Roman" w:hAnsiTheme="minorHAnsi" w:cstheme="majorHAnsi"/>
          <w:lang w:eastAsia="en-GB"/>
        </w:rPr>
        <w:t>vjetroelektrana na Krnovu postavljena na do sada najvišoj nadmorskoj visini u Evropi</w:t>
      </w:r>
      <w:r w:rsidR="004167BE">
        <w:rPr>
          <w:rFonts w:asciiTheme="minorHAnsi" w:eastAsia="Times New Roman" w:hAnsiTheme="minorHAnsi" w:cstheme="majorHAnsi"/>
          <w:lang w:eastAsia="en-GB"/>
        </w:rPr>
        <w:t xml:space="preserve"> može se reći da se</w:t>
      </w:r>
      <w:r w:rsidR="0013396E">
        <w:rPr>
          <w:rFonts w:asciiTheme="minorHAnsi" w:eastAsia="Times New Roman" w:hAnsiTheme="minorHAnsi" w:cstheme="majorHAnsi"/>
          <w:lang w:eastAsia="en-GB"/>
        </w:rPr>
        <w:t xml:space="preserve"> </w:t>
      </w:r>
      <w:r w:rsidR="004167BE">
        <w:rPr>
          <w:rFonts w:asciiTheme="minorHAnsi" w:eastAsia="Times New Roman" w:hAnsiTheme="minorHAnsi" w:cstheme="majorHAnsi"/>
          <w:lang w:eastAsia="en-GB"/>
        </w:rPr>
        <w:t xml:space="preserve">Crna Gora </w:t>
      </w:r>
      <w:r w:rsidR="004167BE" w:rsidRPr="00C577DE">
        <w:rPr>
          <w:rFonts w:asciiTheme="minorHAnsi" w:eastAsia="Times New Roman" w:hAnsiTheme="minorHAnsi" w:cstheme="majorHAnsi"/>
          <w:lang w:eastAsia="en-GB"/>
        </w:rPr>
        <w:t xml:space="preserve">pozicionirala kao testno okruženje za primjenu </w:t>
      </w:r>
      <w:r w:rsidR="004167BE">
        <w:rPr>
          <w:rFonts w:asciiTheme="minorHAnsi" w:eastAsia="Times New Roman" w:hAnsiTheme="minorHAnsi" w:cstheme="majorHAnsi"/>
          <w:lang w:eastAsia="en-GB"/>
        </w:rPr>
        <w:t xml:space="preserve">ovih </w:t>
      </w:r>
      <w:r w:rsidR="004167BE" w:rsidRPr="00C577DE">
        <w:rPr>
          <w:rFonts w:asciiTheme="minorHAnsi" w:eastAsia="Times New Roman" w:hAnsiTheme="minorHAnsi" w:cstheme="majorHAnsi"/>
          <w:lang w:eastAsia="en-GB"/>
        </w:rPr>
        <w:t>tehnologija u ekstremnim uslovima</w:t>
      </w:r>
      <w:r w:rsidR="004167BE">
        <w:rPr>
          <w:rFonts w:asciiTheme="minorHAnsi" w:eastAsia="Times New Roman" w:hAnsiTheme="minorHAnsi" w:cstheme="majorHAnsi"/>
          <w:lang w:eastAsia="en-GB"/>
        </w:rPr>
        <w:t>.</w:t>
      </w:r>
      <w:r w:rsidR="004167BE" w:rsidRPr="00C577DE">
        <w:rPr>
          <w:rFonts w:asciiTheme="minorHAnsi" w:eastAsia="Times New Roman" w:hAnsiTheme="minorHAnsi" w:cstheme="majorHAnsi"/>
          <w:lang w:eastAsia="en-GB"/>
        </w:rPr>
        <w:t xml:space="preserve"> </w:t>
      </w:r>
    </w:p>
    <w:p w14:paraId="51036FAA" w14:textId="729E3B13" w:rsidR="004167BE" w:rsidRPr="00C577DE" w:rsidRDefault="00CD0F43" w:rsidP="004167BE">
      <w:pPr>
        <w:spacing w:after="120" w:line="240" w:lineRule="auto"/>
        <w:jc w:val="both"/>
        <w:rPr>
          <w:rFonts w:asciiTheme="minorHAnsi" w:eastAsia="Times New Roman" w:hAnsiTheme="minorHAnsi" w:cstheme="majorHAnsi"/>
          <w:lang w:eastAsia="en-GB"/>
        </w:rPr>
      </w:pPr>
      <w:r w:rsidRPr="00C577DE">
        <w:rPr>
          <w:rFonts w:asciiTheme="minorHAnsi" w:eastAsia="Times New Roman" w:hAnsiTheme="minorHAnsi" w:cstheme="majorHAnsi"/>
          <w:lang w:eastAsia="en-GB"/>
        </w:rPr>
        <w:t>Pros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j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ečan godišnji broj sunčanih sati u </w:t>
      </w:r>
      <w:r w:rsidR="00593418" w:rsidRPr="00C577DE">
        <w:rPr>
          <w:rFonts w:asciiTheme="minorHAnsi" w:eastAsia="Times New Roman" w:hAnsiTheme="minorHAnsi" w:cstheme="majorHAnsi"/>
          <w:lang w:eastAsia="en-GB"/>
        </w:rPr>
        <w:t>Crnoj Gori je više od 2.000</w:t>
      </w:r>
      <w:r w:rsidRPr="00C577DE">
        <w:rPr>
          <w:rFonts w:asciiTheme="minorHAnsi" w:eastAsia="Times New Roman" w:hAnsiTheme="minorHAnsi" w:cstheme="majorHAnsi"/>
          <w:lang w:eastAsia="en-GB"/>
        </w:rPr>
        <w:t>, dok priobalne regije imaju više od 2.500 sati sunčevih zraka godišnje.</w:t>
      </w:r>
      <w:r w:rsidR="00743698">
        <w:rPr>
          <w:rFonts w:asciiTheme="minorHAnsi" w:eastAsia="Times New Roman" w:hAnsiTheme="minorHAnsi" w:cstheme="majorHAnsi"/>
          <w:lang w:eastAsia="en-GB"/>
        </w:rPr>
        <w:t xml:space="preserve"> </w:t>
      </w:r>
      <w:r w:rsidR="004167BE">
        <w:rPr>
          <w:rFonts w:asciiTheme="minorHAnsi" w:eastAsia="Times New Roman" w:hAnsiTheme="minorHAnsi" w:cstheme="majorHAnsi"/>
          <w:lang w:eastAsia="en-GB"/>
        </w:rPr>
        <w:t>E</w:t>
      </w:r>
      <w:r w:rsidR="004167BE" w:rsidRPr="00C577DE">
        <w:rPr>
          <w:rFonts w:asciiTheme="minorHAnsi" w:eastAsia="Times New Roman" w:hAnsiTheme="minorHAnsi" w:cstheme="majorHAnsi"/>
          <w:lang w:eastAsia="en-GB"/>
        </w:rPr>
        <w:t>nergija sunca do sada se najviše koristila za solarno termičko grijanje i hlađenje</w:t>
      </w:r>
      <w:r w:rsidR="00743698">
        <w:rPr>
          <w:rFonts w:asciiTheme="minorHAnsi" w:eastAsia="Times New Roman" w:hAnsiTheme="minorHAnsi" w:cstheme="majorHAnsi"/>
          <w:lang w:eastAsia="en-GB"/>
        </w:rPr>
        <w:t xml:space="preserve"> individualnih građevinskih objekata</w:t>
      </w:r>
      <w:r w:rsidR="004167BE">
        <w:rPr>
          <w:rFonts w:asciiTheme="minorHAnsi" w:eastAsia="Times New Roman" w:hAnsiTheme="minorHAnsi" w:cstheme="majorHAnsi"/>
          <w:lang w:eastAsia="en-GB"/>
        </w:rPr>
        <w:t xml:space="preserve">, </w:t>
      </w:r>
      <w:r w:rsidR="00743698">
        <w:rPr>
          <w:rFonts w:asciiTheme="minorHAnsi" w:eastAsia="Times New Roman" w:hAnsiTheme="minorHAnsi" w:cstheme="majorHAnsi"/>
          <w:lang w:eastAsia="en-GB"/>
        </w:rPr>
        <w:t>iako u zanemarljivom obimu. S</w:t>
      </w:r>
      <w:r w:rsidR="004167BE">
        <w:rPr>
          <w:rFonts w:asciiTheme="minorHAnsi" w:eastAsia="Times New Roman" w:hAnsiTheme="minorHAnsi" w:cstheme="majorHAnsi"/>
          <w:lang w:eastAsia="en-GB"/>
        </w:rPr>
        <w:t xml:space="preserve">ada </w:t>
      </w:r>
      <w:r w:rsidR="00743698">
        <w:rPr>
          <w:rFonts w:asciiTheme="minorHAnsi" w:eastAsia="Times New Roman" w:hAnsiTheme="minorHAnsi" w:cstheme="majorHAnsi"/>
          <w:lang w:eastAsia="en-GB"/>
        </w:rPr>
        <w:t xml:space="preserve">je </w:t>
      </w:r>
      <w:r w:rsidR="004167BE">
        <w:rPr>
          <w:rFonts w:asciiTheme="minorHAnsi" w:eastAsia="Times New Roman" w:hAnsiTheme="minorHAnsi" w:cstheme="majorHAnsi"/>
          <w:lang w:eastAsia="en-GB"/>
        </w:rPr>
        <w:t xml:space="preserve">u planu </w:t>
      </w:r>
      <w:r w:rsidR="004167BE" w:rsidRPr="00C577DE">
        <w:rPr>
          <w:rFonts w:asciiTheme="minorHAnsi" w:eastAsia="Times New Roman" w:hAnsiTheme="minorHAnsi" w:cstheme="majorHAnsi"/>
          <w:lang w:eastAsia="en-GB"/>
        </w:rPr>
        <w:t>izgradnja prve velike solarne elektrane</w:t>
      </w:r>
      <w:r w:rsidR="00571AC0">
        <w:rPr>
          <w:rFonts w:asciiTheme="minorHAnsi" w:eastAsia="Times New Roman" w:hAnsiTheme="minorHAnsi" w:cstheme="majorHAnsi"/>
          <w:lang w:eastAsia="en-GB"/>
        </w:rPr>
        <w:t xml:space="preserve"> na Briskoj Gor</w:t>
      </w:r>
      <w:r w:rsidR="005211AA">
        <w:rPr>
          <w:rFonts w:asciiTheme="minorHAnsi" w:eastAsia="Times New Roman" w:hAnsiTheme="minorHAnsi" w:cstheme="majorHAnsi"/>
          <w:lang w:eastAsia="en-GB"/>
        </w:rPr>
        <w:t>i snage oko 200 MW</w:t>
      </w:r>
      <w:r w:rsidR="003B6F59">
        <w:rPr>
          <w:rFonts w:asciiTheme="minorHAnsi" w:eastAsia="Times New Roman" w:hAnsiTheme="minorHAnsi" w:cstheme="majorHAnsi"/>
          <w:lang w:eastAsia="en-GB"/>
        </w:rPr>
        <w:t xml:space="preserve"> (ekvivalentno kapacitetu Termoelektrane Pljevlja)</w:t>
      </w:r>
      <w:r w:rsidR="004167BE">
        <w:rPr>
          <w:rFonts w:asciiTheme="minorHAnsi" w:eastAsia="Times New Roman" w:hAnsiTheme="minorHAnsi" w:cstheme="majorHAnsi"/>
          <w:lang w:eastAsia="en-GB"/>
        </w:rPr>
        <w:t>.</w:t>
      </w:r>
    </w:p>
    <w:p w14:paraId="20DE02E2" w14:textId="022122B4" w:rsidR="00CD0F43" w:rsidRPr="00C577DE" w:rsidRDefault="00CD0F43" w:rsidP="00F17001">
      <w:pPr>
        <w:spacing w:after="120" w:line="240" w:lineRule="auto"/>
        <w:jc w:val="both"/>
        <w:rPr>
          <w:rFonts w:asciiTheme="minorHAnsi" w:eastAsia="Times New Roman" w:hAnsiTheme="minorHAnsi" w:cstheme="majorHAnsi"/>
          <w:lang w:eastAsia="en-GB"/>
        </w:rPr>
      </w:pPr>
      <w:r w:rsidRPr="00C577DE">
        <w:rPr>
          <w:rFonts w:asciiTheme="minorHAnsi" w:eastAsia="Times New Roman" w:hAnsiTheme="minorHAnsi" w:cstheme="majorHAnsi"/>
          <w:lang w:eastAsia="en-GB"/>
        </w:rPr>
        <w:t>Crna Gora ima velik</w:t>
      </w:r>
      <w:r w:rsidR="00E8358A" w:rsidRPr="00C577DE">
        <w:rPr>
          <w:rFonts w:asciiTheme="minorHAnsi" w:eastAsia="Times New Roman" w:hAnsiTheme="minorHAnsi" w:cstheme="majorHAnsi"/>
          <w:lang w:eastAsia="en-GB"/>
        </w:rPr>
        <w:t xml:space="preserve">e mogućnosti 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za korišćenje energetskog potencijala </w:t>
      </w:r>
      <w:r w:rsidR="00660BF8">
        <w:rPr>
          <w:rFonts w:asciiTheme="minorHAnsi" w:eastAsia="Times New Roman" w:hAnsiTheme="minorHAnsi" w:cstheme="majorHAnsi"/>
          <w:lang w:eastAsia="en-GB"/>
        </w:rPr>
        <w:t>drvnog otpada.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 Godišnji prirast količine drveta, kao najznačajnijeg energenta ove vrste, ocijenjen </w:t>
      </w:r>
      <w:r w:rsidR="00E8358A" w:rsidRPr="00C577DE">
        <w:rPr>
          <w:rFonts w:asciiTheme="minorHAnsi" w:eastAsia="Times New Roman" w:hAnsiTheme="minorHAnsi" w:cstheme="majorHAnsi"/>
          <w:lang w:eastAsia="en-GB"/>
        </w:rPr>
        <w:t xml:space="preserve">je </w:t>
      </w:r>
      <w:r w:rsidRPr="00C577DE">
        <w:rPr>
          <w:rFonts w:asciiTheme="minorHAnsi" w:eastAsia="Times New Roman" w:hAnsiTheme="minorHAnsi" w:cstheme="majorHAnsi"/>
          <w:lang w:eastAsia="en-GB"/>
        </w:rPr>
        <w:t>na 2,6 m</w:t>
      </w:r>
      <w:r w:rsidRPr="00C577DE">
        <w:rPr>
          <w:rFonts w:asciiTheme="minorHAnsi" w:eastAsia="Times New Roman" w:hAnsiTheme="minorHAnsi" w:cstheme="majorHAnsi"/>
          <w:vertAlign w:val="superscript"/>
          <w:lang w:eastAsia="en-GB"/>
        </w:rPr>
        <w:t>3</w:t>
      </w:r>
      <w:r w:rsidRPr="00C577DE">
        <w:rPr>
          <w:rFonts w:asciiTheme="minorHAnsi" w:eastAsia="Times New Roman" w:hAnsiTheme="minorHAnsi" w:cstheme="majorHAnsi"/>
          <w:lang w:eastAsia="en-GB"/>
        </w:rPr>
        <w:t>/ha godišnje, dok je trenutni nivo potrošnje drveta procijenjen na oko 1,03 m</w:t>
      </w:r>
      <w:r w:rsidRPr="00C577DE">
        <w:rPr>
          <w:rFonts w:asciiTheme="minorHAnsi" w:eastAsia="Times New Roman" w:hAnsiTheme="minorHAnsi" w:cstheme="majorHAnsi"/>
          <w:vertAlign w:val="superscript"/>
          <w:lang w:eastAsia="en-GB"/>
        </w:rPr>
        <w:t>3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/ha godišnje. Procijenjeni </w:t>
      </w:r>
      <w:r w:rsidR="00BE526A">
        <w:rPr>
          <w:rFonts w:asciiTheme="minorHAnsi" w:eastAsia="Times New Roman" w:hAnsiTheme="minorHAnsi" w:cstheme="majorHAnsi"/>
          <w:lang w:eastAsia="en-GB"/>
        </w:rPr>
        <w:t xml:space="preserve">ukupni </w:t>
      </w:r>
      <w:r w:rsidRPr="00C577DE">
        <w:rPr>
          <w:rFonts w:asciiTheme="minorHAnsi" w:eastAsia="Times New Roman" w:hAnsiTheme="minorHAnsi" w:cstheme="majorHAnsi"/>
          <w:lang w:eastAsia="en-GB"/>
        </w:rPr>
        <w:t>prirast drveta je između 850</w:t>
      </w:r>
      <w:r w:rsidR="00E8358A" w:rsidRPr="00C577DE">
        <w:rPr>
          <w:rFonts w:asciiTheme="minorHAnsi" w:eastAsia="Times New Roman" w:hAnsiTheme="minorHAnsi" w:cstheme="majorHAnsi"/>
          <w:lang w:eastAsia="en-GB"/>
        </w:rPr>
        <w:t>.000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 m</w:t>
      </w:r>
      <w:r w:rsidRPr="00C577DE">
        <w:rPr>
          <w:rFonts w:asciiTheme="minorHAnsi" w:eastAsia="Times New Roman" w:hAnsiTheme="minorHAnsi" w:cstheme="majorHAnsi"/>
          <w:vertAlign w:val="superscript"/>
          <w:lang w:eastAsia="en-GB"/>
        </w:rPr>
        <w:t>3</w:t>
      </w:r>
      <w:r w:rsidRPr="00C577DE">
        <w:rPr>
          <w:rFonts w:asciiTheme="minorHAnsi" w:eastAsia="Times New Roman" w:hAnsiTheme="minorHAnsi" w:cstheme="majorHAnsi"/>
          <w:lang w:eastAsia="en-GB"/>
        </w:rPr>
        <w:t>/god. i 1.060</w:t>
      </w:r>
      <w:r w:rsidR="00E8358A" w:rsidRPr="00C577DE">
        <w:rPr>
          <w:rFonts w:asciiTheme="minorHAnsi" w:eastAsia="Times New Roman" w:hAnsiTheme="minorHAnsi" w:cstheme="majorHAnsi"/>
          <w:lang w:eastAsia="en-GB"/>
        </w:rPr>
        <w:t>.000</w:t>
      </w:r>
      <w:r w:rsidRPr="00C577DE">
        <w:rPr>
          <w:rFonts w:asciiTheme="minorHAnsi" w:eastAsia="Times New Roman" w:hAnsiTheme="minorHAnsi" w:cstheme="majorHAnsi"/>
          <w:lang w:eastAsia="en-GB"/>
        </w:rPr>
        <w:t xml:space="preserve"> m</w:t>
      </w:r>
      <w:r w:rsidRPr="00C577DE">
        <w:rPr>
          <w:rFonts w:asciiTheme="minorHAnsi" w:eastAsia="Times New Roman" w:hAnsiTheme="minorHAnsi" w:cstheme="majorHAnsi"/>
          <w:vertAlign w:val="superscript"/>
          <w:lang w:eastAsia="en-GB"/>
        </w:rPr>
        <w:t>3</w:t>
      </w:r>
      <w:r w:rsidRPr="00C577DE">
        <w:rPr>
          <w:rFonts w:asciiTheme="minorHAnsi" w:eastAsia="Times New Roman" w:hAnsiTheme="minorHAnsi" w:cstheme="majorHAnsi"/>
          <w:lang w:eastAsia="en-GB"/>
        </w:rPr>
        <w:t>/god. U Crnoj Gori energetski potencijal od drvnog otpada iznosi 400 MW.</w:t>
      </w:r>
    </w:p>
    <w:p w14:paraId="00215206" w14:textId="0D01BD74" w:rsidR="00CD0F43" w:rsidRPr="00C577DE" w:rsidRDefault="009E0922" w:rsidP="00F17001">
      <w:pPr>
        <w:spacing w:after="120" w:line="240" w:lineRule="auto"/>
        <w:jc w:val="both"/>
        <w:rPr>
          <w:rFonts w:asciiTheme="minorHAnsi" w:eastAsia="Times New Roman" w:hAnsiTheme="minorHAnsi" w:cstheme="majorHAnsi"/>
          <w:lang w:eastAsia="en-GB"/>
        </w:rPr>
      </w:pPr>
      <w:r>
        <w:rPr>
          <w:rFonts w:asciiTheme="minorHAnsi" w:eastAsia="Times New Roman" w:hAnsiTheme="minorHAnsi" w:cstheme="majorHAnsi"/>
          <w:lang w:eastAsia="en-GB"/>
        </w:rPr>
        <w:t xml:space="preserve">Takođe, </w:t>
      </w:r>
      <w:r w:rsidR="009C7519" w:rsidRPr="00C577DE">
        <w:rPr>
          <w:rFonts w:asciiTheme="minorHAnsi" w:eastAsia="Times New Roman" w:hAnsiTheme="minorHAnsi" w:cstheme="majorHAnsi"/>
          <w:lang w:eastAsia="en-GB"/>
        </w:rPr>
        <w:t>nov</w:t>
      </w:r>
      <w:r w:rsidR="009C7519">
        <w:rPr>
          <w:rFonts w:asciiTheme="minorHAnsi" w:eastAsia="Times New Roman" w:hAnsiTheme="minorHAnsi" w:cstheme="majorHAnsi"/>
          <w:lang w:eastAsia="en-GB"/>
        </w:rPr>
        <w:t>i</w:t>
      </w:r>
      <w:r w:rsidR="009C7519" w:rsidRPr="00C577DE">
        <w:rPr>
          <w:rFonts w:asciiTheme="minorHAnsi" w:eastAsia="Times New Roman" w:hAnsiTheme="minorHAnsi" w:cstheme="majorHAnsi"/>
          <w:lang w:eastAsia="en-GB"/>
        </w:rPr>
        <w:t xml:space="preserve"> podvodn</w:t>
      </w:r>
      <w:r w:rsidR="009C7519">
        <w:rPr>
          <w:rFonts w:asciiTheme="minorHAnsi" w:eastAsia="Times New Roman" w:hAnsiTheme="minorHAnsi" w:cstheme="majorHAnsi"/>
          <w:lang w:eastAsia="en-GB"/>
        </w:rPr>
        <w:t>i</w:t>
      </w:r>
      <w:r w:rsidR="009C7519" w:rsidRPr="00C577DE">
        <w:rPr>
          <w:rFonts w:asciiTheme="minorHAnsi" w:eastAsia="Times New Roman" w:hAnsiTheme="minorHAnsi" w:cstheme="majorHAnsi"/>
          <w:lang w:eastAsia="en-GB"/>
        </w:rPr>
        <w:t xml:space="preserve"> elektroenergetsk</w:t>
      </w:r>
      <w:r w:rsidR="009C7519">
        <w:rPr>
          <w:rFonts w:asciiTheme="minorHAnsi" w:eastAsia="Times New Roman" w:hAnsiTheme="minorHAnsi" w:cstheme="majorHAnsi"/>
          <w:lang w:eastAsia="en-GB"/>
        </w:rPr>
        <w:t>i</w:t>
      </w:r>
      <w:r w:rsidR="009C7519" w:rsidRPr="00C577DE">
        <w:rPr>
          <w:rFonts w:asciiTheme="minorHAnsi" w:eastAsia="Times New Roman" w:hAnsiTheme="minorHAnsi" w:cstheme="majorHAnsi"/>
          <w:lang w:eastAsia="en-GB"/>
        </w:rPr>
        <w:t xml:space="preserve"> </w:t>
      </w:r>
      <w:r w:rsidR="00CD0F43" w:rsidRPr="00C577DE">
        <w:rPr>
          <w:rFonts w:asciiTheme="minorHAnsi" w:eastAsia="Times New Roman" w:hAnsiTheme="minorHAnsi" w:cstheme="majorHAnsi"/>
          <w:lang w:eastAsia="en-GB"/>
        </w:rPr>
        <w:t>kab</w:t>
      </w:r>
      <w:r w:rsidR="009C7519">
        <w:rPr>
          <w:rFonts w:asciiTheme="minorHAnsi" w:eastAsia="Times New Roman" w:hAnsiTheme="minorHAnsi" w:cstheme="majorHAnsi"/>
          <w:lang w:eastAsia="en-GB"/>
        </w:rPr>
        <w:t>a</w:t>
      </w:r>
      <w:r w:rsidR="00CD0F43" w:rsidRPr="00C577DE">
        <w:rPr>
          <w:rFonts w:asciiTheme="minorHAnsi" w:eastAsia="Times New Roman" w:hAnsiTheme="minorHAnsi" w:cstheme="majorHAnsi"/>
          <w:lang w:eastAsia="en-GB"/>
        </w:rPr>
        <w:t xml:space="preserve">l između Crne Gore i Italije će početi sa radom 2019. godine, što </w:t>
      </w:r>
      <w:r w:rsidR="009C7519">
        <w:rPr>
          <w:rFonts w:asciiTheme="minorHAnsi" w:eastAsia="Times New Roman" w:hAnsiTheme="minorHAnsi" w:cstheme="majorHAnsi"/>
          <w:lang w:eastAsia="en-GB"/>
        </w:rPr>
        <w:t>će zemlji</w:t>
      </w:r>
      <w:r w:rsidR="009C7519" w:rsidRPr="00C577DE">
        <w:rPr>
          <w:rFonts w:asciiTheme="minorHAnsi" w:eastAsia="Times New Roman" w:hAnsiTheme="minorHAnsi" w:cstheme="majorHAnsi"/>
          <w:lang w:eastAsia="en-GB"/>
        </w:rPr>
        <w:t xml:space="preserve"> </w:t>
      </w:r>
      <w:r w:rsidR="00CD0F43" w:rsidRPr="00C577DE">
        <w:rPr>
          <w:rFonts w:asciiTheme="minorHAnsi" w:eastAsia="Times New Roman" w:hAnsiTheme="minorHAnsi" w:cstheme="majorHAnsi"/>
          <w:lang w:eastAsia="en-GB"/>
        </w:rPr>
        <w:t>omoguć</w:t>
      </w:r>
      <w:r w:rsidR="009C7519">
        <w:rPr>
          <w:rFonts w:asciiTheme="minorHAnsi" w:eastAsia="Times New Roman" w:hAnsiTheme="minorHAnsi" w:cstheme="majorHAnsi"/>
          <w:lang w:eastAsia="en-GB"/>
        </w:rPr>
        <w:t>iti</w:t>
      </w:r>
      <w:r w:rsidR="00CD0F43" w:rsidRPr="00C577DE">
        <w:rPr>
          <w:rFonts w:asciiTheme="minorHAnsi" w:eastAsia="Times New Roman" w:hAnsiTheme="minorHAnsi" w:cstheme="majorHAnsi"/>
          <w:lang w:eastAsia="en-GB"/>
        </w:rPr>
        <w:t xml:space="preserve"> poziciju regionalnog čvorišta za razmjenu energije. </w:t>
      </w:r>
    </w:p>
    <w:p w14:paraId="1E98FCF7" w14:textId="77777777" w:rsidR="008808D0" w:rsidRDefault="008808D0" w:rsidP="00F17001">
      <w:pPr>
        <w:pStyle w:val="BodyText"/>
        <w:spacing w:after="120" w:line="240" w:lineRule="auto"/>
        <w:jc w:val="both"/>
        <w:rPr>
          <w:rFonts w:asciiTheme="minorHAnsi" w:hAnsiTheme="minorHAnsi"/>
          <w:b/>
        </w:rPr>
      </w:pPr>
    </w:p>
    <w:p w14:paraId="19547351" w14:textId="4A223D5D" w:rsidR="00CD0F43" w:rsidRPr="0021212C" w:rsidRDefault="00CD0F43" w:rsidP="00F17001">
      <w:pPr>
        <w:pStyle w:val="BodyText"/>
        <w:spacing w:after="120" w:line="240" w:lineRule="auto"/>
        <w:jc w:val="both"/>
        <w:rPr>
          <w:rFonts w:asciiTheme="minorHAnsi" w:hAnsiTheme="minorHAnsi"/>
          <w:b/>
        </w:rPr>
      </w:pPr>
      <w:r w:rsidRPr="0021212C">
        <w:rPr>
          <w:rFonts w:asciiTheme="minorHAnsi" w:hAnsiTheme="minorHAnsi"/>
          <w:b/>
        </w:rPr>
        <w:lastRenderedPageBreak/>
        <w:t>VIZIJA 2024</w:t>
      </w:r>
    </w:p>
    <w:p w14:paraId="5659D694" w14:textId="7D4BEEDC" w:rsidR="008808D0" w:rsidRDefault="00305A2C" w:rsidP="00363582">
      <w:pPr>
        <w:jc w:val="both"/>
        <w:rPr>
          <w:rFonts w:asciiTheme="minorHAnsi" w:eastAsia="Times New Roman" w:hAnsiTheme="minorHAnsi" w:cstheme="majorHAnsi"/>
          <w:lang w:val="hr-HR" w:eastAsia="en-GB"/>
        </w:rPr>
      </w:pPr>
      <w:r w:rsidRPr="00C577DE">
        <w:rPr>
          <w:rFonts w:asciiTheme="minorHAnsi" w:eastAsia="Times New Roman" w:hAnsiTheme="minorHAnsi" w:cstheme="majorHAnsi"/>
          <w:lang w:val="hr-HR" w:eastAsia="en-GB"/>
        </w:rPr>
        <w:t xml:space="preserve">Crna Gora je prepoznata kao regionalno energetsko </w:t>
      </w:r>
      <w:r w:rsidR="00660BF8">
        <w:rPr>
          <w:rFonts w:asciiTheme="minorHAnsi" w:eastAsia="Times New Roman" w:hAnsiTheme="minorHAnsi" w:cstheme="majorHAnsi"/>
          <w:lang w:val="hr-HR" w:eastAsia="en-GB"/>
        </w:rPr>
        <w:t xml:space="preserve">čvorište sa visokim stepenom iskorišćenosti energije </w:t>
      </w:r>
      <w:r w:rsidR="00660BF8" w:rsidRPr="00C577DE">
        <w:rPr>
          <w:rFonts w:asciiTheme="minorHAnsi" w:eastAsia="Times New Roman" w:hAnsiTheme="minorHAnsi" w:cstheme="majorHAnsi"/>
          <w:lang w:val="hr-HR" w:eastAsia="en-GB"/>
        </w:rPr>
        <w:t>iz obnovljivi</w:t>
      </w:r>
      <w:r w:rsidR="00660BF8">
        <w:rPr>
          <w:rFonts w:asciiTheme="minorHAnsi" w:eastAsia="Times New Roman" w:hAnsiTheme="minorHAnsi" w:cstheme="majorHAnsi"/>
          <w:lang w:val="hr-HR" w:eastAsia="en-GB"/>
        </w:rPr>
        <w:t>h izvora</w:t>
      </w:r>
      <w:r w:rsidR="00660BF8" w:rsidRPr="00C577DE">
        <w:rPr>
          <w:rFonts w:asciiTheme="minorHAnsi" w:eastAsia="Times New Roman" w:hAnsiTheme="minorHAnsi" w:cstheme="majorHAnsi"/>
          <w:lang w:val="hr-HR" w:eastAsia="en-GB"/>
        </w:rPr>
        <w:t xml:space="preserve"> </w:t>
      </w:r>
      <w:r w:rsidRPr="00C577DE">
        <w:rPr>
          <w:rFonts w:asciiTheme="minorHAnsi" w:eastAsia="Times New Roman" w:hAnsiTheme="minorHAnsi" w:cstheme="majorHAnsi"/>
          <w:lang w:val="hr-HR" w:eastAsia="en-GB"/>
        </w:rPr>
        <w:t xml:space="preserve">sa primjenom rezultata istraživanja i inovacija u </w:t>
      </w:r>
      <w:r w:rsidR="00660BF8">
        <w:rPr>
          <w:rFonts w:asciiTheme="minorHAnsi" w:eastAsia="Times New Roman" w:hAnsiTheme="minorHAnsi" w:cstheme="majorHAnsi"/>
          <w:lang w:val="hr-HR" w:eastAsia="en-GB"/>
        </w:rPr>
        <w:t>svim segmentima sektora.</w:t>
      </w:r>
    </w:p>
    <w:p w14:paraId="651775D7" w14:textId="77777777" w:rsidR="00363582" w:rsidRDefault="00363582" w:rsidP="00363582">
      <w:pPr>
        <w:jc w:val="both"/>
        <w:rPr>
          <w:rFonts w:asciiTheme="minorHAnsi" w:hAnsiTheme="minorHAnsi" w:cstheme="minorHAnsi"/>
          <w:b/>
        </w:rPr>
      </w:pPr>
    </w:p>
    <w:p w14:paraId="301168DC" w14:textId="787908F7" w:rsidR="00CD0F43" w:rsidRPr="0021212C" w:rsidRDefault="003D633A" w:rsidP="003D633A">
      <w:pPr>
        <w:pStyle w:val="BodyTex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1212C">
        <w:rPr>
          <w:rFonts w:asciiTheme="minorHAnsi" w:hAnsiTheme="minorHAnsi" w:cstheme="minorHAnsi"/>
          <w:b/>
        </w:rPr>
        <w:t>CILJEVI SEKTORA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4"/>
      </w:tblGrid>
      <w:tr w:rsidR="00CD0F43" w:rsidRPr="00C577DE" w14:paraId="77A39B5F" w14:textId="77777777" w:rsidTr="00CD0F43">
        <w:trPr>
          <w:jc w:val="center"/>
        </w:trPr>
        <w:tc>
          <w:tcPr>
            <w:tcW w:w="5384" w:type="dxa"/>
          </w:tcPr>
          <w:p w14:paraId="26F09C29" w14:textId="77777777" w:rsidR="00CD0F43" w:rsidRPr="00C577DE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C577DE">
              <w:rPr>
                <w:rFonts w:asciiTheme="minorHAnsi" w:eastAsia="Times New Roman" w:hAnsiTheme="minorHAnsi" w:cstheme="minorHAnsi"/>
                <w:lang w:eastAsia="en-GB"/>
              </w:rPr>
              <w:t>Povećanje energetske efikasnosti i korišćenja obnovljivih izvora energije</w:t>
            </w:r>
          </w:p>
        </w:tc>
      </w:tr>
      <w:tr w:rsidR="00CD0F43" w:rsidRPr="00C577DE" w14:paraId="5A439AF9" w14:textId="77777777" w:rsidTr="00CD0F43">
        <w:trPr>
          <w:jc w:val="center"/>
        </w:trPr>
        <w:tc>
          <w:tcPr>
            <w:tcW w:w="5384" w:type="dxa"/>
          </w:tcPr>
          <w:p w14:paraId="5A8C7A7B" w14:textId="77777777" w:rsidR="00CD0F43" w:rsidRPr="00C577DE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C577DE">
              <w:rPr>
                <w:rFonts w:asciiTheme="minorHAnsi" w:eastAsia="Times New Roman" w:hAnsiTheme="minorHAnsi" w:cstheme="minorHAnsi"/>
                <w:lang w:eastAsia="en-GB"/>
              </w:rPr>
              <w:t xml:space="preserve">Razvoj koncepta pametnih mreža i gradova kroz primjenu rezultata istraživanja i inovativnih rješenja </w:t>
            </w:r>
          </w:p>
        </w:tc>
      </w:tr>
    </w:tbl>
    <w:p w14:paraId="6E9D1793" w14:textId="77777777" w:rsidR="00CD0F43" w:rsidRPr="00C577DE" w:rsidRDefault="00CD0F43" w:rsidP="00F17001">
      <w:pPr>
        <w:spacing w:after="120" w:line="240" w:lineRule="auto"/>
        <w:rPr>
          <w:rFonts w:asciiTheme="minorHAnsi" w:hAnsiTheme="minorHAnsi" w:cstheme="minorHAnsi"/>
        </w:rPr>
      </w:pPr>
    </w:p>
    <w:p w14:paraId="1B9E496E" w14:textId="52EC4040" w:rsidR="00CD0F43" w:rsidRDefault="00CD0F43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21212C">
        <w:rPr>
          <w:rFonts w:asciiTheme="minorHAnsi" w:hAnsiTheme="minorHAnsi" w:cstheme="minorHAnsi"/>
          <w:b/>
        </w:rPr>
        <w:t>FOKUSNA PODRUČJA I TEHNOLOGIJE</w:t>
      </w:r>
    </w:p>
    <w:p w14:paraId="225EFDD0" w14:textId="77777777" w:rsidR="00363582" w:rsidRDefault="00363582" w:rsidP="0021212C">
      <w:pPr>
        <w:spacing w:after="120" w:line="240" w:lineRule="auto"/>
        <w:ind w:firstLine="720"/>
        <w:rPr>
          <w:rFonts w:asciiTheme="minorHAnsi" w:hAnsiTheme="minorHAnsi" w:cstheme="minorHAnsi"/>
        </w:rPr>
      </w:pPr>
    </w:p>
    <w:p w14:paraId="50394C2E" w14:textId="35DE0B29" w:rsidR="00CD0F43" w:rsidRPr="00C577DE" w:rsidRDefault="00CD0F43" w:rsidP="0021212C">
      <w:pPr>
        <w:spacing w:after="120" w:line="240" w:lineRule="auto"/>
        <w:ind w:firstLine="720"/>
        <w:rPr>
          <w:rFonts w:asciiTheme="minorHAnsi" w:hAnsiTheme="minorHAnsi" w:cstheme="minorHAnsi"/>
        </w:rPr>
      </w:pPr>
      <w:r w:rsidRPr="00C577DE">
        <w:rPr>
          <w:rFonts w:asciiTheme="minorHAnsi" w:hAnsiTheme="minorHAnsi" w:cstheme="minorHAnsi"/>
        </w:rPr>
        <w:t>POSTOJEĆA</w:t>
      </w:r>
    </w:p>
    <w:p w14:paraId="5C12BB18" w14:textId="5F92DD68" w:rsidR="00457B32" w:rsidRDefault="00CD0F43" w:rsidP="00457B32">
      <w:pPr>
        <w:pStyle w:val="ListParagraph"/>
        <w:numPr>
          <w:ilvl w:val="0"/>
          <w:numId w:val="7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Energija vjetra</w:t>
      </w:r>
      <w:r w:rsidR="0091375E">
        <w:rPr>
          <w:rFonts w:cstheme="minorHAnsi"/>
          <w:lang w:val="sr-Latn-ME"/>
        </w:rPr>
        <w:t xml:space="preserve"> (i</w:t>
      </w:r>
      <w:r w:rsidR="0091375E" w:rsidRPr="00C577DE">
        <w:rPr>
          <w:rFonts w:cstheme="minorHAnsi"/>
          <w:lang w:val="sr-Latn-ME"/>
        </w:rPr>
        <w:t>straživanja iz oblasti termalne anemometrije</w:t>
      </w:r>
      <w:r w:rsidR="0091375E">
        <w:rPr>
          <w:rFonts w:cstheme="minorHAnsi"/>
          <w:lang w:val="sr-Latn-ME"/>
        </w:rPr>
        <w:t xml:space="preserve">, </w:t>
      </w:r>
      <w:r w:rsidR="0091375E" w:rsidRPr="00D71F76">
        <w:rPr>
          <w:rFonts w:cstheme="minorHAnsi"/>
          <w:lang w:val="sr-Latn-ME"/>
        </w:rPr>
        <w:t>turbulentnih strujanja</w:t>
      </w:r>
      <w:r w:rsidR="0091375E">
        <w:rPr>
          <w:rFonts w:cstheme="minorHAnsi"/>
          <w:lang w:val="sr-Latn-ME"/>
        </w:rPr>
        <w:t xml:space="preserve">, </w:t>
      </w:r>
      <w:r w:rsidR="0091375E" w:rsidRPr="00C577DE">
        <w:rPr>
          <w:rFonts w:cstheme="minorHAnsi"/>
          <w:lang w:val="sr-Latn-ME"/>
        </w:rPr>
        <w:t>zaštite elektroenergetskih sistema od atmosferskih pražnjenja</w:t>
      </w:r>
      <w:r w:rsidR="0091375E">
        <w:rPr>
          <w:rFonts w:cstheme="minorHAnsi"/>
          <w:lang w:val="sr-Latn-ME"/>
        </w:rPr>
        <w:t xml:space="preserve"> i dr.);</w:t>
      </w:r>
    </w:p>
    <w:p w14:paraId="44A9D7C3" w14:textId="50BF5B39" w:rsidR="0091375E" w:rsidRPr="0091375E" w:rsidRDefault="0091375E" w:rsidP="0091375E">
      <w:pPr>
        <w:pStyle w:val="ListParagraph"/>
        <w:numPr>
          <w:ilvl w:val="0"/>
          <w:numId w:val="7"/>
        </w:numPr>
        <w:rPr>
          <w:rFonts w:cstheme="minorHAnsi"/>
          <w:lang w:val="sr-Latn-ME"/>
        </w:rPr>
      </w:pPr>
      <w:r w:rsidRPr="00C577DE">
        <w:rPr>
          <w:rFonts w:cstheme="minorHAnsi"/>
          <w:lang w:val="sr-Latn-ME"/>
        </w:rPr>
        <w:t>Hidroenergija</w:t>
      </w:r>
      <w:r>
        <w:rPr>
          <w:rFonts w:cstheme="minorHAnsi"/>
          <w:lang w:val="sr-Latn-ME"/>
        </w:rPr>
        <w:t xml:space="preserve"> (istraživanja prelaznih procesa u hidrauličkim sistemima i dr.);</w:t>
      </w:r>
    </w:p>
    <w:p w14:paraId="6CEAF922" w14:textId="1F222EAF" w:rsidR="00457B32" w:rsidRDefault="0091375E" w:rsidP="0091375E">
      <w:pPr>
        <w:pStyle w:val="ListParagraph"/>
        <w:numPr>
          <w:ilvl w:val="0"/>
          <w:numId w:val="7"/>
        </w:numPr>
        <w:spacing w:before="0"/>
        <w:rPr>
          <w:rFonts w:cstheme="minorHAnsi"/>
          <w:lang w:val="sr-Latn-ME"/>
        </w:rPr>
      </w:pPr>
      <w:r w:rsidRPr="00C577DE">
        <w:rPr>
          <w:rFonts w:cstheme="minorHAnsi"/>
          <w:lang w:val="sr-Latn-ME"/>
        </w:rPr>
        <w:t>Energetska efikasnost, poboljšavanje energetskog bilansa, smanjivanje potrošnje i emisije CO2 (obnova zgrada, led tehnologije, eko aktivni/pasivni objekti)</w:t>
      </w:r>
      <w:r>
        <w:rPr>
          <w:rFonts w:cstheme="minorHAnsi"/>
          <w:lang w:val="sr-Latn-ME"/>
        </w:rPr>
        <w:t>.</w:t>
      </w:r>
    </w:p>
    <w:p w14:paraId="7D65C357" w14:textId="77777777" w:rsidR="0091375E" w:rsidRPr="0091375E" w:rsidRDefault="0091375E" w:rsidP="0091375E">
      <w:pPr>
        <w:pStyle w:val="ListParagraph"/>
        <w:spacing w:before="0"/>
        <w:ind w:left="2160"/>
        <w:rPr>
          <w:rFonts w:cstheme="minorHAnsi"/>
          <w:lang w:val="sr-Latn-ME"/>
        </w:rPr>
      </w:pPr>
    </w:p>
    <w:p w14:paraId="6EB1834E" w14:textId="7724DBD7" w:rsidR="00CD0F43" w:rsidRPr="00593418" w:rsidRDefault="003D633A" w:rsidP="0021212C">
      <w:pPr>
        <w:spacing w:after="120" w:line="240" w:lineRule="auto"/>
        <w:ind w:firstLine="720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SA POTENCIJALOM</w:t>
      </w:r>
    </w:p>
    <w:p w14:paraId="2B073662" w14:textId="16CDB2EE" w:rsidR="00CD0F43" w:rsidRPr="00593418" w:rsidRDefault="00CD0F43" w:rsidP="005B5889">
      <w:pPr>
        <w:pStyle w:val="ListParagraph"/>
        <w:numPr>
          <w:ilvl w:val="0"/>
          <w:numId w:val="16"/>
        </w:numPr>
        <w:spacing w:before="0"/>
        <w:ind w:left="2127" w:hanging="284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Solarna energija (uspostavljan</w:t>
      </w:r>
      <w:r w:rsidR="00E8358A">
        <w:rPr>
          <w:rFonts w:cstheme="minorHAnsi"/>
          <w:lang w:val="sr-Latn-ME"/>
        </w:rPr>
        <w:t>je prve solarne elektrane, tran</w:t>
      </w:r>
      <w:r w:rsidRPr="00593418">
        <w:rPr>
          <w:rFonts w:cstheme="minorHAnsi"/>
          <w:lang w:val="sr-Latn-ME"/>
        </w:rPr>
        <w:t xml:space="preserve">sfer tehnologija i </w:t>
      </w:r>
      <w:r w:rsidR="005B5889">
        <w:rPr>
          <w:rFonts w:cstheme="minorHAnsi"/>
          <w:lang w:val="sr-Latn-ME"/>
        </w:rPr>
        <w:t xml:space="preserve"> </w:t>
      </w:r>
      <w:r w:rsidR="000B4EDF">
        <w:rPr>
          <w:rFonts w:cstheme="minorHAnsi"/>
          <w:lang w:val="sr-Latn-ME"/>
        </w:rPr>
        <w:t xml:space="preserve">      </w:t>
      </w:r>
      <w:r w:rsidRPr="00593418">
        <w:rPr>
          <w:rFonts w:cstheme="minorHAnsi"/>
          <w:lang w:val="sr-Latn-ME"/>
        </w:rPr>
        <w:t>prilagođavanje našem geografskom području)</w:t>
      </w:r>
      <w:r w:rsidR="000B4EDF">
        <w:rPr>
          <w:rFonts w:cstheme="minorHAnsi"/>
          <w:lang w:val="sr-Latn-ME"/>
        </w:rPr>
        <w:t>;</w:t>
      </w:r>
      <w:r w:rsidRPr="00593418">
        <w:rPr>
          <w:rFonts w:cstheme="minorHAnsi"/>
          <w:lang w:val="sr-Latn-ME"/>
        </w:rPr>
        <w:tab/>
      </w:r>
      <w:r w:rsidRPr="00593418">
        <w:rPr>
          <w:rFonts w:cstheme="minorHAnsi"/>
          <w:lang w:val="sr-Latn-ME"/>
        </w:rPr>
        <w:tab/>
      </w:r>
      <w:r w:rsidRPr="00593418">
        <w:rPr>
          <w:rFonts w:cstheme="minorHAnsi"/>
          <w:lang w:val="sr-Latn-ME"/>
        </w:rPr>
        <w:tab/>
      </w:r>
    </w:p>
    <w:p w14:paraId="209394F0" w14:textId="7B749AF5" w:rsidR="00E8358A" w:rsidRDefault="00CD0F43" w:rsidP="005B5889">
      <w:pPr>
        <w:pStyle w:val="ListParagraph"/>
        <w:numPr>
          <w:ilvl w:val="0"/>
          <w:numId w:val="16"/>
        </w:numPr>
        <w:spacing w:before="0"/>
        <w:ind w:left="1440" w:firstLine="403"/>
        <w:rPr>
          <w:rFonts w:cstheme="minorHAnsi"/>
          <w:lang w:val="sr-Latn-ME"/>
        </w:rPr>
      </w:pPr>
      <w:r w:rsidRPr="00E8358A">
        <w:rPr>
          <w:rFonts w:cstheme="minorHAnsi"/>
          <w:lang w:val="sr-Latn-ME"/>
        </w:rPr>
        <w:t>Razvoj s</w:t>
      </w:r>
      <w:r w:rsidR="00E8358A" w:rsidRPr="00E8358A">
        <w:rPr>
          <w:rFonts w:cstheme="minorHAnsi"/>
          <w:lang w:val="sr-Latn-ME"/>
        </w:rPr>
        <w:t>istema za skladištenje energije</w:t>
      </w:r>
      <w:r w:rsidR="000B4EDF">
        <w:rPr>
          <w:rFonts w:cstheme="minorHAnsi"/>
          <w:lang w:val="sr-Latn-ME"/>
        </w:rPr>
        <w:t>;</w:t>
      </w:r>
    </w:p>
    <w:p w14:paraId="6B5BA101" w14:textId="582F8F40" w:rsidR="00CD0F43" w:rsidRDefault="00CD0F43" w:rsidP="005B5889">
      <w:pPr>
        <w:pStyle w:val="ListParagraph"/>
        <w:numPr>
          <w:ilvl w:val="0"/>
          <w:numId w:val="16"/>
        </w:numPr>
        <w:spacing w:before="0"/>
        <w:ind w:left="1440" w:firstLine="403"/>
        <w:rPr>
          <w:rFonts w:cstheme="minorHAnsi"/>
          <w:lang w:val="sr-Latn-ME"/>
        </w:rPr>
      </w:pPr>
      <w:r w:rsidRPr="00E8358A">
        <w:rPr>
          <w:rFonts w:cstheme="minorHAnsi"/>
          <w:lang w:val="sr-Latn-ME"/>
        </w:rPr>
        <w:t>Pametne mreže i gradovi</w:t>
      </w:r>
      <w:r w:rsidR="000B4EDF">
        <w:rPr>
          <w:rFonts w:cstheme="minorHAnsi"/>
          <w:lang w:val="sr-Latn-ME"/>
        </w:rPr>
        <w:t>;</w:t>
      </w:r>
    </w:p>
    <w:p w14:paraId="6C5E8C89" w14:textId="41D01950" w:rsidR="00E051CD" w:rsidRDefault="00E051CD" w:rsidP="00E051CD">
      <w:pPr>
        <w:pStyle w:val="ListParagraph"/>
        <w:numPr>
          <w:ilvl w:val="0"/>
          <w:numId w:val="16"/>
        </w:numPr>
        <w:spacing w:before="0"/>
        <w:ind w:left="1440" w:firstLine="403"/>
        <w:rPr>
          <w:rFonts w:cstheme="minorHAnsi"/>
          <w:lang w:val="sr-Latn-ME"/>
        </w:rPr>
      </w:pPr>
      <w:r>
        <w:rPr>
          <w:rFonts w:cstheme="minorHAnsi"/>
          <w:lang w:val="sr-Latn-ME"/>
        </w:rPr>
        <w:t>Aktivna potrošnja (samoproizvodnja) energije</w:t>
      </w:r>
      <w:r w:rsidR="000B4EDF">
        <w:rPr>
          <w:rFonts w:cstheme="minorHAnsi"/>
          <w:lang w:val="sr-Latn-ME"/>
        </w:rPr>
        <w:t>;</w:t>
      </w:r>
    </w:p>
    <w:p w14:paraId="5B19159A" w14:textId="1FB87690" w:rsidR="00E051CD" w:rsidRPr="009E0922" w:rsidRDefault="00E051CD">
      <w:pPr>
        <w:pStyle w:val="ListParagraph"/>
        <w:numPr>
          <w:ilvl w:val="0"/>
          <w:numId w:val="16"/>
        </w:numPr>
        <w:spacing w:before="0"/>
        <w:ind w:left="1440" w:firstLine="403"/>
        <w:rPr>
          <w:rFonts w:cstheme="minorHAnsi"/>
          <w:lang w:val="sr-Latn-ME"/>
        </w:rPr>
      </w:pPr>
      <w:r>
        <w:rPr>
          <w:rFonts w:cstheme="minorHAnsi"/>
          <w:lang w:val="sr-Latn-ME"/>
        </w:rPr>
        <w:t>Elektrifikacija saobraćaja</w:t>
      </w:r>
      <w:r w:rsidR="000B4EDF">
        <w:rPr>
          <w:rFonts w:cstheme="minorHAnsi"/>
          <w:lang w:val="sr-Latn-ME"/>
        </w:rPr>
        <w:t>.</w:t>
      </w:r>
    </w:p>
    <w:p w14:paraId="30A79EE3" w14:textId="77777777" w:rsidR="00457B32" w:rsidRDefault="00457B32" w:rsidP="00F17001">
      <w:pPr>
        <w:spacing w:after="120" w:line="240" w:lineRule="auto"/>
        <w:rPr>
          <w:rFonts w:asciiTheme="minorHAnsi" w:hAnsiTheme="minorHAnsi" w:cstheme="minorHAnsi"/>
        </w:rPr>
      </w:pPr>
    </w:p>
    <w:p w14:paraId="7F393CCB" w14:textId="6D4B1674" w:rsidR="00CD0F43" w:rsidRDefault="00CD0F43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21212C">
        <w:rPr>
          <w:rFonts w:asciiTheme="minorHAnsi" w:hAnsiTheme="minorHAnsi" w:cstheme="minorHAnsi"/>
          <w:b/>
        </w:rPr>
        <w:t>OKRUŽE</w:t>
      </w:r>
      <w:r w:rsidR="003D633A" w:rsidRPr="0021212C">
        <w:rPr>
          <w:rFonts w:asciiTheme="minorHAnsi" w:hAnsiTheme="minorHAnsi" w:cstheme="minorHAnsi"/>
          <w:b/>
        </w:rPr>
        <w:t>NJE ZA ISTRAŽIVANJE I INOVACIJE</w:t>
      </w:r>
    </w:p>
    <w:p w14:paraId="74A95FAA" w14:textId="77777777" w:rsidR="00363582" w:rsidRPr="0021212C" w:rsidRDefault="00363582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p w14:paraId="51DE310E" w14:textId="2CEB7B7C" w:rsidR="00CD0F43" w:rsidRPr="00593418" w:rsidRDefault="00CD0F43" w:rsidP="00F14161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NAUČNO</w:t>
      </w:r>
      <w:r w:rsidR="00E8358A">
        <w:rPr>
          <w:rFonts w:asciiTheme="minorHAnsi" w:hAnsiTheme="minorHAnsi" w:cstheme="minorHAnsi"/>
        </w:rPr>
        <w:t>-</w:t>
      </w:r>
      <w:r w:rsidRPr="00593418">
        <w:rPr>
          <w:rFonts w:asciiTheme="minorHAnsi" w:hAnsiTheme="minorHAnsi" w:cstheme="minorHAnsi"/>
        </w:rPr>
        <w:t>OBRAZOVNE INSTITUCIJE</w:t>
      </w:r>
    </w:p>
    <w:p w14:paraId="4A68E4AD" w14:textId="4CCAACB7" w:rsidR="001C4818" w:rsidRPr="008808D0" w:rsidRDefault="003D6228" w:rsidP="00457B32">
      <w:pPr>
        <w:pStyle w:val="ListParagraph"/>
        <w:numPr>
          <w:ilvl w:val="0"/>
          <w:numId w:val="47"/>
        </w:numPr>
        <w:rPr>
          <w:rFonts w:cs="font332"/>
          <w:lang w:val="sr-Latn-ME"/>
        </w:rPr>
      </w:pPr>
      <w:r w:rsidRPr="009C7519">
        <w:rPr>
          <w:rFonts w:ascii="Calibri" w:hAnsi="Calibri" w:cstheme="minorHAnsi"/>
          <w:lang w:val="sr-Latn-ME"/>
        </w:rPr>
        <w:t>Univerzitet Crne Gore</w:t>
      </w:r>
      <w:r w:rsidR="000B4EDF" w:rsidRPr="009C7519">
        <w:rPr>
          <w:rFonts w:ascii="Calibri" w:hAnsi="Calibri" w:cstheme="minorHAnsi"/>
          <w:lang w:val="sr-Latn-ME"/>
        </w:rPr>
        <w:t xml:space="preserve"> (UCG)</w:t>
      </w:r>
      <w:r w:rsidRPr="009C7519">
        <w:rPr>
          <w:rFonts w:cstheme="minorHAnsi"/>
          <w:lang w:val="sr-Latn-ME"/>
        </w:rPr>
        <w:t xml:space="preserve">, </w:t>
      </w:r>
      <w:r w:rsidR="00CD0F43" w:rsidRPr="009C7519">
        <w:rPr>
          <w:rFonts w:cstheme="minorHAnsi"/>
          <w:lang w:val="sr-Latn-ME"/>
        </w:rPr>
        <w:t>Univerzitet Donja Gorica</w:t>
      </w:r>
      <w:r w:rsidR="000B4EDF" w:rsidRPr="009C7519">
        <w:rPr>
          <w:rFonts w:cstheme="minorHAnsi"/>
          <w:lang w:val="sr-Latn-ME"/>
        </w:rPr>
        <w:t xml:space="preserve"> (UDG)</w:t>
      </w:r>
      <w:r w:rsidRPr="009C7519">
        <w:rPr>
          <w:rFonts w:cstheme="minorHAnsi"/>
          <w:lang w:val="sr-Latn-ME"/>
        </w:rPr>
        <w:t xml:space="preserve">, </w:t>
      </w:r>
      <w:r w:rsidR="00CD0F43" w:rsidRPr="009C7519">
        <w:rPr>
          <w:rFonts w:cstheme="minorHAnsi"/>
          <w:lang w:val="sr-Latn-ME"/>
        </w:rPr>
        <w:t>Univerzitet Mediteran</w:t>
      </w:r>
      <w:r w:rsidRPr="009C7519">
        <w:rPr>
          <w:rFonts w:cstheme="minorHAnsi"/>
          <w:lang w:val="sr-Latn-ME"/>
        </w:rPr>
        <w:t xml:space="preserve">, </w:t>
      </w:r>
      <w:r w:rsidR="00CD0F43" w:rsidRPr="009C7519">
        <w:rPr>
          <w:rFonts w:cstheme="minorHAnsi"/>
          <w:lang w:val="sr-Latn-ME"/>
        </w:rPr>
        <w:t>Crnogors</w:t>
      </w:r>
      <w:r w:rsidR="003D633A" w:rsidRPr="009C7519">
        <w:rPr>
          <w:rFonts w:cstheme="minorHAnsi"/>
          <w:lang w:val="sr-Latn-ME"/>
        </w:rPr>
        <w:t xml:space="preserve">ka </w:t>
      </w:r>
      <w:r w:rsidR="00E8358A" w:rsidRPr="009C7519">
        <w:rPr>
          <w:rFonts w:cstheme="minorHAnsi"/>
          <w:lang w:val="sr-Latn-ME"/>
        </w:rPr>
        <w:t>a</w:t>
      </w:r>
      <w:r w:rsidR="003D633A" w:rsidRPr="009C7519">
        <w:rPr>
          <w:rFonts w:cstheme="minorHAnsi"/>
          <w:lang w:val="sr-Latn-ME"/>
        </w:rPr>
        <w:t>kademija nauka i umjetnosti</w:t>
      </w:r>
      <w:r w:rsidR="000B4EDF" w:rsidRPr="009C7519">
        <w:rPr>
          <w:rFonts w:cstheme="minorHAnsi"/>
          <w:lang w:val="sr-Latn-ME"/>
        </w:rPr>
        <w:t xml:space="preserve"> (CANU).</w:t>
      </w:r>
    </w:p>
    <w:p w14:paraId="1650B3C9" w14:textId="77777777" w:rsidR="008808D0" w:rsidRPr="008808D0" w:rsidRDefault="008808D0" w:rsidP="008808D0">
      <w:pPr>
        <w:pStyle w:val="ListParagraph"/>
        <w:rPr>
          <w:rFonts w:cs="font332"/>
          <w:lang w:val="sr-Latn-ME"/>
        </w:rPr>
      </w:pPr>
    </w:p>
    <w:p w14:paraId="0A615C92" w14:textId="27C1A1CC" w:rsidR="00CD0F43" w:rsidRPr="00593418" w:rsidRDefault="00CD0F43" w:rsidP="00457B32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KOMPANIJE</w:t>
      </w:r>
    </w:p>
    <w:p w14:paraId="542913D8" w14:textId="27200E69" w:rsidR="00CD0F43" w:rsidRDefault="009C7519" w:rsidP="00F14161">
      <w:pPr>
        <w:pStyle w:val="ListParagraph"/>
        <w:numPr>
          <w:ilvl w:val="0"/>
          <w:numId w:val="47"/>
        </w:numPr>
        <w:rPr>
          <w:rFonts w:ascii="Calibri" w:hAnsi="Calibri" w:cstheme="minorHAnsi"/>
          <w:lang w:val="sr-Latn-ME"/>
        </w:rPr>
      </w:pPr>
      <w:r>
        <w:rPr>
          <w:rFonts w:ascii="Calibri" w:hAnsi="Calibri" w:cstheme="minorHAnsi"/>
        </w:rPr>
        <w:t>Prepoznato</w:t>
      </w:r>
      <w:r w:rsidRPr="00923467">
        <w:rPr>
          <w:rFonts w:ascii="Calibri" w:hAnsi="Calibri" w:cstheme="minorHAnsi"/>
          <w:lang w:val="sr-Latn-ME"/>
        </w:rPr>
        <w:t xml:space="preserve"> </w:t>
      </w:r>
      <w:r>
        <w:rPr>
          <w:rFonts w:ascii="Calibri" w:hAnsi="Calibri" w:cstheme="minorHAnsi"/>
        </w:rPr>
        <w:t>je</w:t>
      </w:r>
      <w:r w:rsidRPr="00923467">
        <w:rPr>
          <w:rFonts w:ascii="Calibri" w:hAnsi="Calibri" w:cstheme="minorHAnsi"/>
          <w:lang w:val="sr-Latn-ME"/>
        </w:rPr>
        <w:t xml:space="preserve"> </w:t>
      </w:r>
      <w:r>
        <w:rPr>
          <w:rFonts w:ascii="Calibri" w:hAnsi="Calibri" w:cstheme="minorHAnsi"/>
        </w:rPr>
        <w:t>v</w:t>
      </w:r>
      <w:r w:rsidR="00CD0F43" w:rsidRPr="00F14161">
        <w:rPr>
          <w:rFonts w:ascii="Calibri" w:hAnsi="Calibri" w:cstheme="minorHAnsi"/>
        </w:rPr>
        <w:t>i</w:t>
      </w:r>
      <w:r w:rsidR="00CD0F43" w:rsidRPr="00923467">
        <w:rPr>
          <w:rFonts w:ascii="Calibri" w:hAnsi="Calibri" w:cstheme="minorHAnsi"/>
          <w:lang w:val="sr-Latn-ME"/>
        </w:rPr>
        <w:t>š</w:t>
      </w:r>
      <w:r w:rsidR="00CD0F43" w:rsidRPr="00F14161">
        <w:rPr>
          <w:rFonts w:ascii="Calibri" w:hAnsi="Calibri" w:cstheme="minorHAnsi"/>
        </w:rPr>
        <w:t>e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velikih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dr</w:t>
      </w:r>
      <w:r w:rsidR="00CD0F43" w:rsidRPr="00923467">
        <w:rPr>
          <w:rFonts w:ascii="Calibri" w:hAnsi="Calibri" w:cstheme="minorHAnsi"/>
          <w:lang w:val="sr-Latn-ME"/>
        </w:rPr>
        <w:t>ž</w:t>
      </w:r>
      <w:r w:rsidR="00CD0F43" w:rsidRPr="00F14161">
        <w:rPr>
          <w:rFonts w:ascii="Calibri" w:hAnsi="Calibri" w:cstheme="minorHAnsi"/>
        </w:rPr>
        <w:t>avnih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energetskih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preduze</w:t>
      </w:r>
      <w:r w:rsidR="00CD0F43" w:rsidRPr="00923467">
        <w:rPr>
          <w:rFonts w:ascii="Calibri" w:hAnsi="Calibri" w:cstheme="minorHAnsi"/>
          <w:lang w:val="sr-Latn-ME"/>
        </w:rPr>
        <w:t>ć</w:t>
      </w:r>
      <w:r w:rsidR="00CD0F43" w:rsidRPr="00F14161">
        <w:rPr>
          <w:rFonts w:ascii="Calibri" w:hAnsi="Calibri" w:cstheme="minorHAnsi"/>
        </w:rPr>
        <w:t>a</w:t>
      </w:r>
      <w:r w:rsidR="00E8358A" w:rsidRPr="00923467">
        <w:rPr>
          <w:rFonts w:ascii="Calibri" w:hAnsi="Calibri" w:cstheme="minorHAnsi"/>
          <w:lang w:val="sr-Latn-ME"/>
        </w:rPr>
        <w:t>,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me</w:t>
      </w:r>
      <w:r w:rsidR="00CD0F43" w:rsidRPr="00923467">
        <w:rPr>
          <w:rFonts w:ascii="Calibri" w:hAnsi="Calibri" w:cstheme="minorHAnsi"/>
          <w:lang w:val="sr-Latn-ME"/>
        </w:rPr>
        <w:t>đ</w:t>
      </w:r>
      <w:r w:rsidR="00CD0F43" w:rsidRPr="00F14161">
        <w:rPr>
          <w:rFonts w:ascii="Calibri" w:hAnsi="Calibri" w:cstheme="minorHAnsi"/>
        </w:rPr>
        <w:t>u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kojima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je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najve</w:t>
      </w:r>
      <w:r w:rsidR="00CD0F43" w:rsidRPr="00923467">
        <w:rPr>
          <w:rFonts w:ascii="Calibri" w:hAnsi="Calibri" w:cstheme="minorHAnsi"/>
          <w:lang w:val="sr-Latn-ME"/>
        </w:rPr>
        <w:t>ć</w:t>
      </w:r>
      <w:r>
        <w:rPr>
          <w:rFonts w:ascii="Calibri" w:hAnsi="Calibri" w:cstheme="minorHAnsi"/>
          <w:lang w:val="sr-Latn-ME"/>
        </w:rPr>
        <w:t>e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EPCG</w:t>
      </w:r>
      <w:r w:rsidR="00CD0F43" w:rsidRPr="00923467">
        <w:rPr>
          <w:rFonts w:ascii="Calibri" w:hAnsi="Calibri" w:cstheme="minorHAnsi"/>
          <w:lang w:val="sr-Latn-ME"/>
        </w:rPr>
        <w:t xml:space="preserve">, </w:t>
      </w:r>
      <w:r w:rsidR="00CD0F43" w:rsidRPr="00F14161">
        <w:rPr>
          <w:rFonts w:ascii="Calibri" w:hAnsi="Calibri" w:cstheme="minorHAnsi"/>
        </w:rPr>
        <w:t>zna</w:t>
      </w:r>
      <w:r w:rsidR="00CD0F43" w:rsidRPr="00923467">
        <w:rPr>
          <w:rFonts w:ascii="Calibri" w:hAnsi="Calibri" w:cstheme="minorHAnsi"/>
          <w:lang w:val="sr-Latn-ME"/>
        </w:rPr>
        <w:t>č</w:t>
      </w:r>
      <w:r w:rsidR="00CD0F43" w:rsidRPr="00F14161">
        <w:rPr>
          <w:rFonts w:ascii="Calibri" w:hAnsi="Calibri" w:cstheme="minorHAnsi"/>
        </w:rPr>
        <w:t>ajan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broj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malih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i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srednjih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preduze</w:t>
      </w:r>
      <w:r w:rsidR="00CD0F43" w:rsidRPr="00923467">
        <w:rPr>
          <w:rFonts w:ascii="Calibri" w:hAnsi="Calibri" w:cstheme="minorHAnsi"/>
          <w:lang w:val="sr-Latn-ME"/>
        </w:rPr>
        <w:t>ć</w:t>
      </w:r>
      <w:r w:rsidR="00CD0F43" w:rsidRPr="00F14161">
        <w:rPr>
          <w:rFonts w:ascii="Calibri" w:hAnsi="Calibri" w:cstheme="minorHAnsi"/>
        </w:rPr>
        <w:t>a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iz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oblasti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hidroenergije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i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par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velikih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preduze</w:t>
      </w:r>
      <w:r w:rsidR="00CD0F43" w:rsidRPr="00923467">
        <w:rPr>
          <w:rFonts w:ascii="Calibri" w:hAnsi="Calibri" w:cstheme="minorHAnsi"/>
          <w:lang w:val="sr-Latn-ME"/>
        </w:rPr>
        <w:t>ć</w:t>
      </w:r>
      <w:r w:rsidR="00CD0F43" w:rsidRPr="00F14161">
        <w:rPr>
          <w:rFonts w:ascii="Calibri" w:hAnsi="Calibri" w:cstheme="minorHAnsi"/>
        </w:rPr>
        <w:t>a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iz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oblasti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vjetro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energije</w:t>
      </w:r>
      <w:r w:rsidR="00E8358A" w:rsidRPr="00923467">
        <w:rPr>
          <w:rFonts w:ascii="Calibri" w:hAnsi="Calibri" w:cstheme="minorHAnsi"/>
          <w:lang w:val="sr-Latn-ME"/>
        </w:rPr>
        <w:t>,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kao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i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vi</w:t>
      </w:r>
      <w:r w:rsidR="00CD0F43" w:rsidRPr="00923467">
        <w:rPr>
          <w:rFonts w:ascii="Calibri" w:hAnsi="Calibri" w:cstheme="minorHAnsi"/>
          <w:lang w:val="sr-Latn-ME"/>
        </w:rPr>
        <w:t>š</w:t>
      </w:r>
      <w:r w:rsidR="00CD0F43" w:rsidRPr="00F14161">
        <w:rPr>
          <w:rFonts w:ascii="Calibri" w:hAnsi="Calibri" w:cstheme="minorHAnsi"/>
        </w:rPr>
        <w:t>e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in</w:t>
      </w:r>
      <w:r w:rsidR="00CD0F43" w:rsidRPr="00923467">
        <w:rPr>
          <w:rFonts w:ascii="Calibri" w:hAnsi="Calibri" w:cstheme="minorHAnsi"/>
          <w:lang w:val="sr-Latn-ME"/>
        </w:rPr>
        <w:t>ž</w:t>
      </w:r>
      <w:r w:rsidR="00CD0F43" w:rsidRPr="00F14161">
        <w:rPr>
          <w:rFonts w:ascii="Calibri" w:hAnsi="Calibri" w:cstheme="minorHAnsi"/>
        </w:rPr>
        <w:t>enjerskih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preduze</w:t>
      </w:r>
      <w:r w:rsidR="00CD0F43" w:rsidRPr="00923467">
        <w:rPr>
          <w:rFonts w:ascii="Calibri" w:hAnsi="Calibri" w:cstheme="minorHAnsi"/>
          <w:lang w:val="sr-Latn-ME"/>
        </w:rPr>
        <w:t>ć</w:t>
      </w:r>
      <w:r w:rsidR="00CD0F43" w:rsidRPr="00F14161">
        <w:rPr>
          <w:rFonts w:ascii="Calibri" w:hAnsi="Calibri" w:cstheme="minorHAnsi"/>
        </w:rPr>
        <w:t>a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koj</w:t>
      </w:r>
      <w:r w:rsidR="00E8358A" w:rsidRPr="00F14161">
        <w:rPr>
          <w:rFonts w:ascii="Calibri" w:hAnsi="Calibri" w:cstheme="minorHAnsi"/>
        </w:rPr>
        <w:t>a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daju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podr</w:t>
      </w:r>
      <w:r w:rsidR="00CD0F43" w:rsidRPr="00923467">
        <w:rPr>
          <w:rFonts w:ascii="Calibri" w:hAnsi="Calibri" w:cstheme="minorHAnsi"/>
          <w:lang w:val="sr-Latn-ME"/>
        </w:rPr>
        <w:t>š</w:t>
      </w:r>
      <w:r w:rsidR="00CD0F43" w:rsidRPr="00F14161">
        <w:rPr>
          <w:rFonts w:ascii="Calibri" w:hAnsi="Calibri" w:cstheme="minorHAnsi"/>
        </w:rPr>
        <w:t>ku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velikim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energetskim</w:t>
      </w:r>
      <w:r w:rsidR="00CD0F43" w:rsidRPr="00923467">
        <w:rPr>
          <w:rFonts w:ascii="Calibri" w:hAnsi="Calibri" w:cstheme="minorHAnsi"/>
          <w:lang w:val="sr-Latn-ME"/>
        </w:rPr>
        <w:t xml:space="preserve"> </w:t>
      </w:r>
      <w:r w:rsidR="00CD0F43" w:rsidRPr="00F14161">
        <w:rPr>
          <w:rFonts w:ascii="Calibri" w:hAnsi="Calibri" w:cstheme="minorHAnsi"/>
        </w:rPr>
        <w:t>sistemima</w:t>
      </w:r>
      <w:r w:rsidR="00CD0F43" w:rsidRPr="00923467">
        <w:rPr>
          <w:rFonts w:ascii="Calibri" w:hAnsi="Calibri" w:cstheme="minorHAnsi"/>
          <w:lang w:val="sr-Latn-ME"/>
        </w:rPr>
        <w:t>.</w:t>
      </w:r>
    </w:p>
    <w:p w14:paraId="7316327D" w14:textId="77777777" w:rsidR="00CD0F43" w:rsidRPr="00593418" w:rsidRDefault="00CD0F43" w:rsidP="00F17001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POSLOVNE ASOCIJACIJE</w:t>
      </w:r>
    </w:p>
    <w:p w14:paraId="359BE3AA" w14:textId="5B4F8A77" w:rsidR="00CD0F43" w:rsidRPr="00923467" w:rsidRDefault="003D6228" w:rsidP="0051342F">
      <w:pPr>
        <w:pStyle w:val="ListParagraph"/>
        <w:numPr>
          <w:ilvl w:val="0"/>
          <w:numId w:val="47"/>
        </w:numPr>
        <w:rPr>
          <w:rFonts w:cstheme="minorHAnsi"/>
          <w:lang w:val="sr-Latn-ME"/>
        </w:rPr>
      </w:pPr>
      <w:r>
        <w:rPr>
          <w:rFonts w:cstheme="minorHAnsi"/>
        </w:rPr>
        <w:lastRenderedPageBreak/>
        <w:t>Privredna</w:t>
      </w:r>
      <w:r w:rsidRPr="00923467">
        <w:rPr>
          <w:rFonts w:cstheme="minorHAnsi"/>
          <w:lang w:val="sr-Latn-ME"/>
        </w:rPr>
        <w:t xml:space="preserve"> </w:t>
      </w:r>
      <w:r>
        <w:rPr>
          <w:rFonts w:cstheme="minorHAnsi"/>
        </w:rPr>
        <w:t>komora</w:t>
      </w:r>
      <w:r w:rsidRPr="00923467">
        <w:rPr>
          <w:rFonts w:cstheme="minorHAnsi"/>
          <w:lang w:val="sr-Latn-ME"/>
        </w:rPr>
        <w:t xml:space="preserve"> </w:t>
      </w:r>
      <w:r>
        <w:rPr>
          <w:rFonts w:cstheme="minorHAnsi"/>
        </w:rPr>
        <w:t>Crne</w:t>
      </w:r>
      <w:r w:rsidRPr="00923467">
        <w:rPr>
          <w:rFonts w:cstheme="minorHAnsi"/>
          <w:lang w:val="sr-Latn-ME"/>
        </w:rPr>
        <w:t xml:space="preserve"> </w:t>
      </w:r>
      <w:r>
        <w:rPr>
          <w:rFonts w:cstheme="minorHAnsi"/>
        </w:rPr>
        <w:t>Gore</w:t>
      </w:r>
      <w:r w:rsidRPr="00923467">
        <w:rPr>
          <w:rFonts w:cstheme="minorHAnsi"/>
          <w:lang w:val="sr-Latn-ME"/>
        </w:rPr>
        <w:t xml:space="preserve"> (</w:t>
      </w:r>
      <w:r w:rsidR="00CD0F43" w:rsidRPr="003D6228">
        <w:rPr>
          <w:rFonts w:cstheme="minorHAnsi"/>
        </w:rPr>
        <w:t>PKCG</w:t>
      </w:r>
      <w:r w:rsidRPr="00923467">
        <w:rPr>
          <w:rFonts w:cstheme="minorHAnsi"/>
          <w:lang w:val="sr-Latn-ME"/>
        </w:rPr>
        <w:t>)</w:t>
      </w:r>
      <w:r w:rsidR="00CD0F43" w:rsidRPr="00923467">
        <w:rPr>
          <w:rFonts w:cstheme="minorHAnsi"/>
          <w:lang w:val="sr-Latn-ME"/>
        </w:rPr>
        <w:t xml:space="preserve">, </w:t>
      </w:r>
      <w:r w:rsidR="00CD0F43" w:rsidRPr="003D6228">
        <w:rPr>
          <w:rFonts w:cstheme="minorHAnsi"/>
        </w:rPr>
        <w:t>Unija</w:t>
      </w:r>
      <w:r w:rsidR="00CD0F43" w:rsidRPr="00923467">
        <w:rPr>
          <w:rFonts w:cstheme="minorHAnsi"/>
          <w:lang w:val="sr-Latn-ME"/>
        </w:rPr>
        <w:t xml:space="preserve"> </w:t>
      </w:r>
      <w:r w:rsidR="00E8358A" w:rsidRPr="003D6228">
        <w:rPr>
          <w:rFonts w:cstheme="minorHAnsi"/>
        </w:rPr>
        <w:t>p</w:t>
      </w:r>
      <w:r w:rsidR="00CD0F43" w:rsidRPr="003D6228">
        <w:rPr>
          <w:rFonts w:cstheme="minorHAnsi"/>
        </w:rPr>
        <w:t>oslodavaca</w:t>
      </w:r>
      <w:r w:rsidR="00E719E0" w:rsidRPr="00923467">
        <w:rPr>
          <w:rFonts w:cstheme="minorHAnsi"/>
          <w:lang w:val="sr-Latn-ME"/>
        </w:rPr>
        <w:t xml:space="preserve"> (</w:t>
      </w:r>
      <w:r w:rsidR="00E719E0">
        <w:rPr>
          <w:rFonts w:cstheme="minorHAnsi"/>
        </w:rPr>
        <w:t>UP</w:t>
      </w:r>
      <w:r w:rsidR="00E719E0" w:rsidRPr="00923467">
        <w:rPr>
          <w:rFonts w:cstheme="minorHAnsi"/>
          <w:lang w:val="sr-Latn-ME"/>
        </w:rPr>
        <w:t>)</w:t>
      </w:r>
      <w:r w:rsidR="00CD0F43" w:rsidRPr="00923467">
        <w:rPr>
          <w:rFonts w:cstheme="minorHAnsi"/>
          <w:lang w:val="sr-Latn-ME"/>
        </w:rPr>
        <w:t xml:space="preserve">, </w:t>
      </w:r>
      <w:r>
        <w:rPr>
          <w:rFonts w:cstheme="minorHAnsi"/>
        </w:rPr>
        <w:t>Montenegro</w:t>
      </w:r>
      <w:r w:rsidRPr="00923467">
        <w:rPr>
          <w:rFonts w:cstheme="minorHAnsi"/>
          <w:lang w:val="sr-Latn-ME"/>
        </w:rPr>
        <w:t xml:space="preserve"> </w:t>
      </w:r>
      <w:r>
        <w:rPr>
          <w:rFonts w:cstheme="minorHAnsi"/>
        </w:rPr>
        <w:t>Biznis</w:t>
      </w:r>
      <w:r w:rsidRPr="00923467">
        <w:rPr>
          <w:rFonts w:cstheme="minorHAnsi"/>
          <w:lang w:val="sr-Latn-ME"/>
        </w:rPr>
        <w:t xml:space="preserve"> </w:t>
      </w:r>
      <w:r>
        <w:rPr>
          <w:rFonts w:cstheme="minorHAnsi"/>
        </w:rPr>
        <w:t>Alijansa</w:t>
      </w:r>
      <w:r w:rsidRPr="00923467">
        <w:rPr>
          <w:rFonts w:cstheme="minorHAnsi"/>
          <w:lang w:val="sr-Latn-ME"/>
        </w:rPr>
        <w:t xml:space="preserve"> (</w:t>
      </w:r>
      <w:r w:rsidR="00CD0F43" w:rsidRPr="003D6228">
        <w:rPr>
          <w:rFonts w:cstheme="minorHAnsi"/>
        </w:rPr>
        <w:t>MBA</w:t>
      </w:r>
      <w:r w:rsidRPr="00923467">
        <w:rPr>
          <w:rFonts w:cstheme="minorHAnsi"/>
          <w:lang w:val="sr-Latn-ME"/>
        </w:rPr>
        <w:t>)</w:t>
      </w:r>
      <w:r w:rsidR="00CD0F43" w:rsidRPr="00923467">
        <w:rPr>
          <w:rFonts w:cstheme="minorHAnsi"/>
          <w:lang w:val="sr-Latn-ME"/>
        </w:rPr>
        <w:t xml:space="preserve">, </w:t>
      </w:r>
      <w:r w:rsidR="0051342F" w:rsidRPr="0051342F">
        <w:rPr>
          <w:rFonts w:cstheme="minorHAnsi"/>
        </w:rPr>
        <w:t>Udru</w:t>
      </w:r>
      <w:r w:rsidR="0051342F" w:rsidRPr="00923467">
        <w:rPr>
          <w:rFonts w:cstheme="minorHAnsi"/>
          <w:lang w:val="sr-Latn-ME"/>
        </w:rPr>
        <w:t>ž</w:t>
      </w:r>
      <w:r w:rsidR="0051342F" w:rsidRPr="0051342F">
        <w:rPr>
          <w:rFonts w:cstheme="minorHAnsi"/>
        </w:rPr>
        <w:t>enje</w:t>
      </w:r>
      <w:r w:rsidR="0051342F" w:rsidRPr="00923467">
        <w:rPr>
          <w:rFonts w:cstheme="minorHAnsi"/>
          <w:lang w:val="sr-Latn-ME"/>
        </w:rPr>
        <w:t xml:space="preserve"> </w:t>
      </w:r>
      <w:r w:rsidR="0051342F" w:rsidRPr="0051342F">
        <w:rPr>
          <w:rFonts w:cstheme="minorHAnsi"/>
        </w:rPr>
        <w:t>naftnih</w:t>
      </w:r>
      <w:r w:rsidR="0051342F" w:rsidRPr="00923467">
        <w:rPr>
          <w:rFonts w:cstheme="minorHAnsi"/>
          <w:lang w:val="sr-Latn-ME"/>
        </w:rPr>
        <w:t xml:space="preserve"> </w:t>
      </w:r>
      <w:r w:rsidR="0051342F" w:rsidRPr="0051342F">
        <w:rPr>
          <w:rFonts w:cstheme="minorHAnsi"/>
        </w:rPr>
        <w:t>kompanija</w:t>
      </w:r>
      <w:r w:rsidR="0051342F" w:rsidRPr="00923467">
        <w:rPr>
          <w:rFonts w:cstheme="minorHAnsi"/>
          <w:lang w:val="sr-Latn-ME"/>
        </w:rPr>
        <w:t xml:space="preserve"> </w:t>
      </w:r>
      <w:r w:rsidR="0051342F" w:rsidRPr="0051342F">
        <w:rPr>
          <w:rFonts w:cstheme="minorHAnsi"/>
        </w:rPr>
        <w:t>Crne</w:t>
      </w:r>
      <w:r w:rsidR="0051342F" w:rsidRPr="00923467">
        <w:rPr>
          <w:rFonts w:cstheme="minorHAnsi"/>
          <w:lang w:val="sr-Latn-ME"/>
        </w:rPr>
        <w:t xml:space="preserve"> </w:t>
      </w:r>
      <w:r w:rsidR="0051342F" w:rsidRPr="0051342F">
        <w:rPr>
          <w:rFonts w:cstheme="minorHAnsi"/>
        </w:rPr>
        <w:t>Gore</w:t>
      </w:r>
      <w:r w:rsidR="0051342F" w:rsidRPr="00923467">
        <w:rPr>
          <w:rFonts w:cstheme="minorHAnsi"/>
          <w:lang w:val="sr-Latn-ME"/>
        </w:rPr>
        <w:t xml:space="preserve"> (</w:t>
      </w:r>
      <w:r w:rsidR="00CD0F43" w:rsidRPr="003D6228">
        <w:rPr>
          <w:rFonts w:cstheme="minorHAnsi"/>
        </w:rPr>
        <w:t>UNK</w:t>
      </w:r>
      <w:r w:rsidR="00CD0F43" w:rsidRPr="00923467">
        <w:rPr>
          <w:rFonts w:cstheme="minorHAnsi"/>
          <w:lang w:val="sr-Latn-ME"/>
        </w:rPr>
        <w:t xml:space="preserve"> </w:t>
      </w:r>
      <w:r w:rsidR="00CD0F43" w:rsidRPr="003D6228">
        <w:rPr>
          <w:rFonts w:cstheme="minorHAnsi"/>
        </w:rPr>
        <w:t>CRNA</w:t>
      </w:r>
      <w:r w:rsidR="00CD0F43" w:rsidRPr="00923467">
        <w:rPr>
          <w:rFonts w:cstheme="minorHAnsi"/>
          <w:lang w:val="sr-Latn-ME"/>
        </w:rPr>
        <w:t xml:space="preserve"> </w:t>
      </w:r>
      <w:r w:rsidR="00CD0F43" w:rsidRPr="003D6228">
        <w:rPr>
          <w:rFonts w:cstheme="minorHAnsi"/>
        </w:rPr>
        <w:t>GORA</w:t>
      </w:r>
      <w:r w:rsidR="0051342F" w:rsidRPr="00923467">
        <w:rPr>
          <w:rFonts w:cstheme="minorHAnsi"/>
          <w:lang w:val="sr-Latn-ME"/>
        </w:rPr>
        <w:t>)</w:t>
      </w:r>
      <w:r w:rsidR="00E719E0" w:rsidRPr="00923467">
        <w:rPr>
          <w:rFonts w:cstheme="minorHAnsi"/>
          <w:lang w:val="sr-Latn-ME"/>
        </w:rPr>
        <w:t>.</w:t>
      </w:r>
    </w:p>
    <w:p w14:paraId="4BF13FB4" w14:textId="77777777" w:rsidR="008808D0" w:rsidRDefault="008808D0" w:rsidP="00FB1BD5">
      <w:pPr>
        <w:spacing w:after="120" w:line="240" w:lineRule="auto"/>
        <w:rPr>
          <w:rFonts w:asciiTheme="minorHAnsi" w:hAnsiTheme="minorHAnsi" w:cstheme="minorHAnsi"/>
        </w:rPr>
      </w:pPr>
    </w:p>
    <w:p w14:paraId="6F6B5398" w14:textId="16A8271D" w:rsidR="00FB1BD5" w:rsidRPr="00593418" w:rsidRDefault="00FB1BD5" w:rsidP="00FB1BD5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JAVNE INSTITUCIJE</w:t>
      </w:r>
    </w:p>
    <w:p w14:paraId="10F20A7C" w14:textId="71EA2734" w:rsidR="00FB1BD5" w:rsidRDefault="00FB1BD5" w:rsidP="00024A19">
      <w:pPr>
        <w:pStyle w:val="ListParagraph"/>
        <w:numPr>
          <w:ilvl w:val="0"/>
          <w:numId w:val="47"/>
        </w:numPr>
        <w:rPr>
          <w:rFonts w:cs="font332"/>
          <w:lang w:val="sr-Latn-ME"/>
        </w:rPr>
      </w:pPr>
      <w:r w:rsidRPr="00F14161">
        <w:rPr>
          <w:rFonts w:ascii="Calibri" w:hAnsi="Calibri" w:cstheme="minorHAnsi"/>
        </w:rPr>
        <w:t>Ministarstvo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ekonomije</w:t>
      </w:r>
      <w:r w:rsidRPr="00923467">
        <w:rPr>
          <w:rFonts w:ascii="Calibri" w:hAnsi="Calibri" w:cstheme="minorHAnsi"/>
          <w:lang w:val="sr-Latn-ME"/>
        </w:rPr>
        <w:t xml:space="preserve"> (</w:t>
      </w:r>
      <w:r w:rsidRPr="00F14161">
        <w:rPr>
          <w:rFonts w:ascii="Calibri" w:hAnsi="Calibri" w:cstheme="minorHAnsi"/>
        </w:rPr>
        <w:t>MEK</w:t>
      </w:r>
      <w:r w:rsidRPr="00923467">
        <w:rPr>
          <w:rFonts w:ascii="Calibri" w:hAnsi="Calibri" w:cstheme="minorHAnsi"/>
          <w:lang w:val="sr-Latn-ME"/>
        </w:rPr>
        <w:t xml:space="preserve">), </w:t>
      </w:r>
      <w:r w:rsidRPr="00F14161">
        <w:rPr>
          <w:rFonts w:ascii="Calibri" w:hAnsi="Calibri" w:cstheme="minorHAnsi"/>
        </w:rPr>
        <w:t>Ministarstvo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nauke</w:t>
      </w:r>
      <w:r w:rsidRPr="00923467">
        <w:rPr>
          <w:rFonts w:ascii="Calibri" w:hAnsi="Calibri" w:cstheme="minorHAnsi"/>
          <w:lang w:val="sr-Latn-ME"/>
        </w:rPr>
        <w:t xml:space="preserve"> (</w:t>
      </w:r>
      <w:r w:rsidRPr="00F14161">
        <w:rPr>
          <w:rFonts w:ascii="Calibri" w:hAnsi="Calibri" w:cstheme="minorHAnsi"/>
        </w:rPr>
        <w:t>MNA</w:t>
      </w:r>
      <w:r w:rsidRPr="00923467">
        <w:rPr>
          <w:rFonts w:ascii="Calibri" w:hAnsi="Calibri" w:cstheme="minorHAnsi"/>
          <w:lang w:val="sr-Latn-ME"/>
        </w:rPr>
        <w:t xml:space="preserve">), </w:t>
      </w:r>
      <w:r w:rsidRPr="00F14161">
        <w:rPr>
          <w:rFonts w:ascii="Calibri" w:hAnsi="Calibri" w:cstheme="minorHAnsi"/>
        </w:rPr>
        <w:t>Ministarstvo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javne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uprave</w:t>
      </w:r>
      <w:r w:rsidRPr="00923467">
        <w:rPr>
          <w:rFonts w:ascii="Calibri" w:hAnsi="Calibri" w:cstheme="minorHAnsi"/>
          <w:lang w:val="sr-Latn-ME"/>
        </w:rPr>
        <w:t xml:space="preserve"> (</w:t>
      </w:r>
      <w:r w:rsidRPr="00F14161">
        <w:rPr>
          <w:rFonts w:ascii="Calibri" w:hAnsi="Calibri" w:cstheme="minorHAnsi"/>
        </w:rPr>
        <w:t>MJU</w:t>
      </w:r>
      <w:r w:rsidRPr="00923467">
        <w:rPr>
          <w:rFonts w:ascii="Calibri" w:hAnsi="Calibri" w:cstheme="minorHAnsi"/>
          <w:lang w:val="sr-Latn-ME"/>
        </w:rPr>
        <w:t>)</w:t>
      </w:r>
      <w:r w:rsidR="001F17AC">
        <w:rPr>
          <w:rFonts w:ascii="Calibri" w:hAnsi="Calibri" w:cstheme="minorHAnsi"/>
          <w:lang w:val="sr-Latn-ME"/>
        </w:rPr>
        <w:t xml:space="preserve">, 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Ministarstvo</w:t>
      </w:r>
      <w:r w:rsidRPr="00923467">
        <w:rPr>
          <w:rFonts w:ascii="Calibri" w:hAnsi="Calibri" w:cstheme="minorHAnsi"/>
          <w:lang w:val="sr-Latn-ME"/>
        </w:rPr>
        <w:t xml:space="preserve"> </w:t>
      </w:r>
      <w:r w:rsidRPr="00F14161">
        <w:rPr>
          <w:rFonts w:ascii="Calibri" w:hAnsi="Calibri" w:cstheme="minorHAnsi"/>
        </w:rPr>
        <w:t>prosvjete</w:t>
      </w:r>
      <w:r w:rsidRPr="00923467">
        <w:rPr>
          <w:rFonts w:ascii="Calibri" w:hAnsi="Calibri" w:cstheme="minorHAnsi"/>
          <w:lang w:val="sr-Latn-ME"/>
        </w:rPr>
        <w:t xml:space="preserve"> (</w:t>
      </w:r>
      <w:r w:rsidRPr="00F14161">
        <w:rPr>
          <w:rFonts w:ascii="Calibri" w:hAnsi="Calibri" w:cstheme="minorHAnsi"/>
        </w:rPr>
        <w:t>MPV</w:t>
      </w:r>
      <w:r w:rsidRPr="00923467">
        <w:rPr>
          <w:rFonts w:ascii="Calibri" w:hAnsi="Calibri" w:cstheme="minorHAnsi"/>
          <w:lang w:val="sr-Latn-ME"/>
        </w:rPr>
        <w:t xml:space="preserve">), </w:t>
      </w:r>
      <w:r>
        <w:rPr>
          <w:rFonts w:cstheme="minorHAnsi"/>
        </w:rPr>
        <w:t>Ministarstvo</w:t>
      </w:r>
      <w:r w:rsidRPr="00923467">
        <w:rPr>
          <w:rFonts w:cstheme="minorHAnsi"/>
          <w:lang w:val="sr-Latn-ME"/>
        </w:rPr>
        <w:t xml:space="preserve"> </w:t>
      </w:r>
      <w:r>
        <w:rPr>
          <w:rFonts w:cstheme="minorHAnsi"/>
        </w:rPr>
        <w:t>odr</w:t>
      </w:r>
      <w:r w:rsidRPr="00923467">
        <w:rPr>
          <w:rFonts w:cstheme="minorHAnsi"/>
          <w:lang w:val="sr-Latn-ME"/>
        </w:rPr>
        <w:t>ž</w:t>
      </w:r>
      <w:r>
        <w:rPr>
          <w:rFonts w:cstheme="minorHAnsi"/>
        </w:rPr>
        <w:t>ivog</w:t>
      </w:r>
      <w:r w:rsidRPr="00923467">
        <w:rPr>
          <w:rFonts w:cstheme="minorHAnsi"/>
          <w:lang w:val="sr-Latn-ME"/>
        </w:rPr>
        <w:t xml:space="preserve"> </w:t>
      </w:r>
      <w:r>
        <w:rPr>
          <w:rFonts w:cstheme="minorHAnsi"/>
        </w:rPr>
        <w:t>razvoja</w:t>
      </w:r>
      <w:r w:rsidRPr="00923467">
        <w:rPr>
          <w:rFonts w:cstheme="minorHAnsi"/>
          <w:lang w:val="sr-Latn-ME"/>
        </w:rPr>
        <w:t xml:space="preserve"> </w:t>
      </w:r>
      <w:r w:rsidR="00DB40B7">
        <w:rPr>
          <w:rFonts w:cstheme="minorHAnsi"/>
        </w:rPr>
        <w:t>i</w:t>
      </w:r>
      <w:r w:rsidRPr="00923467">
        <w:rPr>
          <w:rFonts w:cstheme="minorHAnsi"/>
          <w:lang w:val="sr-Latn-ME"/>
        </w:rPr>
        <w:t xml:space="preserve"> </w:t>
      </w:r>
      <w:r>
        <w:rPr>
          <w:rFonts w:cstheme="minorHAnsi"/>
        </w:rPr>
        <w:t>turizma</w:t>
      </w:r>
      <w:r w:rsidRPr="00923467">
        <w:rPr>
          <w:rFonts w:cstheme="minorHAnsi"/>
          <w:lang w:val="sr-Latn-ME"/>
        </w:rPr>
        <w:t xml:space="preserve"> (</w:t>
      </w:r>
      <w:r w:rsidRPr="003D6228">
        <w:rPr>
          <w:rFonts w:cstheme="minorHAnsi"/>
        </w:rPr>
        <w:t>MORT</w:t>
      </w:r>
      <w:r w:rsidRPr="00923467">
        <w:rPr>
          <w:rFonts w:cstheme="minorHAnsi"/>
          <w:lang w:val="sr-Latn-ME"/>
        </w:rPr>
        <w:t>),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Regulatorna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agencija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za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energetiku</w:t>
      </w:r>
      <w:r w:rsidRPr="00923467">
        <w:rPr>
          <w:rFonts w:cs="font332"/>
          <w:lang w:val="sr-Latn-ME"/>
        </w:rPr>
        <w:t xml:space="preserve">, </w:t>
      </w:r>
      <w:r w:rsidRPr="00F14161">
        <w:rPr>
          <w:rFonts w:cs="font332"/>
        </w:rPr>
        <w:t>Crnogorski</w:t>
      </w:r>
      <w:r w:rsidRPr="00923467">
        <w:rPr>
          <w:rFonts w:cs="font332"/>
          <w:lang w:val="sr-Latn-ME"/>
        </w:rPr>
        <w:t xml:space="preserve"> </w:t>
      </w:r>
      <w:r w:rsidR="001F17AC" w:rsidRPr="00F14161">
        <w:rPr>
          <w:rFonts w:cs="font332"/>
        </w:rPr>
        <w:t>operat</w:t>
      </w:r>
      <w:r w:rsidR="001F17AC">
        <w:rPr>
          <w:rFonts w:cs="font332"/>
        </w:rPr>
        <w:t>e</w:t>
      </w:r>
      <w:r w:rsidR="001F17AC" w:rsidRPr="00F14161">
        <w:rPr>
          <w:rFonts w:cs="font332"/>
        </w:rPr>
        <w:t>r</w:t>
      </w:r>
      <w:r w:rsidR="001F17AC"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tr</w:t>
      </w:r>
      <w:r w:rsidRPr="00923467">
        <w:rPr>
          <w:rFonts w:cs="font332"/>
          <w:lang w:val="sr-Latn-ME"/>
        </w:rPr>
        <w:t>ž</w:t>
      </w:r>
      <w:r w:rsidRPr="00F14161">
        <w:rPr>
          <w:rFonts w:cs="font332"/>
        </w:rPr>
        <w:t>i</w:t>
      </w:r>
      <w:r w:rsidRPr="00923467">
        <w:rPr>
          <w:rFonts w:cs="font332"/>
          <w:lang w:val="sr-Latn-ME"/>
        </w:rPr>
        <w:t>š</w:t>
      </w:r>
      <w:r w:rsidRPr="00F14161">
        <w:rPr>
          <w:rFonts w:cs="font332"/>
        </w:rPr>
        <w:t>ta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elektri</w:t>
      </w:r>
      <w:r w:rsidRPr="00923467">
        <w:rPr>
          <w:rFonts w:cs="font332"/>
          <w:lang w:val="sr-Latn-ME"/>
        </w:rPr>
        <w:t>č</w:t>
      </w:r>
      <w:r w:rsidR="001F17AC">
        <w:rPr>
          <w:rFonts w:cs="font332"/>
          <w:lang w:val="sr-Latn-ME"/>
        </w:rPr>
        <w:t>n</w:t>
      </w:r>
      <w:r w:rsidRPr="00F14161">
        <w:rPr>
          <w:rFonts w:cs="font332"/>
        </w:rPr>
        <w:t>om</w:t>
      </w:r>
      <w:r w:rsidRPr="00923467">
        <w:rPr>
          <w:rFonts w:cs="font332"/>
          <w:lang w:val="sr-Latn-ME"/>
        </w:rPr>
        <w:t xml:space="preserve"> </w:t>
      </w:r>
      <w:r w:rsidRPr="00F14161">
        <w:rPr>
          <w:rFonts w:cs="font332"/>
        </w:rPr>
        <w:t>energijom</w:t>
      </w:r>
      <w:r w:rsidR="002D4A33" w:rsidRPr="00923467">
        <w:rPr>
          <w:rFonts w:cs="font332"/>
          <w:lang w:val="sr-Latn-ME"/>
        </w:rPr>
        <w:t>.</w:t>
      </w:r>
    </w:p>
    <w:p w14:paraId="3EEEF485" w14:textId="77777777" w:rsidR="008808D0" w:rsidRPr="008808D0" w:rsidRDefault="008808D0" w:rsidP="008808D0">
      <w:pPr>
        <w:pStyle w:val="ListParagraph"/>
        <w:rPr>
          <w:rFonts w:cs="font332"/>
          <w:lang w:val="sr-Latn-ME"/>
        </w:rPr>
      </w:pPr>
    </w:p>
    <w:p w14:paraId="3879CD25" w14:textId="77777777" w:rsidR="00CD0F43" w:rsidRPr="00593418" w:rsidRDefault="00CD0F43" w:rsidP="00F17001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CIVILNI SEKTOR</w:t>
      </w:r>
    </w:p>
    <w:p w14:paraId="33BFDCDC" w14:textId="4755C6E9" w:rsidR="00CD0F43" w:rsidRPr="00923467" w:rsidRDefault="00CD0F43" w:rsidP="00024A19">
      <w:pPr>
        <w:pStyle w:val="ListParagraph"/>
        <w:numPr>
          <w:ilvl w:val="0"/>
          <w:numId w:val="47"/>
        </w:numPr>
        <w:rPr>
          <w:rFonts w:cstheme="minorHAnsi"/>
          <w:lang w:val="sr-Latn-ME"/>
        </w:rPr>
      </w:pPr>
      <w:r w:rsidRPr="00024A19">
        <w:t>Akademija</w:t>
      </w:r>
      <w:r w:rsidRPr="00923467">
        <w:rPr>
          <w:lang w:val="sr-Latn-ME"/>
        </w:rPr>
        <w:t xml:space="preserve"> </w:t>
      </w:r>
      <w:r w:rsidRPr="00024A19">
        <w:t>in</w:t>
      </w:r>
      <w:r w:rsidRPr="00923467">
        <w:rPr>
          <w:lang w:val="sr-Latn-ME"/>
        </w:rPr>
        <w:t>ž</w:t>
      </w:r>
      <w:r w:rsidRPr="00024A19">
        <w:t>enjerskih</w:t>
      </w:r>
      <w:r w:rsidRPr="00923467">
        <w:rPr>
          <w:lang w:val="sr-Latn-ME"/>
        </w:rPr>
        <w:t xml:space="preserve"> </w:t>
      </w:r>
      <w:r w:rsidRPr="00024A19">
        <w:t>nauka</w:t>
      </w:r>
      <w:r w:rsidRPr="00923467">
        <w:rPr>
          <w:lang w:val="sr-Latn-ME"/>
        </w:rPr>
        <w:t xml:space="preserve">, </w:t>
      </w:r>
      <w:r w:rsidR="002D4A33">
        <w:t>Me</w:t>
      </w:r>
      <w:r w:rsidR="002D4A33" w:rsidRPr="00923467">
        <w:rPr>
          <w:lang w:val="sr-Latn-ME"/>
        </w:rPr>
        <w:t>đ</w:t>
      </w:r>
      <w:r w:rsidR="002D4A33">
        <w:t>unarodno</w:t>
      </w:r>
      <w:r w:rsidR="002D4A33" w:rsidRPr="00923467">
        <w:rPr>
          <w:lang w:val="sr-Latn-ME"/>
        </w:rPr>
        <w:t xml:space="preserve"> </w:t>
      </w:r>
      <w:r w:rsidR="002D4A33">
        <w:t>vije</w:t>
      </w:r>
      <w:r w:rsidR="002D4A33" w:rsidRPr="00923467">
        <w:rPr>
          <w:lang w:val="sr-Latn-ME"/>
        </w:rPr>
        <w:t>ć</w:t>
      </w:r>
      <w:r w:rsidR="002D4A33">
        <w:t>e</w:t>
      </w:r>
      <w:r w:rsidR="002D4A33" w:rsidRPr="00923467">
        <w:rPr>
          <w:lang w:val="sr-Latn-ME"/>
        </w:rPr>
        <w:t xml:space="preserve"> </w:t>
      </w:r>
      <w:r w:rsidR="002D4A33">
        <w:t>za</w:t>
      </w:r>
      <w:r w:rsidR="002D4A33" w:rsidRPr="00923467">
        <w:rPr>
          <w:lang w:val="sr-Latn-ME"/>
        </w:rPr>
        <w:t xml:space="preserve"> </w:t>
      </w:r>
      <w:r w:rsidR="002D4A33">
        <w:t>velike</w:t>
      </w:r>
      <w:r w:rsidR="002D4A33" w:rsidRPr="00923467">
        <w:rPr>
          <w:lang w:val="sr-Latn-ME"/>
        </w:rPr>
        <w:t xml:space="preserve"> </w:t>
      </w:r>
      <w:r w:rsidR="002D4A33">
        <w:t>elektri</w:t>
      </w:r>
      <w:r w:rsidR="002D4A33" w:rsidRPr="00923467">
        <w:rPr>
          <w:lang w:val="sr-Latn-ME"/>
        </w:rPr>
        <w:t>č</w:t>
      </w:r>
      <w:r w:rsidR="002D4A33">
        <w:t>ne</w:t>
      </w:r>
      <w:r w:rsidR="002D4A33" w:rsidRPr="00923467">
        <w:rPr>
          <w:lang w:val="sr-Latn-ME"/>
        </w:rPr>
        <w:t xml:space="preserve"> </w:t>
      </w:r>
      <w:r w:rsidR="002D4A33">
        <w:t>mre</w:t>
      </w:r>
      <w:r w:rsidR="002D4A33" w:rsidRPr="00923467">
        <w:rPr>
          <w:lang w:val="sr-Latn-ME"/>
        </w:rPr>
        <w:t>ž</w:t>
      </w:r>
      <w:r w:rsidR="002D4A33">
        <w:t>e</w:t>
      </w:r>
      <w:r w:rsidR="002D4A33" w:rsidRPr="00923467">
        <w:rPr>
          <w:lang w:val="sr-Latn-ME"/>
        </w:rPr>
        <w:t xml:space="preserve"> (</w:t>
      </w:r>
      <w:r w:rsidR="002D4A33">
        <w:t>Conseil</w:t>
      </w:r>
      <w:r w:rsidR="002D4A33" w:rsidRPr="00923467">
        <w:rPr>
          <w:lang w:val="sr-Latn-ME"/>
        </w:rPr>
        <w:t xml:space="preserve"> </w:t>
      </w:r>
      <w:r w:rsidR="002D4A33">
        <w:t>International</w:t>
      </w:r>
      <w:r w:rsidR="002D4A33" w:rsidRPr="00923467">
        <w:rPr>
          <w:lang w:val="sr-Latn-ME"/>
        </w:rPr>
        <w:t xml:space="preserve"> </w:t>
      </w:r>
      <w:r w:rsidR="002D4A33">
        <w:t>des</w:t>
      </w:r>
      <w:r w:rsidR="002D4A33" w:rsidRPr="00923467">
        <w:rPr>
          <w:lang w:val="sr-Latn-ME"/>
        </w:rPr>
        <w:t xml:space="preserve"> </w:t>
      </w:r>
      <w:r w:rsidR="002D4A33">
        <w:t>Grands</w:t>
      </w:r>
      <w:r w:rsidR="002D4A33" w:rsidRPr="00923467">
        <w:rPr>
          <w:lang w:val="sr-Latn-ME"/>
        </w:rPr>
        <w:t xml:space="preserve"> </w:t>
      </w:r>
      <w:r w:rsidR="002D4A33">
        <w:t>R</w:t>
      </w:r>
      <w:r w:rsidR="002D4A33" w:rsidRPr="00923467">
        <w:rPr>
          <w:lang w:val="sr-Latn-ME"/>
        </w:rPr>
        <w:t>é</w:t>
      </w:r>
      <w:r w:rsidR="002D4A33">
        <w:t>seaux</w:t>
      </w:r>
      <w:r w:rsidR="002D4A33" w:rsidRPr="00923467">
        <w:rPr>
          <w:lang w:val="sr-Latn-ME"/>
        </w:rPr>
        <w:t xml:space="preserve"> É</w:t>
      </w:r>
      <w:r w:rsidR="002D4A33">
        <w:t>lectriques</w:t>
      </w:r>
      <w:r w:rsidR="002D4A33" w:rsidRPr="00923467">
        <w:rPr>
          <w:lang w:val="sr-Latn-ME"/>
        </w:rPr>
        <w:t xml:space="preserve"> </w:t>
      </w:r>
      <w:r w:rsidRPr="00024A19">
        <w:t>CG</w:t>
      </w:r>
      <w:r w:rsidRPr="00923467">
        <w:rPr>
          <w:lang w:val="sr-Latn-ME"/>
        </w:rPr>
        <w:t xml:space="preserve"> </w:t>
      </w:r>
      <w:r w:rsidRPr="00024A19">
        <w:t>KO</w:t>
      </w:r>
      <w:r w:rsidRPr="00923467">
        <w:rPr>
          <w:lang w:val="sr-Latn-ME"/>
        </w:rPr>
        <w:t xml:space="preserve"> </w:t>
      </w:r>
      <w:r w:rsidRPr="00024A19">
        <w:t>CIGRE</w:t>
      </w:r>
      <w:r w:rsidR="002D4A33" w:rsidRPr="00923467">
        <w:rPr>
          <w:lang w:val="sr-Latn-ME"/>
        </w:rPr>
        <w:t>).</w:t>
      </w:r>
    </w:p>
    <w:p w14:paraId="181F870A" w14:textId="5DC9BCA1" w:rsidR="003D6228" w:rsidRDefault="003D6228" w:rsidP="00F14161">
      <w:pPr>
        <w:pStyle w:val="ListParagraph"/>
        <w:rPr>
          <w:rFonts w:cstheme="minorHAnsi"/>
          <w:lang w:val="sr-Latn-ME"/>
        </w:rPr>
      </w:pPr>
    </w:p>
    <w:p w14:paraId="1F565205" w14:textId="77777777" w:rsidR="00363582" w:rsidRPr="00923467" w:rsidRDefault="00363582" w:rsidP="00F14161">
      <w:pPr>
        <w:pStyle w:val="ListParagraph"/>
        <w:rPr>
          <w:rFonts w:cstheme="minorHAnsi"/>
          <w:lang w:val="sr-Latn-ME"/>
        </w:rPr>
      </w:pPr>
    </w:p>
    <w:p w14:paraId="6288A449" w14:textId="7CDAD34C" w:rsidR="00CD0F43" w:rsidRPr="00363582" w:rsidRDefault="00305A2C" w:rsidP="00363582">
      <w:pPr>
        <w:jc w:val="center"/>
        <w:rPr>
          <w:rFonts w:asciiTheme="majorHAnsi" w:hAnsiTheme="majorHAnsi" w:cstheme="minorHAnsi"/>
          <w:b/>
        </w:rPr>
      </w:pPr>
      <w:r w:rsidRPr="00363582">
        <w:rPr>
          <w:b/>
        </w:rPr>
        <w:t>Sinergijski efekat u odnosu na ostale prioritetne sektore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93"/>
        <w:gridCol w:w="6063"/>
      </w:tblGrid>
      <w:tr w:rsidR="00305A2C" w:rsidRPr="009D3CA3" w14:paraId="57EF52B3" w14:textId="77777777" w:rsidTr="00C577DE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C72" w14:textId="77777777" w:rsidR="00305A2C" w:rsidRPr="00305A2C" w:rsidRDefault="00305A2C" w:rsidP="00C577DE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7481" w14:textId="3196E23D" w:rsidR="00305A2C" w:rsidRPr="00C577DE" w:rsidRDefault="00305A2C" w:rsidP="00C577DE">
            <w:pPr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>Obnovljivi izvori energije</w:t>
            </w:r>
            <w:r w:rsidR="00E839F4">
              <w:rPr>
                <w:rFonts w:asciiTheme="minorHAnsi" w:hAnsiTheme="minorHAnsi" w:cstheme="minorHAnsi"/>
                <w:b/>
                <w:bCs/>
                <w:lang w:val="hr-HR"/>
              </w:rPr>
              <w:t xml:space="preserve"> i energetska efikasnost</w:t>
            </w:r>
          </w:p>
        </w:tc>
      </w:tr>
      <w:tr w:rsidR="00305A2C" w:rsidRPr="009D3CA3" w14:paraId="457D3FA7" w14:textId="77777777" w:rsidTr="00C577DE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9511" w14:textId="77777777" w:rsidR="00305A2C" w:rsidRPr="00C577DE" w:rsidRDefault="00305A2C" w:rsidP="00C577DE">
            <w:pPr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>Održiva poljoprivreda i lanac vrijednosti hrane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6034" w14:textId="77777777" w:rsidR="00305A2C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Energetski efikasno i pametno upravljanje poljoprivrednom proizvodnjom</w:t>
            </w:r>
          </w:p>
          <w:p w14:paraId="789468B6" w14:textId="1C31137C" w:rsidR="00E051CD" w:rsidRPr="00C577DE" w:rsidRDefault="00E051CD" w:rsidP="005B5889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cstheme="minorHAnsi"/>
                <w:lang w:val="hr-HR"/>
              </w:rPr>
              <w:t xml:space="preserve">Efikasno korišćenje </w:t>
            </w:r>
            <w:r w:rsidR="00C30B3F">
              <w:rPr>
                <w:rFonts w:cstheme="minorHAnsi"/>
                <w:lang w:val="hr-HR"/>
              </w:rPr>
              <w:t>otpada</w:t>
            </w:r>
            <w:r w:rsidRPr="00C577DE">
              <w:rPr>
                <w:rFonts w:cstheme="minorHAnsi"/>
                <w:lang w:val="hr-HR"/>
              </w:rPr>
              <w:t xml:space="preserve"> </w:t>
            </w:r>
            <w:r w:rsidR="003F22D2">
              <w:rPr>
                <w:rFonts w:cstheme="minorHAnsi"/>
                <w:lang w:val="hr-HR"/>
              </w:rPr>
              <w:t>biomase</w:t>
            </w:r>
            <w:r w:rsidR="003F22D2" w:rsidRPr="00C577DE">
              <w:rPr>
                <w:rFonts w:cstheme="minorHAnsi"/>
                <w:lang w:val="hr-HR"/>
              </w:rPr>
              <w:t xml:space="preserve"> </w:t>
            </w:r>
            <w:r w:rsidRPr="00C577DE">
              <w:rPr>
                <w:rFonts w:cstheme="minorHAnsi"/>
                <w:lang w:val="hr-HR"/>
              </w:rPr>
              <w:t>kao energenta</w:t>
            </w:r>
          </w:p>
          <w:p w14:paraId="20D2791E" w14:textId="77777777" w:rsidR="00305A2C" w:rsidRPr="00C577DE" w:rsidRDefault="00305A2C" w:rsidP="00C577DE">
            <w:pPr>
              <w:pStyle w:val="ListParagraph"/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</w:p>
        </w:tc>
      </w:tr>
      <w:tr w:rsidR="00305A2C" w:rsidRPr="009D3CA3" w14:paraId="19178240" w14:textId="77777777" w:rsidTr="00C577DE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B5A5" w14:textId="77777777" w:rsidR="00305A2C" w:rsidRPr="00C577DE" w:rsidRDefault="00305A2C" w:rsidP="00C577DE">
            <w:pPr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>Novi materijali i održive tehnologije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95F" w14:textId="77777777" w:rsidR="00E051CD" w:rsidRPr="00923467" w:rsidRDefault="00E051CD">
            <w:pPr>
              <w:pStyle w:val="ListParagraph"/>
              <w:numPr>
                <w:ilvl w:val="0"/>
                <w:numId w:val="26"/>
              </w:numPr>
              <w:spacing w:before="0" w:after="0"/>
              <w:ind w:left="679" w:hanging="284"/>
              <w:jc w:val="left"/>
              <w:rPr>
                <w:rFonts w:eastAsia="Times New Roman" w:cstheme="majorHAnsi"/>
                <w:lang w:val="hr-HR" w:eastAsia="en-GB"/>
              </w:rPr>
            </w:pPr>
            <w:r>
              <w:rPr>
                <w:rFonts w:eastAsia="Times New Roman" w:cstheme="majorHAnsi"/>
                <w:lang w:val="hr-HR" w:eastAsia="en-GB"/>
              </w:rPr>
              <w:t xml:space="preserve">Primjena savremenih materijala i tehnologija za </w:t>
            </w:r>
            <w:r>
              <w:rPr>
                <w:rFonts w:cstheme="minorHAnsi"/>
                <w:lang w:val="hr-HR"/>
              </w:rPr>
              <w:t>proizvodnju i prenos električne energije</w:t>
            </w:r>
          </w:p>
          <w:p w14:paraId="1CE85BD3" w14:textId="39C355D4" w:rsidR="00071F4A" w:rsidRPr="00C577DE" w:rsidRDefault="00071F4A" w:rsidP="00071F4A">
            <w:pPr>
              <w:pStyle w:val="ListParagraph"/>
              <w:numPr>
                <w:ilvl w:val="0"/>
                <w:numId w:val="26"/>
              </w:numPr>
              <w:spacing w:before="0" w:after="0"/>
              <w:ind w:left="679" w:hanging="284"/>
              <w:jc w:val="left"/>
              <w:rPr>
                <w:rFonts w:eastAsia="Times New Roman" w:cstheme="majorHAnsi"/>
                <w:lang w:val="hr-HR" w:eastAsia="en-GB"/>
              </w:rPr>
            </w:pPr>
            <w:r>
              <w:rPr>
                <w:rFonts w:cstheme="minorHAnsi"/>
                <w:lang w:val="hr-HR"/>
              </w:rPr>
              <w:t xml:space="preserve">Energetska efikasnost </w:t>
            </w:r>
            <w:r w:rsidR="00AE6E36">
              <w:rPr>
                <w:rFonts w:cstheme="minorHAnsi"/>
                <w:lang w:val="hr-HR"/>
              </w:rPr>
              <w:t xml:space="preserve">građevinskih </w:t>
            </w:r>
            <w:r>
              <w:rPr>
                <w:rFonts w:cstheme="minorHAnsi"/>
                <w:lang w:val="hr-HR"/>
              </w:rPr>
              <w:t>objekata</w:t>
            </w:r>
          </w:p>
        </w:tc>
      </w:tr>
      <w:tr w:rsidR="00AE6E36" w:rsidRPr="001B151A" w14:paraId="7B8787A4" w14:textId="77777777" w:rsidTr="00AC47E2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A1EC" w14:textId="77777777" w:rsidR="00AE6E36" w:rsidRPr="00C577DE" w:rsidRDefault="00AE6E36" w:rsidP="00AC47E2">
            <w:pPr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>Održivi i zdravstveni turizam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8476" w14:textId="73BD2966" w:rsidR="00AE6E36" w:rsidRPr="00F203C3" w:rsidRDefault="00F203C3" w:rsidP="00F203C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eastAsia="Times New Roman" w:cstheme="majorHAnsi"/>
                <w:lang w:val="hr-HR" w:eastAsia="en-GB"/>
              </w:rPr>
            </w:pPr>
            <w:r w:rsidRPr="00F203C3">
              <w:rPr>
                <w:rFonts w:eastAsia="Times New Roman" w:cstheme="majorHAnsi"/>
                <w:lang w:val="hr-HR" w:eastAsia="en-GB"/>
              </w:rPr>
              <w:t>Energetska efikasnost turističkih i zdravstvenih objekata</w:t>
            </w:r>
            <w:r w:rsidR="00AE6E36" w:rsidRPr="00F203C3">
              <w:rPr>
                <w:rFonts w:eastAsia="Times New Roman" w:cstheme="majorHAnsi"/>
                <w:lang w:val="hr-HR" w:eastAsia="en-GB"/>
              </w:rPr>
              <w:t xml:space="preserve"> </w:t>
            </w:r>
          </w:p>
        </w:tc>
      </w:tr>
      <w:tr w:rsidR="00305A2C" w:rsidRPr="009D3CA3" w14:paraId="6B7E265A" w14:textId="77777777" w:rsidTr="00C577DE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8780" w14:textId="77777777" w:rsidR="00305A2C" w:rsidRPr="00C577DE" w:rsidRDefault="00305A2C" w:rsidP="00C577DE">
            <w:pPr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>ICT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0075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Optimalno upravljanje elektro energetskim sistemima i mrežama</w:t>
            </w:r>
          </w:p>
          <w:p w14:paraId="637962DE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Prenosi energije i podataka</w:t>
            </w:r>
          </w:p>
          <w:p w14:paraId="42D2BABC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 xml:space="preserve">Upravljanje podacima za pametno korišćenje izvora energije ili angažovanje mrežnih kapaciteta </w:t>
            </w:r>
          </w:p>
          <w:p w14:paraId="2952A134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Sajber bezbijednost</w:t>
            </w:r>
          </w:p>
          <w:p w14:paraId="61FF18BD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 w:line="259" w:lineRule="auto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 xml:space="preserve">Pametni energetski sistemi - pametni transport energije i informacija </w:t>
            </w:r>
          </w:p>
          <w:p w14:paraId="1264E421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Pametna trgovina i upravljanje električnom energijom – berza energije</w:t>
            </w:r>
          </w:p>
          <w:p w14:paraId="439074D2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 w:line="259" w:lineRule="auto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 xml:space="preserve">Upravljanje podacima o energetskim istraživanjima o stanju i potencijalu u energetici </w:t>
            </w:r>
          </w:p>
          <w:p w14:paraId="17DE63EC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 w:line="259" w:lineRule="auto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Razvoj sistema poslovne inteligencije u energetici.</w:t>
            </w:r>
          </w:p>
          <w:p w14:paraId="49AC2116" w14:textId="77777777" w:rsidR="00305A2C" w:rsidRPr="00C577DE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 w:line="259" w:lineRule="auto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Zeleni ICT</w:t>
            </w:r>
          </w:p>
        </w:tc>
      </w:tr>
    </w:tbl>
    <w:p w14:paraId="5467B9A2" w14:textId="77777777" w:rsidR="008808D0" w:rsidRDefault="008808D0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p w14:paraId="5994828B" w14:textId="77777777" w:rsidR="008808D0" w:rsidRDefault="008808D0">
      <w:p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55CD1D9" w14:textId="6793F6A9" w:rsidR="00CD0F43" w:rsidRDefault="003D633A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C577DE">
        <w:rPr>
          <w:rFonts w:asciiTheme="minorHAnsi" w:hAnsiTheme="minorHAnsi" w:cstheme="minorHAnsi"/>
          <w:b/>
        </w:rPr>
        <w:lastRenderedPageBreak/>
        <w:t>KLJUČNI INDIKATORI</w:t>
      </w:r>
    </w:p>
    <w:p w14:paraId="326A90B4" w14:textId="77777777" w:rsidR="008808D0" w:rsidRPr="00C577DE" w:rsidRDefault="008808D0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1915"/>
        <w:gridCol w:w="1915"/>
      </w:tblGrid>
      <w:tr w:rsidR="00CD0F43" w:rsidRPr="00C577DE" w14:paraId="182F1181" w14:textId="77777777" w:rsidTr="00CD0F43">
        <w:trPr>
          <w:trHeight w:val="616"/>
          <w:jc w:val="center"/>
        </w:trPr>
        <w:tc>
          <w:tcPr>
            <w:tcW w:w="3066" w:type="dxa"/>
          </w:tcPr>
          <w:p w14:paraId="04EB6048" w14:textId="77777777" w:rsidR="00CD0F43" w:rsidRPr="00C577DE" w:rsidRDefault="00CD0F43" w:rsidP="00F17001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C577DE">
              <w:rPr>
                <w:rFonts w:asciiTheme="minorHAnsi" w:eastAsia="Times New Roman" w:hAnsiTheme="minorHAnsi" w:cstheme="minorHAnsi"/>
                <w:b/>
                <w:lang w:eastAsia="en-GB"/>
              </w:rPr>
              <w:t>Indikator</w:t>
            </w:r>
          </w:p>
        </w:tc>
        <w:tc>
          <w:tcPr>
            <w:tcW w:w="1915" w:type="dxa"/>
          </w:tcPr>
          <w:p w14:paraId="54D953BE" w14:textId="11D11078" w:rsidR="00CD0F43" w:rsidRPr="00C577DE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 w:rsidRPr="00C577DE">
              <w:rPr>
                <w:rFonts w:asciiTheme="minorHAnsi" w:hAnsiTheme="minorHAnsi" w:cstheme="minorHAnsi"/>
                <w:b/>
                <w:lang w:eastAsia="en-GB"/>
              </w:rPr>
              <w:t>2018</w:t>
            </w:r>
            <w:r w:rsidR="00E8358A" w:rsidRPr="00C577DE">
              <w:rPr>
                <w:rFonts w:asciiTheme="minorHAnsi" w:hAnsiTheme="minorHAnsi" w:cstheme="minorHAnsi"/>
                <w:b/>
                <w:lang w:eastAsia="en-GB"/>
              </w:rPr>
              <w:t>.</w:t>
            </w:r>
          </w:p>
        </w:tc>
        <w:tc>
          <w:tcPr>
            <w:tcW w:w="1915" w:type="dxa"/>
          </w:tcPr>
          <w:p w14:paraId="306E7298" w14:textId="3EB2DCBE" w:rsidR="00CD0F43" w:rsidRPr="00C577DE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lang w:eastAsia="en-GB"/>
              </w:rPr>
            </w:pPr>
            <w:r w:rsidRPr="00C577DE">
              <w:rPr>
                <w:rFonts w:asciiTheme="minorHAnsi" w:hAnsiTheme="minorHAnsi" w:cstheme="minorHAnsi"/>
                <w:b/>
                <w:lang w:eastAsia="en-GB"/>
              </w:rPr>
              <w:t>2024</w:t>
            </w:r>
            <w:r w:rsidR="00E8358A" w:rsidRPr="00C577DE">
              <w:rPr>
                <w:rFonts w:asciiTheme="minorHAnsi" w:hAnsiTheme="minorHAnsi" w:cstheme="minorHAnsi"/>
                <w:b/>
                <w:lang w:eastAsia="en-GB"/>
              </w:rPr>
              <w:t>.</w:t>
            </w:r>
          </w:p>
        </w:tc>
      </w:tr>
      <w:tr w:rsidR="00CD0F43" w:rsidRPr="00C577DE" w14:paraId="5797B8AD" w14:textId="77777777" w:rsidTr="00CD0F43">
        <w:trPr>
          <w:jc w:val="center"/>
        </w:trPr>
        <w:tc>
          <w:tcPr>
            <w:tcW w:w="3066" w:type="dxa"/>
          </w:tcPr>
          <w:p w14:paraId="60BF44FF" w14:textId="77777777" w:rsidR="00CD0F43" w:rsidRPr="00C577DE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C577DE">
              <w:rPr>
                <w:rFonts w:asciiTheme="minorHAnsi" w:eastAsia="Times New Roman" w:hAnsiTheme="minorHAnsi" w:cstheme="minorHAnsi"/>
                <w:lang w:eastAsia="en-GB"/>
              </w:rPr>
              <w:t>Povećanje proizvodnje iz OIE u odnosu na finalnu potrošnju</w:t>
            </w:r>
          </w:p>
        </w:tc>
        <w:tc>
          <w:tcPr>
            <w:tcW w:w="1915" w:type="dxa"/>
          </w:tcPr>
          <w:p w14:paraId="24C6E140" w14:textId="77777777" w:rsidR="00CD0F43" w:rsidRPr="00C577DE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C577DE">
              <w:rPr>
                <w:rFonts w:asciiTheme="minorHAnsi" w:hAnsiTheme="minorHAnsi" w:cstheme="minorHAnsi"/>
              </w:rPr>
              <w:t>33% (2017)</w:t>
            </w:r>
          </w:p>
        </w:tc>
        <w:tc>
          <w:tcPr>
            <w:tcW w:w="1915" w:type="dxa"/>
          </w:tcPr>
          <w:p w14:paraId="7CBC1C54" w14:textId="77777777" w:rsidR="00CD0F43" w:rsidRPr="00C577DE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C577DE">
              <w:rPr>
                <w:rFonts w:asciiTheme="minorHAnsi" w:hAnsiTheme="minorHAnsi" w:cstheme="minorHAnsi"/>
              </w:rPr>
              <w:t>43%</w:t>
            </w:r>
          </w:p>
        </w:tc>
      </w:tr>
      <w:tr w:rsidR="00CD0F43" w:rsidRPr="00C577DE" w14:paraId="30ADE3AD" w14:textId="77777777" w:rsidTr="00CD0F43">
        <w:trPr>
          <w:jc w:val="center"/>
        </w:trPr>
        <w:tc>
          <w:tcPr>
            <w:tcW w:w="3066" w:type="dxa"/>
          </w:tcPr>
          <w:p w14:paraId="7294AFEB" w14:textId="77777777" w:rsidR="00CD0F43" w:rsidRPr="00C577DE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C577DE">
              <w:rPr>
                <w:rFonts w:asciiTheme="minorHAnsi" w:hAnsiTheme="minorHAnsi" w:cstheme="minorHAnsi"/>
              </w:rPr>
              <w:t>EEER – Indikator energetske efikasnosti u stambenim i javnim objektime</w:t>
            </w:r>
          </w:p>
        </w:tc>
        <w:tc>
          <w:tcPr>
            <w:tcW w:w="1915" w:type="dxa"/>
          </w:tcPr>
          <w:p w14:paraId="4D2DB9DD" w14:textId="77777777" w:rsidR="00CD0F43" w:rsidRPr="00C577DE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C577DE">
              <w:rPr>
                <w:rFonts w:asciiTheme="minorHAnsi" w:hAnsiTheme="minorHAnsi" w:cstheme="minorHAnsi"/>
              </w:rPr>
              <w:t>240 kWh/m2</w:t>
            </w:r>
          </w:p>
        </w:tc>
        <w:tc>
          <w:tcPr>
            <w:tcW w:w="1915" w:type="dxa"/>
          </w:tcPr>
          <w:p w14:paraId="6E4037E9" w14:textId="77777777" w:rsidR="00CD0F43" w:rsidRPr="00C577DE" w:rsidRDefault="00CD0F43" w:rsidP="00F17001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C577DE">
              <w:rPr>
                <w:rFonts w:asciiTheme="minorHAnsi" w:hAnsiTheme="minorHAnsi" w:cstheme="minorHAnsi"/>
              </w:rPr>
              <w:t>190 kWh/m2</w:t>
            </w:r>
          </w:p>
        </w:tc>
      </w:tr>
    </w:tbl>
    <w:p w14:paraId="2569FD85" w14:textId="43AC7431" w:rsidR="00FF6BED" w:rsidRDefault="00FF6BED" w:rsidP="00CD0F43"/>
    <w:p w14:paraId="2D01FA2B" w14:textId="1E02F9A5" w:rsidR="00CD0F43" w:rsidRPr="00593418" w:rsidRDefault="00253B54" w:rsidP="00A327C7">
      <w:pPr>
        <w:pStyle w:val="Heading2"/>
      </w:pPr>
      <w:bookmarkStart w:id="40" w:name="_Toc529890094"/>
      <w:bookmarkStart w:id="41" w:name="_Toc530143289"/>
      <w:r w:rsidRPr="00593418">
        <w:t>VI</w:t>
      </w:r>
      <w:r w:rsidR="00826F04">
        <w:t xml:space="preserve"> </w:t>
      </w:r>
      <w:r w:rsidR="00B078A4" w:rsidRPr="00593418">
        <w:t xml:space="preserve">4. </w:t>
      </w:r>
      <w:r w:rsidR="00CD0F43" w:rsidRPr="00593418">
        <w:t>ODRŽIVI I ZDRAVSTVENI TURIZAM</w:t>
      </w:r>
      <w:bookmarkEnd w:id="40"/>
      <w:bookmarkEnd w:id="41"/>
    </w:p>
    <w:p w14:paraId="68E053C2" w14:textId="77777777" w:rsidR="00360197" w:rsidRPr="00593418" w:rsidRDefault="00360197" w:rsidP="00CD0F43">
      <w:pPr>
        <w:spacing w:after="160" w:line="259" w:lineRule="auto"/>
        <w:rPr>
          <w:rFonts w:asciiTheme="majorHAnsi" w:hAnsiTheme="majorHAnsi" w:cs="Calibri"/>
        </w:rPr>
      </w:pPr>
    </w:p>
    <w:p w14:paraId="1BC77E91" w14:textId="61F39770" w:rsidR="00CD0F43" w:rsidRPr="00593418" w:rsidRDefault="00CD0F43" w:rsidP="00F1700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Turizam iz godine u godinu sve snažnije opravdava ulogu strateške privredne grane, posebno imajući u vidu činjenicu da njegovo ukupno učešće u BDP</w:t>
      </w:r>
      <w:r w:rsidR="004A41EA">
        <w:rPr>
          <w:rFonts w:asciiTheme="minorHAnsi" w:hAnsiTheme="minorHAnsi" w:cstheme="minorHAnsi"/>
        </w:rPr>
        <w:t>-u</w:t>
      </w:r>
      <w:r w:rsidRPr="00593418">
        <w:rPr>
          <w:rFonts w:asciiTheme="minorHAnsi" w:hAnsiTheme="minorHAnsi" w:cstheme="minorHAnsi"/>
        </w:rPr>
        <w:t xml:space="preserve"> kontinuirano raste (23,6% u 2017. godini – izvor Svjetski savjet za putovanja i turizam), što je slučaj i sa ostalim pokazateljima - broj turista, ostvarenih noćenja, te prihoda iz ovog sektora. U odnosu na 2010. godinu, prihodi i broj noćenja su porasli za 50%. Prihodi od turizma su u p</w:t>
      </w:r>
      <w:r w:rsidR="00E8358A">
        <w:rPr>
          <w:rFonts w:asciiTheme="minorHAnsi" w:hAnsiTheme="minorHAnsi" w:cstheme="minorHAnsi"/>
        </w:rPr>
        <w:t>eriodu od 2013. do 2017. godine</w:t>
      </w:r>
      <w:r w:rsidRPr="00593418">
        <w:rPr>
          <w:rFonts w:asciiTheme="minorHAnsi" w:hAnsiTheme="minorHAnsi" w:cstheme="minorHAnsi"/>
        </w:rPr>
        <w:t xml:space="preserve"> porasli za  44,1%. </w:t>
      </w:r>
      <w:r w:rsidR="00E6480F" w:rsidRPr="00593418">
        <w:rPr>
          <w:rFonts w:asciiTheme="minorHAnsi" w:hAnsiTheme="minorHAnsi" w:cstheme="minorHAnsi"/>
        </w:rPr>
        <w:t xml:space="preserve">Sektor turizam je u 2017. godini, direktno i indirektno, generisao preko 19% od ukupne zaposlenosti. </w:t>
      </w:r>
      <w:r w:rsidRPr="00593418">
        <w:rPr>
          <w:rFonts w:asciiTheme="minorHAnsi" w:hAnsiTheme="minorHAnsi" w:cstheme="minorHAnsi"/>
        </w:rPr>
        <w:t xml:space="preserve">Prema procjenama Svjetskog savjeta za putovanja i turizam, za naredni desetogodišnji period očekuje se rast ukupnog doprinosa turizma BDP-u po stopi od 3,9% prosječno godišnje. </w:t>
      </w:r>
      <w:r w:rsidR="00E6480F" w:rsidRPr="00593418">
        <w:rPr>
          <w:rFonts w:asciiTheme="minorHAnsi" w:hAnsiTheme="minorHAnsi" w:cstheme="minorHAnsi"/>
        </w:rPr>
        <w:t>Uspješan razvoj turizma ima multiplikativan efekat i na druge privredne grane – poljoprivredu, građevinarstvo, trgovinu, saobraćaj i druge djelatnosti.</w:t>
      </w:r>
    </w:p>
    <w:p w14:paraId="4F4F355A" w14:textId="4EDEFDAC" w:rsidR="00CD0F43" w:rsidRPr="00593418" w:rsidRDefault="00CD0F43" w:rsidP="00F1700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Poboljšanje nivoa konkurentnosti na međunarodnom turističkom tržištu ostvaruje se kroz  originalnost/osobenost i kvalitet pojedinih  segmenata  ponude. Karakteristike Crne Gore koje se ogledaju u povoljnoj geografskoj poziciji, tj. blizini većim evropskim centrima,</w:t>
      </w:r>
      <w:r w:rsidR="00E6480F">
        <w:rPr>
          <w:rFonts w:asciiTheme="minorHAnsi" w:hAnsiTheme="minorHAnsi" w:cstheme="minorHAnsi"/>
        </w:rPr>
        <w:t xml:space="preserve"> te</w:t>
      </w:r>
      <w:r w:rsidRPr="00593418">
        <w:rPr>
          <w:rFonts w:asciiTheme="minorHAnsi" w:hAnsiTheme="minorHAnsi" w:cstheme="minorHAnsi"/>
        </w:rPr>
        <w:t xml:space="preserve">  brojnim prirodnim i kulturnim raznolikostima skoncentrisanim na relativno malom prostoru, </w:t>
      </w:r>
      <w:r w:rsidR="00E6480F">
        <w:rPr>
          <w:rFonts w:asciiTheme="minorHAnsi" w:hAnsiTheme="minorHAnsi" w:cstheme="minorHAnsi"/>
        </w:rPr>
        <w:t xml:space="preserve">tako da </w:t>
      </w:r>
      <w:r w:rsidRPr="00593418">
        <w:rPr>
          <w:rFonts w:asciiTheme="minorHAnsi" w:hAnsiTheme="minorHAnsi" w:cstheme="minorHAnsi"/>
        </w:rPr>
        <w:t>se većina atraktivnih lokacija može obići u toku jednog dana, omogućavaju da turistički proizvod Crne Gore bude atraktivan za veliki broj emitivnih turističkih tržišta sa kojih se putuje tokom čitave godine.</w:t>
      </w:r>
    </w:p>
    <w:p w14:paraId="2CBE8BC6" w14:textId="2E4CC010" w:rsidR="00CD0F43" w:rsidRPr="00593418" w:rsidRDefault="00CD0F43" w:rsidP="00F1700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Turizam je važan instrument regionalne saradnje i snažan katalizator procesu evropskih integracija. Regionalno povezivanje u turizmu predstavlja budućnost razvoja i </w:t>
      </w:r>
      <w:r w:rsidR="00887D51">
        <w:rPr>
          <w:rFonts w:asciiTheme="minorHAnsi" w:hAnsiTheme="minorHAnsi" w:cstheme="minorHAnsi"/>
        </w:rPr>
        <w:t xml:space="preserve">jačanja </w:t>
      </w:r>
      <w:r w:rsidRPr="00593418">
        <w:rPr>
          <w:rFonts w:asciiTheme="minorHAnsi" w:hAnsiTheme="minorHAnsi" w:cstheme="minorHAnsi"/>
        </w:rPr>
        <w:t>konkurentnosti ove privredne grane</w:t>
      </w:r>
      <w:r w:rsidR="00887D51">
        <w:rPr>
          <w:rFonts w:asciiTheme="minorHAnsi" w:hAnsiTheme="minorHAnsi" w:cstheme="minorHAnsi"/>
        </w:rPr>
        <w:t xml:space="preserve">. Istovremeno je </w:t>
      </w:r>
      <w:r w:rsidRPr="00593418">
        <w:rPr>
          <w:rFonts w:asciiTheme="minorHAnsi" w:hAnsiTheme="minorHAnsi" w:cstheme="minorHAnsi"/>
        </w:rPr>
        <w:t xml:space="preserve"> preduslov za diverzifikaciju turističkih proizvoda</w:t>
      </w:r>
      <w:r w:rsidR="00BB15B5">
        <w:rPr>
          <w:rFonts w:asciiTheme="minorHAnsi" w:hAnsiTheme="minorHAnsi" w:cstheme="minorHAnsi"/>
        </w:rPr>
        <w:t>,</w:t>
      </w:r>
      <w:r w:rsidR="00BB15B5" w:rsidRPr="00BB15B5">
        <w:t xml:space="preserve"> </w:t>
      </w:r>
      <w:r w:rsidR="00887D51">
        <w:t xml:space="preserve">odnosno </w:t>
      </w:r>
      <w:r w:rsidR="00887D51">
        <w:rPr>
          <w:rFonts w:asciiTheme="minorHAnsi" w:hAnsiTheme="minorHAnsi" w:cstheme="minorHAnsi"/>
        </w:rPr>
        <w:t>širenje</w:t>
      </w:r>
      <w:r w:rsidR="00BB15B5" w:rsidRPr="00BB15B5">
        <w:rPr>
          <w:rFonts w:asciiTheme="minorHAnsi" w:hAnsiTheme="minorHAnsi" w:cstheme="minorHAnsi"/>
        </w:rPr>
        <w:t xml:space="preserve"> ponude</w:t>
      </w:r>
      <w:r w:rsidR="00887D51">
        <w:rPr>
          <w:rFonts w:asciiTheme="minorHAnsi" w:hAnsiTheme="minorHAnsi" w:cstheme="minorHAnsi"/>
        </w:rPr>
        <w:t>, i eliminisanje</w:t>
      </w:r>
      <w:r w:rsidR="00BB15B5" w:rsidRPr="00BB15B5">
        <w:rPr>
          <w:rFonts w:asciiTheme="minorHAnsi" w:hAnsiTheme="minorHAnsi" w:cstheme="minorHAnsi"/>
        </w:rPr>
        <w:t xml:space="preserve"> visoko izražene sezonalnosti u </w:t>
      </w:r>
      <w:r w:rsidR="00BB15B5">
        <w:rPr>
          <w:rFonts w:asciiTheme="minorHAnsi" w:hAnsiTheme="minorHAnsi" w:cstheme="minorHAnsi"/>
        </w:rPr>
        <w:t>poslovanju turističke privrede</w:t>
      </w:r>
      <w:r w:rsidRPr="00593418">
        <w:rPr>
          <w:rFonts w:asciiTheme="minorHAnsi" w:hAnsiTheme="minorHAnsi" w:cstheme="minorHAnsi"/>
        </w:rPr>
        <w:t xml:space="preserve">. Kada je riječ o perspektivama razvoja turizma Zapadnog Balkana, Svjetska turistička organizacija (UNWTO) predviđa nastavak povoljne razvojne tendencije i u narednih 10 godina. Dugoročni programi ekonomske stabilizacije zemalja </w:t>
      </w:r>
      <w:r w:rsidR="00E8358A">
        <w:rPr>
          <w:rFonts w:asciiTheme="minorHAnsi" w:hAnsiTheme="minorHAnsi" w:cstheme="minorHAnsi"/>
        </w:rPr>
        <w:t>r</w:t>
      </w:r>
      <w:r w:rsidRPr="00593418">
        <w:rPr>
          <w:rFonts w:asciiTheme="minorHAnsi" w:hAnsiTheme="minorHAnsi" w:cstheme="minorHAnsi"/>
        </w:rPr>
        <w:t>egiona dali su značajno mjesto turizmu u cjelokupnom društvenom i privrednom razvoju.</w:t>
      </w:r>
    </w:p>
    <w:p w14:paraId="2504E8BF" w14:textId="5FBCFEF8" w:rsidR="00CD0F43" w:rsidRPr="00593418" w:rsidRDefault="00CD0F43" w:rsidP="00F1700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Atraktivnost Crne Gore se ogleda u </w:t>
      </w:r>
      <w:r w:rsidR="00E8358A">
        <w:rPr>
          <w:rFonts w:asciiTheme="minorHAnsi" w:hAnsiTheme="minorHAnsi" w:cstheme="minorHAnsi"/>
        </w:rPr>
        <w:t xml:space="preserve">tome </w:t>
      </w:r>
      <w:r w:rsidRPr="00593418">
        <w:rPr>
          <w:rFonts w:asciiTheme="minorHAnsi" w:hAnsiTheme="minorHAnsi" w:cstheme="minorHAnsi"/>
        </w:rPr>
        <w:t>da su se na svega 190</w:t>
      </w:r>
      <w:r w:rsidR="00E8358A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>km vazdušne linije</w:t>
      </w:r>
      <w:r w:rsidR="004A41EA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između dvije najudaljenije </w:t>
      </w:r>
      <w:r w:rsidR="00887D51">
        <w:rPr>
          <w:rFonts w:asciiTheme="minorHAnsi" w:hAnsiTheme="minorHAnsi" w:cstheme="minorHAnsi"/>
        </w:rPr>
        <w:t xml:space="preserve">geografske </w:t>
      </w:r>
      <w:r w:rsidRPr="00593418">
        <w:rPr>
          <w:rFonts w:asciiTheme="minorHAnsi" w:hAnsiTheme="minorHAnsi" w:cstheme="minorHAnsi"/>
        </w:rPr>
        <w:t>tačke države</w:t>
      </w:r>
      <w:r w:rsidR="004A41EA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smjestile i mediteranska i kontinentalna klima</w:t>
      </w:r>
      <w:r w:rsidR="004A41EA">
        <w:rPr>
          <w:rFonts w:asciiTheme="minorHAnsi" w:hAnsiTheme="minorHAnsi" w:cstheme="minorHAnsi"/>
        </w:rPr>
        <w:t>:</w:t>
      </w:r>
      <w:r w:rsidRPr="00593418">
        <w:rPr>
          <w:rFonts w:asciiTheme="minorHAnsi" w:hAnsiTheme="minorHAnsi" w:cstheme="minorHAnsi"/>
        </w:rPr>
        <w:t xml:space="preserve"> 40 jezera – među kojima je i najveće na Balkanu</w:t>
      </w:r>
      <w:r w:rsidR="00243FC7">
        <w:rPr>
          <w:rFonts w:asciiTheme="minorHAnsi" w:hAnsiTheme="minorHAnsi" w:cstheme="minorHAnsi"/>
        </w:rPr>
        <w:t xml:space="preserve"> (Skadarsko jezero)</w:t>
      </w:r>
      <w:r w:rsidR="004A41EA">
        <w:rPr>
          <w:rFonts w:asciiTheme="minorHAnsi" w:hAnsiTheme="minorHAnsi" w:cstheme="minorHAnsi"/>
        </w:rPr>
        <w:t>;</w:t>
      </w:r>
      <w:r w:rsidRPr="00593418">
        <w:rPr>
          <w:rFonts w:asciiTheme="minorHAnsi" w:hAnsiTheme="minorHAnsi" w:cstheme="minorHAnsi"/>
        </w:rPr>
        <w:t xml:space="preserve"> 2</w:t>
      </w:r>
      <w:r w:rsidR="00E8358A">
        <w:rPr>
          <w:rFonts w:asciiTheme="minorHAnsi" w:hAnsiTheme="minorHAnsi" w:cstheme="minorHAnsi"/>
        </w:rPr>
        <w:t>.</w:t>
      </w:r>
      <w:r w:rsidRPr="00593418">
        <w:rPr>
          <w:rFonts w:asciiTheme="minorHAnsi" w:hAnsiTheme="minorHAnsi" w:cstheme="minorHAnsi"/>
        </w:rPr>
        <w:t>883 biljne vrste (25% evropske flore na 0,14% teritorije Evrope)</w:t>
      </w:r>
      <w:r w:rsidR="004A41EA">
        <w:rPr>
          <w:rFonts w:asciiTheme="minorHAnsi" w:hAnsiTheme="minorHAnsi" w:cstheme="minorHAnsi"/>
        </w:rPr>
        <w:t>;</w:t>
      </w:r>
      <w:r w:rsidRPr="00593418">
        <w:rPr>
          <w:rFonts w:asciiTheme="minorHAnsi" w:hAnsiTheme="minorHAnsi" w:cstheme="minorHAnsi"/>
        </w:rPr>
        <w:t xml:space="preserve"> 5 nacionalnih parkova</w:t>
      </w:r>
      <w:r w:rsidR="00887D51">
        <w:rPr>
          <w:rFonts w:asciiTheme="minorHAnsi" w:hAnsiTheme="minorHAnsi" w:cstheme="minorHAnsi"/>
        </w:rPr>
        <w:t xml:space="preserve"> </w:t>
      </w:r>
      <w:r w:rsidR="00243FC7">
        <w:rPr>
          <w:rFonts w:asciiTheme="minorHAnsi" w:hAnsiTheme="minorHAnsi" w:cstheme="minorHAnsi"/>
        </w:rPr>
        <w:t>(Durmitor, Prokletije, Bjelasica, Lovćen i Skadarsko jezero)</w:t>
      </w:r>
      <w:r w:rsidR="004A41EA">
        <w:rPr>
          <w:rFonts w:asciiTheme="minorHAnsi" w:hAnsiTheme="minorHAnsi" w:cstheme="minorHAnsi"/>
        </w:rPr>
        <w:t>;</w:t>
      </w:r>
      <w:r w:rsidRPr="00593418">
        <w:rPr>
          <w:rFonts w:asciiTheme="minorHAnsi" w:hAnsiTheme="minorHAnsi" w:cstheme="minorHAnsi"/>
        </w:rPr>
        <w:t xml:space="preserve"> jedna prašuma</w:t>
      </w:r>
      <w:r w:rsidR="00243FC7">
        <w:rPr>
          <w:rFonts w:asciiTheme="minorHAnsi" w:hAnsiTheme="minorHAnsi" w:cstheme="minorHAnsi"/>
        </w:rPr>
        <w:t xml:space="preserve"> (Biogradska gora)</w:t>
      </w:r>
      <w:r w:rsidR="004A41EA">
        <w:rPr>
          <w:rFonts w:asciiTheme="minorHAnsi" w:hAnsiTheme="minorHAnsi" w:cstheme="minorHAnsi"/>
        </w:rPr>
        <w:t>;</w:t>
      </w:r>
      <w:r w:rsidRPr="00593418">
        <w:rPr>
          <w:rFonts w:asciiTheme="minorHAnsi" w:hAnsiTheme="minorHAnsi" w:cstheme="minorHAnsi"/>
        </w:rPr>
        <w:t xml:space="preserve"> rijeka sa najdubljim kanjonom u Evropi</w:t>
      </w:r>
      <w:r w:rsidR="00243FC7">
        <w:rPr>
          <w:rFonts w:asciiTheme="minorHAnsi" w:hAnsiTheme="minorHAnsi" w:cstheme="minorHAnsi"/>
        </w:rPr>
        <w:t xml:space="preserve"> (Tara)</w:t>
      </w:r>
      <w:r w:rsidR="004A41EA">
        <w:rPr>
          <w:rFonts w:asciiTheme="minorHAnsi" w:hAnsiTheme="minorHAnsi" w:cstheme="minorHAnsi"/>
        </w:rPr>
        <w:t>;</w:t>
      </w:r>
      <w:r w:rsidRPr="00593418">
        <w:rPr>
          <w:rFonts w:asciiTheme="minorHAnsi" w:hAnsiTheme="minorHAnsi" w:cstheme="minorHAnsi"/>
        </w:rPr>
        <w:t xml:space="preserve"> jedini fjord na Mediteranu</w:t>
      </w:r>
      <w:r w:rsidR="00243FC7">
        <w:rPr>
          <w:rFonts w:asciiTheme="minorHAnsi" w:hAnsiTheme="minorHAnsi" w:cstheme="minorHAnsi"/>
        </w:rPr>
        <w:t xml:space="preserve"> (Bokokotorski zaliv)</w:t>
      </w:r>
      <w:r w:rsidRPr="00593418">
        <w:rPr>
          <w:rFonts w:asciiTheme="minorHAnsi" w:hAnsiTheme="minorHAnsi" w:cstheme="minorHAnsi"/>
        </w:rPr>
        <w:t xml:space="preserve">. To znači da </w:t>
      </w:r>
      <w:r w:rsidR="00887D51">
        <w:rPr>
          <w:rFonts w:asciiTheme="minorHAnsi" w:hAnsiTheme="minorHAnsi" w:cstheme="minorHAnsi"/>
        </w:rPr>
        <w:t xml:space="preserve">se </w:t>
      </w:r>
      <w:r w:rsidRPr="00593418">
        <w:rPr>
          <w:rFonts w:asciiTheme="minorHAnsi" w:hAnsiTheme="minorHAnsi" w:cstheme="minorHAnsi"/>
        </w:rPr>
        <w:t>turistima može pruži</w:t>
      </w:r>
      <w:r w:rsidR="00887D51">
        <w:rPr>
          <w:rFonts w:asciiTheme="minorHAnsi" w:hAnsiTheme="minorHAnsi" w:cstheme="minorHAnsi"/>
        </w:rPr>
        <w:t>ti</w:t>
      </w:r>
      <w:r w:rsidRPr="00593418">
        <w:rPr>
          <w:rFonts w:asciiTheme="minorHAnsi" w:hAnsiTheme="minorHAnsi" w:cstheme="minorHAnsi"/>
        </w:rPr>
        <w:t xml:space="preserve"> jedinstven doživljaj </w:t>
      </w:r>
      <w:r w:rsidR="00887D51">
        <w:rPr>
          <w:rFonts w:asciiTheme="minorHAnsi" w:hAnsiTheme="minorHAnsi" w:cstheme="minorHAnsi"/>
        </w:rPr>
        <w:t>zahvaljujući spoju</w:t>
      </w:r>
      <w:r w:rsidR="00887D51" w:rsidRPr="00593418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 xml:space="preserve">raznovrsnih </w:t>
      </w:r>
      <w:r w:rsidR="00887D51">
        <w:rPr>
          <w:rFonts w:asciiTheme="minorHAnsi" w:hAnsiTheme="minorHAnsi" w:cstheme="minorHAnsi"/>
        </w:rPr>
        <w:t xml:space="preserve">prirodnih </w:t>
      </w:r>
      <w:r w:rsidRPr="00593418">
        <w:rPr>
          <w:rFonts w:asciiTheme="minorHAnsi" w:hAnsiTheme="minorHAnsi" w:cstheme="minorHAnsi"/>
        </w:rPr>
        <w:t>faktora kao što su klima, reljef</w:t>
      </w:r>
      <w:r w:rsidR="00064904">
        <w:rPr>
          <w:rFonts w:asciiTheme="minorHAnsi" w:hAnsiTheme="minorHAnsi" w:cstheme="minorHAnsi"/>
        </w:rPr>
        <w:t>, vode,</w:t>
      </w:r>
      <w:r w:rsidR="00390E3A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>flora i fauna</w:t>
      </w:r>
      <w:r w:rsidR="00E8358A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koji zbog svoje privlačnosti i ljekovitosti predstavljaju snažni podsticaj za turističk</w:t>
      </w:r>
      <w:r w:rsidR="002A59FA">
        <w:rPr>
          <w:rFonts w:asciiTheme="minorHAnsi" w:hAnsiTheme="minorHAnsi" w:cstheme="minorHAnsi"/>
        </w:rPr>
        <w:t>u posjetu</w:t>
      </w:r>
      <w:r w:rsidRPr="00593418">
        <w:rPr>
          <w:rFonts w:asciiTheme="minorHAnsi" w:hAnsiTheme="minorHAnsi" w:cstheme="minorHAnsi"/>
        </w:rPr>
        <w:t xml:space="preserve">. Blagotvorno djelovanje </w:t>
      </w:r>
      <w:r w:rsidR="003B3947">
        <w:rPr>
          <w:rFonts w:asciiTheme="minorHAnsi" w:hAnsiTheme="minorHAnsi" w:cstheme="minorHAnsi"/>
        </w:rPr>
        <w:t xml:space="preserve">mediteranske </w:t>
      </w:r>
      <w:r w:rsidRPr="00593418">
        <w:rPr>
          <w:rFonts w:asciiTheme="minorHAnsi" w:hAnsiTheme="minorHAnsi" w:cstheme="minorHAnsi"/>
        </w:rPr>
        <w:t>klime u svim godišnjim dobima, boravak na nadmorskoj visini 500-1000</w:t>
      </w:r>
      <w:r w:rsidR="00E8358A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>m</w:t>
      </w:r>
      <w:r w:rsidR="00E8358A">
        <w:rPr>
          <w:rFonts w:asciiTheme="minorHAnsi" w:hAnsiTheme="minorHAnsi" w:cstheme="minorHAnsi"/>
        </w:rPr>
        <w:t>etara</w:t>
      </w:r>
      <w:r w:rsidRPr="00593418">
        <w:rPr>
          <w:rFonts w:asciiTheme="minorHAnsi" w:hAnsiTheme="minorHAnsi" w:cstheme="minorHAnsi"/>
        </w:rPr>
        <w:t xml:space="preserve"> i preko, sa povoljnim, umirujućim djelovanjem na osobe sa neurozama, anemijom, bolestima disajnih puteva, </w:t>
      </w:r>
      <w:r w:rsidRPr="00593418">
        <w:rPr>
          <w:rFonts w:asciiTheme="minorHAnsi" w:hAnsiTheme="minorHAnsi" w:cstheme="minorHAnsi"/>
        </w:rPr>
        <w:lastRenderedPageBreak/>
        <w:t>alergijama</w:t>
      </w:r>
      <w:r w:rsidR="002A59FA">
        <w:rPr>
          <w:rFonts w:asciiTheme="minorHAnsi" w:hAnsiTheme="minorHAnsi" w:cstheme="minorHAnsi"/>
        </w:rPr>
        <w:t xml:space="preserve"> i</w:t>
      </w:r>
      <w:r w:rsidRPr="00593418">
        <w:rPr>
          <w:rFonts w:asciiTheme="minorHAnsi" w:hAnsiTheme="minorHAnsi" w:cstheme="minorHAnsi"/>
        </w:rPr>
        <w:t xml:space="preserve"> na rekonvalescente, </w:t>
      </w:r>
      <w:r w:rsidR="002A59FA">
        <w:rPr>
          <w:rFonts w:asciiTheme="minorHAnsi" w:hAnsiTheme="minorHAnsi" w:cstheme="minorHAnsi"/>
        </w:rPr>
        <w:t>ukazuje</w:t>
      </w:r>
      <w:r w:rsidR="002A59FA" w:rsidRPr="00593418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 xml:space="preserve">na </w:t>
      </w:r>
      <w:r w:rsidR="002A59FA">
        <w:rPr>
          <w:rFonts w:asciiTheme="minorHAnsi" w:hAnsiTheme="minorHAnsi" w:cstheme="minorHAnsi"/>
        </w:rPr>
        <w:t>mogućnost</w:t>
      </w:r>
      <w:r w:rsidR="002A59FA" w:rsidRPr="00593418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>optimalnog koriš</w:t>
      </w:r>
      <w:r w:rsidR="00E8358A">
        <w:rPr>
          <w:rFonts w:asciiTheme="minorHAnsi" w:hAnsiTheme="minorHAnsi" w:cstheme="minorHAnsi"/>
        </w:rPr>
        <w:t>ć</w:t>
      </w:r>
      <w:r w:rsidRPr="00593418">
        <w:rPr>
          <w:rFonts w:asciiTheme="minorHAnsi" w:hAnsiTheme="minorHAnsi" w:cstheme="minorHAnsi"/>
        </w:rPr>
        <w:t>enja ljekovit</w:t>
      </w:r>
      <w:r w:rsidR="00064904">
        <w:rPr>
          <w:rFonts w:asciiTheme="minorHAnsi" w:hAnsiTheme="minorHAnsi" w:cstheme="minorHAnsi"/>
        </w:rPr>
        <w:t>ih svojstava</w:t>
      </w:r>
      <w:r w:rsidRPr="00593418">
        <w:rPr>
          <w:rFonts w:asciiTheme="minorHAnsi" w:hAnsiTheme="minorHAnsi" w:cstheme="minorHAnsi"/>
        </w:rPr>
        <w:t xml:space="preserve"> prirodne sredine u Crnoj Gori (U</w:t>
      </w:r>
      <w:r w:rsidR="00390E3A">
        <w:rPr>
          <w:rFonts w:asciiTheme="minorHAnsi" w:hAnsiTheme="minorHAnsi" w:cstheme="minorHAnsi"/>
        </w:rPr>
        <w:t>NESCO</w:t>
      </w:r>
      <w:r w:rsidRPr="00593418">
        <w:rPr>
          <w:rFonts w:asciiTheme="minorHAnsi" w:hAnsiTheme="minorHAnsi" w:cstheme="minorHAnsi"/>
        </w:rPr>
        <w:t xml:space="preserve">). </w:t>
      </w:r>
    </w:p>
    <w:p w14:paraId="4861BB9B" w14:textId="1FD0AF50" w:rsidR="00CD0F43" w:rsidRPr="00593418" w:rsidRDefault="00CD0F43" w:rsidP="00F1700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Crna Gora je prepoznata kao područje bogato religioznim i</w:t>
      </w:r>
      <w:r w:rsidR="00390E3A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>kulturno-istorijs</w:t>
      </w:r>
      <w:r w:rsidR="00077283">
        <w:rPr>
          <w:rFonts w:asciiTheme="minorHAnsi" w:hAnsiTheme="minorHAnsi" w:cstheme="minorHAnsi"/>
        </w:rPr>
        <w:t>kim znamenitostima (Ostrog, File</w:t>
      </w:r>
      <w:r w:rsidRPr="00593418">
        <w:rPr>
          <w:rFonts w:asciiTheme="minorHAnsi" w:hAnsiTheme="minorHAnsi" w:cstheme="minorHAnsi"/>
        </w:rPr>
        <w:t>rmosa, ruka Jovana Krstitelja, Kuran Husein</w:t>
      </w:r>
      <w:r w:rsidR="00E8358A">
        <w:rPr>
          <w:rFonts w:asciiTheme="minorHAnsi" w:hAnsiTheme="minorHAnsi" w:cstheme="minorHAnsi"/>
        </w:rPr>
        <w:t>-p</w:t>
      </w:r>
      <w:r w:rsidRPr="00593418">
        <w:rPr>
          <w:rFonts w:asciiTheme="minorHAnsi" w:hAnsiTheme="minorHAnsi" w:cstheme="minorHAnsi"/>
        </w:rPr>
        <w:t>aše Boljanića, manastiri i crkve, džamije, katedrale, spomenici iz rimskog i ilirskog perioda, ostavština četiri crnogorske dinastije, Njegošev mauzolej, Kotor-grad pod zaštitom U</w:t>
      </w:r>
      <w:r w:rsidR="00390E3A">
        <w:rPr>
          <w:rFonts w:asciiTheme="minorHAnsi" w:hAnsiTheme="minorHAnsi" w:cstheme="minorHAnsi"/>
        </w:rPr>
        <w:t>NESCO-a</w:t>
      </w:r>
      <w:r w:rsidRPr="00593418">
        <w:rPr>
          <w:rFonts w:asciiTheme="minorHAnsi" w:hAnsiTheme="minorHAnsi" w:cstheme="minorHAnsi"/>
        </w:rPr>
        <w:t>, Budva, Risan, Herceg Novi, 40 kulturnih dobara na Skadarskom jezeru, Svač kod Ulcinja).</w:t>
      </w:r>
    </w:p>
    <w:p w14:paraId="18E682F9" w14:textId="77777777" w:rsidR="00390E3A" w:rsidRPr="00593418" w:rsidRDefault="00390E3A" w:rsidP="00390E3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Zdravstveni turizam</w:t>
      </w:r>
      <w:r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može</w:t>
      </w:r>
      <w:r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 relativno kratkom roku, postati jedan od vodećih turističkih proizvoda Crne Gore, posebno uzimajući</w:t>
      </w:r>
      <w:r w:rsidRPr="00593418">
        <w:rPr>
          <w:rFonts w:asciiTheme="minorHAnsi" w:hAnsiTheme="minorHAnsi" w:cstheme="minorHAnsi"/>
        </w:rPr>
        <w:t xml:space="preserve"> u obzir </w:t>
      </w:r>
      <w:r>
        <w:rPr>
          <w:rFonts w:asciiTheme="minorHAnsi" w:hAnsiTheme="minorHAnsi" w:cstheme="minorHAnsi"/>
        </w:rPr>
        <w:t xml:space="preserve"> gore navedene komparativne i konkurentske prednosti</w:t>
      </w:r>
      <w:r w:rsidRPr="00593418">
        <w:rPr>
          <w:rFonts w:asciiTheme="minorHAnsi" w:hAnsiTheme="minorHAnsi" w:cstheme="minorHAnsi"/>
        </w:rPr>
        <w:t xml:space="preserve">. Komparativne prednosti podrazumijevaju kvalifikovan kadar i dobru reputaciju zdravstvenih usluga, blizinu velikim emitivnim tržištima, prirodne ljepote i povoljnu klimu, sigurnost zemlje kao i dugu tradiciju u turizmu. </w:t>
      </w:r>
      <w:r>
        <w:rPr>
          <w:rFonts w:asciiTheme="minorHAnsi" w:hAnsiTheme="minorHAnsi" w:cstheme="minorHAnsi"/>
        </w:rPr>
        <w:t>Uz navedeno, c</w:t>
      </w:r>
      <w:r w:rsidRPr="00593418">
        <w:rPr>
          <w:rFonts w:asciiTheme="minorHAnsi" w:hAnsiTheme="minorHAnsi" w:cstheme="minorHAnsi"/>
        </w:rPr>
        <w:t xml:space="preserve">ijene zdravstenih usluga u Crnoj Gori su </w:t>
      </w:r>
      <w:r>
        <w:rPr>
          <w:rFonts w:asciiTheme="minorHAnsi" w:hAnsiTheme="minorHAnsi" w:cstheme="minorHAnsi"/>
        </w:rPr>
        <w:t>relativno niže</w:t>
      </w:r>
      <w:r w:rsidRPr="00593418">
        <w:rPr>
          <w:rFonts w:asciiTheme="minorHAnsi" w:hAnsiTheme="minorHAnsi" w:cstheme="minorHAnsi"/>
        </w:rPr>
        <w:t xml:space="preserve"> u odnosu na zemlje Zapadne Evrope i jednog broja zemalja Balkana</w:t>
      </w:r>
      <w:r>
        <w:rPr>
          <w:rFonts w:asciiTheme="minorHAnsi" w:hAnsiTheme="minorHAnsi" w:cstheme="minorHAnsi"/>
        </w:rPr>
        <w:t>, što ih čini izuzetno konkurentnima</w:t>
      </w:r>
      <w:r w:rsidRPr="00593418">
        <w:rPr>
          <w:rFonts w:asciiTheme="minorHAnsi" w:hAnsiTheme="minorHAnsi" w:cstheme="minorHAnsi"/>
        </w:rPr>
        <w:t xml:space="preserve">. Važno je istaći da Fond za zdravstveno osiguranje Crne Gore ima zaključene </w:t>
      </w:r>
      <w:r>
        <w:rPr>
          <w:rFonts w:asciiTheme="minorHAnsi" w:hAnsiTheme="minorHAnsi" w:cstheme="minorHAnsi"/>
        </w:rPr>
        <w:t>u</w:t>
      </w:r>
      <w:r w:rsidRPr="00593418">
        <w:rPr>
          <w:rFonts w:asciiTheme="minorHAnsi" w:hAnsiTheme="minorHAnsi" w:cstheme="minorHAnsi"/>
        </w:rPr>
        <w:t>govore o pružanju zdravstvenih usluga sa 23 evropske zemlje. Od posebnog je značaja činjenica da je crnogorski zdravstveni sistem u 2017. godini napredovao za 9 mjesta na osnovu izvještaja Evropskog zdravstvenog pot</w:t>
      </w:r>
      <w:r>
        <w:rPr>
          <w:rFonts w:asciiTheme="minorHAnsi" w:hAnsiTheme="minorHAnsi" w:cstheme="minorHAnsi"/>
        </w:rPr>
        <w:t>r</w:t>
      </w:r>
      <w:r w:rsidRPr="00593418">
        <w:rPr>
          <w:rFonts w:asciiTheme="minorHAnsi" w:hAnsiTheme="minorHAnsi" w:cstheme="minorHAnsi"/>
        </w:rPr>
        <w:t>ošačkog indeksa i da se nalazi na 25. mjestu u Evropi.</w:t>
      </w:r>
    </w:p>
    <w:p w14:paraId="5E3B5A41" w14:textId="146395EB" w:rsidR="00390E3A" w:rsidRPr="00593418" w:rsidRDefault="00390E3A" w:rsidP="00390E3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 xml:space="preserve">Zdravstveni turizam </w:t>
      </w:r>
      <w:r>
        <w:rPr>
          <w:rFonts w:asciiTheme="minorHAnsi" w:hAnsiTheme="minorHAnsi" w:cstheme="minorHAnsi"/>
        </w:rPr>
        <w:t xml:space="preserve">bilježi stalan rast </w:t>
      </w:r>
      <w:r w:rsidRPr="00593418">
        <w:rPr>
          <w:rFonts w:asciiTheme="minorHAnsi" w:hAnsiTheme="minorHAnsi" w:cstheme="minorHAnsi"/>
        </w:rPr>
        <w:t xml:space="preserve">i predstavlja jedan od </w:t>
      </w:r>
      <w:r>
        <w:rPr>
          <w:rFonts w:asciiTheme="minorHAnsi" w:hAnsiTheme="minorHAnsi" w:cstheme="minorHAnsi"/>
        </w:rPr>
        <w:t xml:space="preserve">najperspektivnijih </w:t>
      </w:r>
      <w:r w:rsidRPr="00593418">
        <w:rPr>
          <w:rFonts w:asciiTheme="minorHAnsi" w:hAnsiTheme="minorHAnsi" w:cstheme="minorHAnsi"/>
        </w:rPr>
        <w:t xml:space="preserve">segmenata </w:t>
      </w:r>
      <w:r>
        <w:rPr>
          <w:rFonts w:asciiTheme="minorHAnsi" w:hAnsiTheme="minorHAnsi" w:cstheme="minorHAnsi"/>
        </w:rPr>
        <w:t>ponude na globalnom tržištu</w:t>
      </w:r>
      <w:r w:rsidRPr="00593418">
        <w:rPr>
          <w:rFonts w:asciiTheme="minorHAnsi" w:hAnsiTheme="minorHAnsi" w:cstheme="minorHAnsi"/>
        </w:rPr>
        <w:t>. Tržište medicinskog turizma na globalnom nivou će u sl</w:t>
      </w:r>
      <w:r>
        <w:rPr>
          <w:rFonts w:asciiTheme="minorHAnsi" w:hAnsiTheme="minorHAnsi" w:cstheme="minorHAnsi"/>
        </w:rPr>
        <w:t>j</w:t>
      </w:r>
      <w:r w:rsidRPr="00593418">
        <w:rPr>
          <w:rFonts w:asciiTheme="minorHAnsi" w:hAnsiTheme="minorHAnsi" w:cstheme="minorHAnsi"/>
        </w:rPr>
        <w:t>edećih pet godina rasti po godišnjoj stopi od 19%. Turizam i zdravlje su osnovni stubovi posvećenosti održivom razvoju, a saradnj</w:t>
      </w:r>
      <w:r>
        <w:rPr>
          <w:rFonts w:asciiTheme="minorHAnsi" w:hAnsiTheme="minorHAnsi" w:cstheme="minorHAnsi"/>
        </w:rPr>
        <w:t>a</w:t>
      </w:r>
      <w:r w:rsidRPr="00593418">
        <w:rPr>
          <w:rFonts w:asciiTheme="minorHAnsi" w:hAnsiTheme="minorHAnsi" w:cstheme="minorHAnsi"/>
        </w:rPr>
        <w:t xml:space="preserve"> sektora turizma i zdravstva u Crnoj Gori omogućuje postizanje sinergijskog efekta u unapr</w:t>
      </w:r>
      <w:r>
        <w:rPr>
          <w:rFonts w:asciiTheme="minorHAnsi" w:hAnsiTheme="minorHAnsi" w:cstheme="minorHAnsi"/>
        </w:rPr>
        <w:t>ij</w:t>
      </w:r>
      <w:r w:rsidRPr="00593418">
        <w:rPr>
          <w:rFonts w:asciiTheme="minorHAnsi" w:hAnsiTheme="minorHAnsi" w:cstheme="minorHAnsi"/>
        </w:rPr>
        <w:t>eđenj</w:t>
      </w:r>
      <w:r>
        <w:rPr>
          <w:rFonts w:asciiTheme="minorHAnsi" w:hAnsiTheme="minorHAnsi" w:cstheme="minorHAnsi"/>
        </w:rPr>
        <w:t>u</w:t>
      </w:r>
      <w:r w:rsidRPr="00593418">
        <w:rPr>
          <w:rFonts w:asciiTheme="minorHAnsi" w:hAnsiTheme="minorHAnsi" w:cstheme="minorHAnsi"/>
        </w:rPr>
        <w:t xml:space="preserve"> zdravstvenog turizma</w:t>
      </w:r>
      <w:r>
        <w:rPr>
          <w:rFonts w:asciiTheme="minorHAnsi" w:hAnsiTheme="minorHAnsi" w:cstheme="minorHAnsi"/>
        </w:rPr>
        <w:t xml:space="preserve">, </w:t>
      </w:r>
      <w:r w:rsidRPr="00593418">
        <w:rPr>
          <w:rFonts w:asciiTheme="minorHAnsi" w:hAnsiTheme="minorHAnsi" w:cstheme="minorHAnsi"/>
        </w:rPr>
        <w:t>cjelogodišnje turističke</w:t>
      </w:r>
      <w:r>
        <w:rPr>
          <w:rFonts w:asciiTheme="minorHAnsi" w:hAnsiTheme="minorHAnsi" w:cstheme="minorHAnsi"/>
        </w:rPr>
        <w:t xml:space="preserve"> ponude</w:t>
      </w:r>
      <w:r w:rsidRPr="00593418">
        <w:rPr>
          <w:rFonts w:asciiTheme="minorHAnsi" w:hAnsiTheme="minorHAnsi" w:cstheme="minorHAnsi"/>
        </w:rPr>
        <w:t xml:space="preserve">. Crna Gora sa svojom geografskom pozicijom, </w:t>
      </w:r>
      <w:r>
        <w:rPr>
          <w:rFonts w:asciiTheme="minorHAnsi" w:hAnsiTheme="minorHAnsi" w:cstheme="minorHAnsi"/>
        </w:rPr>
        <w:t>brojnim prirodnim turističkim atrakcijama</w:t>
      </w:r>
      <w:r w:rsidRPr="00593418">
        <w:rPr>
          <w:rFonts w:asciiTheme="minorHAnsi" w:hAnsiTheme="minorHAnsi" w:cstheme="minorHAnsi"/>
        </w:rPr>
        <w:t xml:space="preserve">, bogatom kulturnom baštinom i </w:t>
      </w:r>
      <w:r>
        <w:rPr>
          <w:rFonts w:asciiTheme="minorHAnsi" w:hAnsiTheme="minorHAnsi" w:cstheme="minorHAnsi"/>
        </w:rPr>
        <w:t>razvijenom</w:t>
      </w:r>
      <w:r w:rsidRPr="00593418">
        <w:rPr>
          <w:rFonts w:asciiTheme="minorHAnsi" w:hAnsiTheme="minorHAnsi" w:cstheme="minorHAnsi"/>
        </w:rPr>
        <w:t xml:space="preserve"> ponudom u segmentu rehabilitacije, preve</w:t>
      </w:r>
      <w:r>
        <w:rPr>
          <w:rFonts w:asciiTheme="minorHAnsi" w:hAnsiTheme="minorHAnsi" w:cstheme="minorHAnsi"/>
        </w:rPr>
        <w:t>ncije, stomatologije i estetske</w:t>
      </w:r>
      <w:r w:rsidRPr="00593418">
        <w:rPr>
          <w:rFonts w:asciiTheme="minorHAnsi" w:hAnsiTheme="minorHAnsi" w:cstheme="minorHAnsi"/>
        </w:rPr>
        <w:t xml:space="preserve"> hirurgije</w:t>
      </w:r>
      <w:r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posjeduje sve uslove da postane </w:t>
      </w:r>
      <w:r>
        <w:rPr>
          <w:rFonts w:asciiTheme="minorHAnsi" w:hAnsiTheme="minorHAnsi" w:cstheme="minorHAnsi"/>
        </w:rPr>
        <w:t xml:space="preserve">međunarodno </w:t>
      </w:r>
      <w:r w:rsidRPr="00593418">
        <w:rPr>
          <w:rFonts w:asciiTheme="minorHAnsi" w:hAnsiTheme="minorHAnsi" w:cstheme="minorHAnsi"/>
        </w:rPr>
        <w:t xml:space="preserve">prepoznatljiva destinacija zdravstvenog turizma. </w:t>
      </w:r>
    </w:p>
    <w:p w14:paraId="227DD287" w14:textId="77777777" w:rsidR="00CD0F43" w:rsidRPr="00593418" w:rsidRDefault="00CD0F43" w:rsidP="00F17001">
      <w:pPr>
        <w:spacing w:after="120" w:line="240" w:lineRule="auto"/>
        <w:rPr>
          <w:rFonts w:asciiTheme="minorHAnsi" w:hAnsiTheme="minorHAnsi" w:cstheme="minorHAnsi"/>
        </w:rPr>
      </w:pPr>
    </w:p>
    <w:p w14:paraId="0338D5B9" w14:textId="471716DD" w:rsidR="00CD0F43" w:rsidRPr="0021212C" w:rsidRDefault="0021212C" w:rsidP="00F17001">
      <w:pPr>
        <w:pStyle w:val="BodyText"/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VIZIJA 2024</w:t>
      </w:r>
    </w:p>
    <w:p w14:paraId="366BBB54" w14:textId="65C3961D" w:rsidR="00CD0F43" w:rsidRDefault="00CD0F43" w:rsidP="00457B3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Crna Gora kao međunarodno prepoznata destinacija održivog i zdravstvenog turizma sa cjelogodiš</w:t>
      </w:r>
      <w:r w:rsidR="00457B32">
        <w:rPr>
          <w:rFonts w:asciiTheme="minorHAnsi" w:hAnsiTheme="minorHAnsi" w:cstheme="minorHAnsi"/>
        </w:rPr>
        <w:t>njom i diverzifikovanom turistič</w:t>
      </w:r>
      <w:r w:rsidR="00077283">
        <w:rPr>
          <w:rFonts w:asciiTheme="minorHAnsi" w:hAnsiTheme="minorHAnsi" w:cstheme="minorHAnsi"/>
        </w:rPr>
        <w:t>kom ponudom baziranom</w:t>
      </w:r>
      <w:r w:rsidRPr="00593418">
        <w:rPr>
          <w:rFonts w:asciiTheme="minorHAnsi" w:hAnsiTheme="minorHAnsi" w:cstheme="minorHAnsi"/>
        </w:rPr>
        <w:t xml:space="preserve"> na princinpima održivosti, jednakosti, kompetitivnosti, inovativn</w:t>
      </w:r>
      <w:r w:rsidR="00457B32">
        <w:rPr>
          <w:rFonts w:asciiTheme="minorHAnsi" w:hAnsiTheme="minorHAnsi" w:cstheme="minorHAnsi"/>
        </w:rPr>
        <w:t>osti i autentič</w:t>
      </w:r>
      <w:r w:rsidRPr="00593418">
        <w:rPr>
          <w:rFonts w:asciiTheme="minorHAnsi" w:hAnsiTheme="minorHAnsi" w:cstheme="minorHAnsi"/>
        </w:rPr>
        <w:t>nosti.</w:t>
      </w:r>
    </w:p>
    <w:p w14:paraId="1B62D072" w14:textId="77777777" w:rsidR="008808D0" w:rsidRPr="00593418" w:rsidRDefault="008808D0" w:rsidP="00457B32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359FAEA3" w14:textId="77777777" w:rsidR="00CD0F43" w:rsidRPr="0021212C" w:rsidRDefault="00CD0F43" w:rsidP="00F17001">
      <w:pPr>
        <w:pStyle w:val="BodyTex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1212C">
        <w:rPr>
          <w:rFonts w:asciiTheme="minorHAnsi" w:hAnsiTheme="minorHAnsi" w:cstheme="minorHAnsi"/>
          <w:b/>
        </w:rPr>
        <w:t>CILJEVI SEKTORA</w:t>
      </w:r>
    </w:p>
    <w:p w14:paraId="49FB82C0" w14:textId="77777777" w:rsidR="00CD0F43" w:rsidRPr="00593418" w:rsidRDefault="00CD0F43" w:rsidP="00F17001">
      <w:pPr>
        <w:pStyle w:val="BodyText"/>
        <w:spacing w:after="120" w:line="240" w:lineRule="auto"/>
        <w:jc w:val="both"/>
        <w:rPr>
          <w:rFonts w:asciiTheme="minorHAnsi" w:hAnsiTheme="minorHAnsi" w:cstheme="minorHAnsi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30"/>
      </w:tblGrid>
      <w:tr w:rsidR="00CD0F43" w:rsidRPr="00593418" w14:paraId="67F6828E" w14:textId="77777777" w:rsidTr="00CD0F43">
        <w:trPr>
          <w:jc w:val="center"/>
        </w:trPr>
        <w:tc>
          <w:tcPr>
            <w:tcW w:w="5130" w:type="dxa"/>
          </w:tcPr>
          <w:p w14:paraId="50D3C9EE" w14:textId="7811B68B" w:rsidR="00CD0F43" w:rsidRPr="00593418" w:rsidRDefault="00A56651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Razvoj novih i unapr</w:t>
            </w:r>
            <w:r w:rsidR="00CD0F43" w:rsidRPr="00593418">
              <w:rPr>
                <w:rFonts w:asciiTheme="minorHAnsi" w:hAnsiTheme="minorHAnsi" w:cstheme="minorHAnsi"/>
              </w:rPr>
              <w:t>eđenje postojećih turističkih</w:t>
            </w:r>
            <w:r w:rsidR="00860624">
              <w:rPr>
                <w:rFonts w:asciiTheme="minorHAnsi" w:hAnsiTheme="minorHAnsi" w:cstheme="minorHAnsi"/>
              </w:rPr>
              <w:t xml:space="preserve"> </w:t>
            </w:r>
            <w:r w:rsidR="00CD0F43" w:rsidRPr="00593418">
              <w:rPr>
                <w:rFonts w:asciiTheme="minorHAnsi" w:hAnsiTheme="minorHAnsi" w:cstheme="minorHAnsi"/>
              </w:rPr>
              <w:t>i medicinskih kapaciteta</w:t>
            </w:r>
          </w:p>
        </w:tc>
      </w:tr>
      <w:tr w:rsidR="00CD0F43" w:rsidRPr="00593418" w14:paraId="2675F92C" w14:textId="77777777" w:rsidTr="00CD0F43">
        <w:trPr>
          <w:trHeight w:val="747"/>
          <w:jc w:val="center"/>
        </w:trPr>
        <w:tc>
          <w:tcPr>
            <w:tcW w:w="5130" w:type="dxa"/>
          </w:tcPr>
          <w:p w14:paraId="76FB6C48" w14:textId="77777777" w:rsidR="00CD0F43" w:rsidRPr="00593418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Uvođenje inovativnih tehnologija i poslovnih modela u oblasti održivog i zdravstvenog turizma</w:t>
            </w:r>
          </w:p>
        </w:tc>
      </w:tr>
    </w:tbl>
    <w:p w14:paraId="7A04D2A2" w14:textId="11BD42DD" w:rsidR="00D3540A" w:rsidRDefault="00D3540A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p w14:paraId="0316819B" w14:textId="6D8764F1" w:rsidR="00CD0F43" w:rsidRDefault="00CD0F43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21212C">
        <w:rPr>
          <w:rFonts w:asciiTheme="minorHAnsi" w:hAnsiTheme="minorHAnsi" w:cstheme="minorHAnsi"/>
          <w:b/>
        </w:rPr>
        <w:t>FOKUSNA PODRUČJA I TEHNOLOGIJE</w:t>
      </w:r>
      <w:r w:rsidRPr="0021212C">
        <w:rPr>
          <w:rFonts w:asciiTheme="minorHAnsi" w:hAnsiTheme="minorHAnsi" w:cstheme="minorHAnsi"/>
          <w:b/>
        </w:rPr>
        <w:tab/>
      </w:r>
    </w:p>
    <w:p w14:paraId="7E386636" w14:textId="77777777" w:rsidR="008808D0" w:rsidRPr="0021212C" w:rsidRDefault="008808D0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p w14:paraId="14264004" w14:textId="4887F2E6" w:rsidR="00CD0F43" w:rsidRPr="00457B32" w:rsidRDefault="00CD0F43" w:rsidP="00F17001">
      <w:pPr>
        <w:spacing w:after="120" w:line="240" w:lineRule="auto"/>
        <w:rPr>
          <w:rFonts w:asciiTheme="minorHAnsi" w:hAnsiTheme="minorHAnsi" w:cstheme="minorHAnsi"/>
        </w:rPr>
      </w:pPr>
      <w:r w:rsidRPr="00457B32">
        <w:rPr>
          <w:rFonts w:asciiTheme="minorHAnsi" w:hAnsiTheme="minorHAnsi" w:cstheme="minorHAnsi"/>
        </w:rPr>
        <w:tab/>
      </w:r>
      <w:r w:rsidR="003D633A" w:rsidRPr="00457B32">
        <w:rPr>
          <w:rFonts w:asciiTheme="minorHAnsi" w:hAnsiTheme="minorHAnsi" w:cstheme="minorHAnsi"/>
        </w:rPr>
        <w:t>POSTOJEĆA</w:t>
      </w:r>
    </w:p>
    <w:p w14:paraId="290A4787" w14:textId="77777777" w:rsidR="00077283" w:rsidRDefault="00CD0F43" w:rsidP="005B5889">
      <w:pPr>
        <w:pStyle w:val="ListParagraph"/>
        <w:numPr>
          <w:ilvl w:val="0"/>
          <w:numId w:val="11"/>
        </w:numPr>
        <w:spacing w:before="0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Inovativni i standardni terapeut</w:t>
      </w:r>
      <w:r w:rsidR="00077283">
        <w:rPr>
          <w:rFonts w:cstheme="minorHAnsi"/>
          <w:lang w:val="sr-Latn-ME"/>
        </w:rPr>
        <w:t xml:space="preserve">ski i rehabilitacioni programi za: </w:t>
      </w:r>
      <w:r w:rsidR="009852EE">
        <w:rPr>
          <w:rFonts w:cstheme="minorHAnsi"/>
          <w:lang w:val="sr-Latn-ME"/>
        </w:rPr>
        <w:t>oboljele</w:t>
      </w:r>
      <w:r w:rsidRPr="00593418">
        <w:rPr>
          <w:rFonts w:cstheme="minorHAnsi"/>
          <w:lang w:val="sr-Latn-ME"/>
        </w:rPr>
        <w:t xml:space="preserve"> </w:t>
      </w:r>
      <w:r w:rsidR="00077283">
        <w:rPr>
          <w:rFonts w:cstheme="minorHAnsi"/>
          <w:lang w:val="sr-Latn-ME"/>
        </w:rPr>
        <w:t>od hroničnih nezaraznih bolesti,</w:t>
      </w:r>
      <w:r w:rsidRPr="00593418">
        <w:rPr>
          <w:rFonts w:cstheme="minorHAnsi"/>
          <w:lang w:val="sr-Latn-ME"/>
        </w:rPr>
        <w:t xml:space="preserve"> </w:t>
      </w:r>
      <w:r w:rsidR="00077283">
        <w:rPr>
          <w:rFonts w:cstheme="minorHAnsi"/>
          <w:lang w:val="sr-Latn-ME"/>
        </w:rPr>
        <w:t xml:space="preserve">rekonvalescente </w:t>
      </w:r>
      <w:r w:rsidRPr="00593418">
        <w:rPr>
          <w:rFonts w:cstheme="minorHAnsi"/>
          <w:lang w:val="sr-Latn-ME"/>
        </w:rPr>
        <w:t>nakon ortopedskih intervencija, neurološk</w:t>
      </w:r>
      <w:r w:rsidR="009852EE">
        <w:rPr>
          <w:rFonts w:cstheme="minorHAnsi"/>
          <w:lang w:val="sr-Latn-ME"/>
        </w:rPr>
        <w:t>e</w:t>
      </w:r>
      <w:r w:rsidRPr="00593418">
        <w:rPr>
          <w:rFonts w:cstheme="minorHAnsi"/>
          <w:lang w:val="sr-Latn-ME"/>
        </w:rPr>
        <w:t xml:space="preserve"> pacijen</w:t>
      </w:r>
      <w:r w:rsidR="009852EE">
        <w:rPr>
          <w:rFonts w:cstheme="minorHAnsi"/>
          <w:lang w:val="sr-Latn-ME"/>
        </w:rPr>
        <w:t>te</w:t>
      </w:r>
      <w:r w:rsidRPr="00593418">
        <w:rPr>
          <w:rFonts w:cstheme="minorHAnsi"/>
          <w:lang w:val="sr-Latn-ME"/>
        </w:rPr>
        <w:t xml:space="preserve">, </w:t>
      </w:r>
      <w:r w:rsidR="00077283">
        <w:rPr>
          <w:rFonts w:cstheme="minorHAnsi"/>
          <w:lang w:val="sr-Latn-ME"/>
        </w:rPr>
        <w:t>zavisnike</w:t>
      </w:r>
      <w:r w:rsidR="00077283" w:rsidRPr="00593418">
        <w:rPr>
          <w:rFonts w:cstheme="minorHAnsi"/>
          <w:lang w:val="sr-Latn-ME"/>
        </w:rPr>
        <w:t xml:space="preserve"> od psihoaktivnih supstanci</w:t>
      </w:r>
      <w:r w:rsidR="00077283">
        <w:rPr>
          <w:rFonts w:cstheme="minorHAnsi"/>
          <w:lang w:val="sr-Latn-ME"/>
        </w:rPr>
        <w:t>, djecu</w:t>
      </w:r>
      <w:r w:rsidR="00077283" w:rsidRPr="00593418">
        <w:rPr>
          <w:rFonts w:cstheme="minorHAnsi"/>
          <w:lang w:val="sr-Latn-ME"/>
        </w:rPr>
        <w:t xml:space="preserve"> sa autizmom</w:t>
      </w:r>
      <w:r w:rsidR="00077283">
        <w:rPr>
          <w:rFonts w:cstheme="minorHAnsi"/>
          <w:lang w:val="sr-Latn-ME"/>
        </w:rPr>
        <w:t>,</w:t>
      </w:r>
      <w:r w:rsidR="00077283" w:rsidRPr="00593418">
        <w:rPr>
          <w:rFonts w:cstheme="minorHAnsi"/>
          <w:lang w:val="sr-Latn-ME"/>
        </w:rPr>
        <w:t xml:space="preserve"> </w:t>
      </w:r>
      <w:r w:rsidRPr="00593418">
        <w:rPr>
          <w:rFonts w:cstheme="minorHAnsi"/>
          <w:lang w:val="sr-Latn-ME"/>
        </w:rPr>
        <w:t>sportist</w:t>
      </w:r>
      <w:r w:rsidR="009852EE">
        <w:rPr>
          <w:rFonts w:cstheme="minorHAnsi"/>
          <w:lang w:val="sr-Latn-ME"/>
        </w:rPr>
        <w:t>e</w:t>
      </w:r>
      <w:r w:rsidR="00077283">
        <w:rPr>
          <w:rFonts w:cstheme="minorHAnsi"/>
          <w:lang w:val="sr-Latn-ME"/>
        </w:rPr>
        <w:t>.</w:t>
      </w:r>
      <w:r w:rsidRPr="00593418">
        <w:rPr>
          <w:rFonts w:cstheme="minorHAnsi"/>
          <w:lang w:val="sr-Latn-ME"/>
        </w:rPr>
        <w:t xml:space="preserve"> </w:t>
      </w:r>
    </w:p>
    <w:p w14:paraId="1A72A5F5" w14:textId="186456C9" w:rsidR="00CD0F43" w:rsidRPr="00593418" w:rsidRDefault="00307B3C" w:rsidP="005B5889">
      <w:pPr>
        <w:pStyle w:val="ListParagraph"/>
        <w:numPr>
          <w:ilvl w:val="0"/>
          <w:numId w:val="11"/>
        </w:numPr>
        <w:spacing w:before="0"/>
        <w:rPr>
          <w:rFonts w:cstheme="minorHAnsi"/>
          <w:lang w:val="sr-Latn-ME"/>
        </w:rPr>
      </w:pPr>
      <w:r>
        <w:rPr>
          <w:rFonts w:cstheme="minorHAnsi"/>
          <w:lang w:val="sr-Latn-ME"/>
        </w:rPr>
        <w:lastRenderedPageBreak/>
        <w:t>Medicinske usluge: m</w:t>
      </w:r>
      <w:r w:rsidR="00CD0F43" w:rsidRPr="00593418">
        <w:rPr>
          <w:rFonts w:cstheme="minorHAnsi"/>
          <w:lang w:val="sr-Latn-ME"/>
        </w:rPr>
        <w:t>ultidiscipl</w:t>
      </w:r>
      <w:r w:rsidR="00077283">
        <w:rPr>
          <w:rFonts w:cstheme="minorHAnsi"/>
          <w:lang w:val="sr-Latn-ME"/>
        </w:rPr>
        <w:t>inarna dijagnostika,</w:t>
      </w:r>
      <w:r w:rsidR="00CD0F43" w:rsidRPr="00593418">
        <w:rPr>
          <w:rFonts w:cstheme="minorHAnsi"/>
          <w:lang w:val="sr-Latn-ME"/>
        </w:rPr>
        <w:t xml:space="preserve"> </w:t>
      </w:r>
      <w:r w:rsidR="006936F5">
        <w:rPr>
          <w:rFonts w:cstheme="minorHAnsi"/>
          <w:lang w:val="sr-Latn-ME"/>
        </w:rPr>
        <w:t xml:space="preserve">stomatologija, </w:t>
      </w:r>
      <w:r w:rsidR="00CD0F43" w:rsidRPr="00593418">
        <w:rPr>
          <w:rFonts w:cstheme="minorHAnsi"/>
          <w:lang w:val="sr-Latn-ME"/>
        </w:rPr>
        <w:t>proizvodi i usluge balneoterapije, talasoterapije, helioterapije, terapije sa solju, psamoterapije (pijesak)</w:t>
      </w:r>
      <w:r w:rsidR="006936F5">
        <w:rPr>
          <w:rFonts w:cstheme="minorHAnsi"/>
          <w:lang w:val="sr-Latn-ME"/>
        </w:rPr>
        <w:t>,</w:t>
      </w:r>
      <w:r w:rsidR="00CD0F43" w:rsidRPr="00593418">
        <w:rPr>
          <w:rFonts w:cstheme="minorHAnsi"/>
          <w:lang w:val="sr-Latn-ME"/>
        </w:rPr>
        <w:t xml:space="preserve"> aeroterap</w:t>
      </w:r>
      <w:r w:rsidR="009852EE">
        <w:rPr>
          <w:rFonts w:cstheme="minorHAnsi"/>
          <w:lang w:val="sr-Latn-ME"/>
        </w:rPr>
        <w:t>ije i terapije mineralnom vodom</w:t>
      </w:r>
      <w:r w:rsidR="00077283">
        <w:rPr>
          <w:rFonts w:cstheme="minorHAnsi"/>
          <w:lang w:val="sr-Latn-ME"/>
        </w:rPr>
        <w:t>.</w:t>
      </w:r>
    </w:p>
    <w:p w14:paraId="2F3B627A" w14:textId="0EB74A9B" w:rsidR="007F10A0" w:rsidRDefault="00CD0F43" w:rsidP="008808D0">
      <w:pPr>
        <w:pStyle w:val="HTMLPreformatted"/>
        <w:numPr>
          <w:ilvl w:val="0"/>
          <w:numId w:val="11"/>
        </w:numPr>
        <w:shd w:val="clear" w:color="auto" w:fill="FFFFFF"/>
        <w:spacing w:after="120"/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</w:pPr>
      <w:r w:rsidRPr="00593418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>Primjena istraživanja zelenih i pametnih tehnologija na održivi razvoj marina u Crnoj Gori</w:t>
      </w:r>
      <w:r w:rsidR="00A967DB"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  <w:t>.</w:t>
      </w:r>
    </w:p>
    <w:p w14:paraId="28B5DE8C" w14:textId="77777777" w:rsidR="008808D0" w:rsidRPr="008808D0" w:rsidRDefault="008808D0" w:rsidP="008808D0">
      <w:pPr>
        <w:pStyle w:val="HTMLPreformatted"/>
        <w:shd w:val="clear" w:color="auto" w:fill="FFFFFF"/>
        <w:spacing w:after="120"/>
        <w:ind w:left="720"/>
        <w:rPr>
          <w:rFonts w:asciiTheme="minorHAnsi" w:eastAsiaTheme="minorHAnsi" w:hAnsiTheme="minorHAnsi" w:cstheme="minorHAnsi"/>
          <w:sz w:val="22"/>
          <w:szCs w:val="22"/>
          <w:lang w:val="sr-Latn-ME" w:eastAsia="en-US"/>
        </w:rPr>
      </w:pPr>
    </w:p>
    <w:p w14:paraId="59261C3F" w14:textId="227E2DFC" w:rsidR="00CD0F43" w:rsidRPr="00457B32" w:rsidRDefault="003D633A" w:rsidP="0021212C">
      <w:pPr>
        <w:spacing w:after="120" w:line="240" w:lineRule="auto"/>
        <w:ind w:firstLine="720"/>
        <w:rPr>
          <w:rFonts w:asciiTheme="minorHAnsi" w:hAnsiTheme="minorHAnsi" w:cstheme="minorHAnsi"/>
        </w:rPr>
      </w:pPr>
      <w:r w:rsidRPr="00457B32">
        <w:rPr>
          <w:rFonts w:asciiTheme="minorHAnsi" w:hAnsiTheme="minorHAnsi" w:cstheme="minorHAnsi"/>
        </w:rPr>
        <w:t>SA POTENCIJALOM</w:t>
      </w:r>
    </w:p>
    <w:p w14:paraId="2616802B" w14:textId="78812695" w:rsidR="00CD0F43" w:rsidRPr="00593418" w:rsidRDefault="00CD0F43" w:rsidP="005B5889">
      <w:pPr>
        <w:pStyle w:val="ListParagraph"/>
        <w:numPr>
          <w:ilvl w:val="0"/>
          <w:numId w:val="11"/>
        </w:numPr>
        <w:spacing w:before="0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Upotreba napr</w:t>
      </w:r>
      <w:r w:rsidR="00CB4A73">
        <w:rPr>
          <w:rFonts w:cstheme="minorHAnsi"/>
          <w:lang w:val="sr-Latn-ME"/>
        </w:rPr>
        <w:t xml:space="preserve">ednih tehnologija u onkologiji u okviru regionlanog projekta </w:t>
      </w:r>
      <w:r w:rsidR="00CB4A73" w:rsidRPr="00593418">
        <w:rPr>
          <w:rFonts w:cstheme="minorHAnsi"/>
          <w:lang w:val="sr-Latn-ME"/>
        </w:rPr>
        <w:t>osnivanja Instituta za održive tehnologije u jugoistočnoj Evropi</w:t>
      </w:r>
      <w:r w:rsidR="00CB4A73" w:rsidRPr="00593418" w:rsidDel="0098037A">
        <w:rPr>
          <w:rFonts w:cstheme="minorHAnsi"/>
          <w:lang w:val="sr-Latn-ME"/>
        </w:rPr>
        <w:t xml:space="preserve"> </w:t>
      </w:r>
      <w:r w:rsidR="00CB4A73" w:rsidRPr="00593418">
        <w:rPr>
          <w:rFonts w:cstheme="minorHAnsi"/>
          <w:lang w:val="sr-Latn-ME"/>
        </w:rPr>
        <w:t>(SEEIIST)</w:t>
      </w:r>
      <w:r w:rsidR="00CB4A73">
        <w:rPr>
          <w:rFonts w:cstheme="minorHAnsi"/>
          <w:lang w:val="sr-Latn-ME"/>
        </w:rPr>
        <w:t xml:space="preserve">  - 'H</w:t>
      </w:r>
      <w:r w:rsidRPr="00593418">
        <w:rPr>
          <w:rFonts w:cstheme="minorHAnsi"/>
          <w:lang w:val="sr-Latn-ME"/>
        </w:rPr>
        <w:t xml:space="preserve">adronska </w:t>
      </w:r>
      <w:r w:rsidR="00CB4A73">
        <w:rPr>
          <w:rFonts w:cstheme="minorHAnsi"/>
          <w:lang w:val="sr-Latn-ME"/>
        </w:rPr>
        <w:t xml:space="preserve">kancer terapija </w:t>
      </w:r>
      <w:r w:rsidR="00CB4A73" w:rsidRPr="00593418">
        <w:rPr>
          <w:rFonts w:cstheme="minorHAnsi"/>
          <w:lang w:val="sr-Latn-ME"/>
        </w:rPr>
        <w:t xml:space="preserve">i </w:t>
      </w:r>
      <w:r w:rsidR="00CB4A73">
        <w:rPr>
          <w:rFonts w:cstheme="minorHAnsi"/>
          <w:lang w:val="sr-Latn-ME"/>
        </w:rPr>
        <w:t>istrazivanja u biomedicini pomocu protona i tez</w:t>
      </w:r>
      <w:r w:rsidR="00CB4A73" w:rsidRPr="00593418">
        <w:rPr>
          <w:rFonts w:cstheme="minorHAnsi"/>
          <w:lang w:val="sr-Latn-ME"/>
        </w:rPr>
        <w:t>ih jona</w:t>
      </w:r>
      <w:r w:rsidR="00A967DB">
        <w:rPr>
          <w:rFonts w:cstheme="minorHAnsi"/>
          <w:lang w:val="sr-Latn-ME"/>
        </w:rPr>
        <w:t>;</w:t>
      </w:r>
    </w:p>
    <w:p w14:paraId="483FBEF2" w14:textId="2C57A475" w:rsidR="00CD0F43" w:rsidRPr="00593418" w:rsidRDefault="00CB4A73" w:rsidP="005B5889">
      <w:pPr>
        <w:pStyle w:val="ListParagraph"/>
        <w:numPr>
          <w:ilvl w:val="0"/>
          <w:numId w:val="11"/>
        </w:numPr>
        <w:spacing w:before="0"/>
        <w:rPr>
          <w:rFonts w:cstheme="minorHAnsi"/>
          <w:lang w:val="sr-Latn-ME"/>
        </w:rPr>
      </w:pPr>
      <w:r>
        <w:rPr>
          <w:rFonts w:cstheme="minorHAnsi"/>
          <w:lang w:val="sr-Latn-ME"/>
        </w:rPr>
        <w:t>Proizvodnj</w:t>
      </w:r>
      <w:r w:rsidR="00CD0F43" w:rsidRPr="00593418">
        <w:rPr>
          <w:rFonts w:cstheme="minorHAnsi"/>
          <w:lang w:val="sr-Latn-ME"/>
        </w:rPr>
        <w:t>a</w:t>
      </w:r>
      <w:r>
        <w:rPr>
          <w:rFonts w:cstheme="minorHAnsi"/>
          <w:lang w:val="sr-Latn-ME"/>
        </w:rPr>
        <w:t xml:space="preserve"> farmakopreparata i razvoj farmakoterapije</w:t>
      </w:r>
      <w:r w:rsidR="009852EE">
        <w:rPr>
          <w:rFonts w:cstheme="minorHAnsi"/>
          <w:lang w:val="sr-Latn-ME"/>
        </w:rPr>
        <w:t>,</w:t>
      </w:r>
      <w:r w:rsidR="00CD0F43" w:rsidRPr="00593418">
        <w:rPr>
          <w:rFonts w:cstheme="minorHAnsi"/>
          <w:lang w:val="sr-Latn-ME"/>
        </w:rPr>
        <w:t xml:space="preserve"> koristeći komparativne prednosti Crne Gore (ljekovito i aromatično bilje, ljekov</w:t>
      </w:r>
      <w:r w:rsidR="009852EE">
        <w:rPr>
          <w:rFonts w:cstheme="minorHAnsi"/>
          <w:lang w:val="sr-Latn-ME"/>
        </w:rPr>
        <w:t>ito blato, živi svijet iz mora)</w:t>
      </w:r>
      <w:r w:rsidR="00A967DB">
        <w:rPr>
          <w:rFonts w:cstheme="minorHAnsi"/>
          <w:lang w:val="sr-Latn-ME"/>
        </w:rPr>
        <w:t>;</w:t>
      </w:r>
    </w:p>
    <w:p w14:paraId="508D3523" w14:textId="614D5D13" w:rsidR="00CD0F43" w:rsidRPr="00593418" w:rsidRDefault="00CD0F43" w:rsidP="005B5889">
      <w:pPr>
        <w:pStyle w:val="ListParagraph"/>
        <w:numPr>
          <w:ilvl w:val="0"/>
          <w:numId w:val="11"/>
        </w:numPr>
        <w:spacing w:before="0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Primjena nanomaterijala u medicini</w:t>
      </w:r>
      <w:r w:rsidR="00A967DB">
        <w:rPr>
          <w:rFonts w:cstheme="minorHAnsi"/>
          <w:lang w:val="sr-Latn-ME"/>
        </w:rPr>
        <w:t>;</w:t>
      </w:r>
    </w:p>
    <w:p w14:paraId="543C56C8" w14:textId="5C6208B4" w:rsidR="00CD0F43" w:rsidRPr="00593418" w:rsidRDefault="00CD0F43" w:rsidP="005B5889">
      <w:pPr>
        <w:pStyle w:val="ListParagraph"/>
        <w:numPr>
          <w:ilvl w:val="0"/>
          <w:numId w:val="11"/>
        </w:numPr>
        <w:spacing w:before="0"/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Nutricionizam: ulaganje u tehnologije za proizvodnju ljekovitog bilja i prehrambenih proizvoda koji doprinose poboljšanju zdravlja, a koji, osim osnovnih prehrambenih vrijednosti, uključuju i dodatne nutraceutike (prirodni zdravi proizvodi, dodaci prehrani, funkcionalna i obogaćena hrana)</w:t>
      </w:r>
      <w:r w:rsidR="006936F5">
        <w:rPr>
          <w:rFonts w:cstheme="minorHAnsi"/>
          <w:lang w:val="sr-Latn-ME"/>
        </w:rPr>
        <w:t>;</w:t>
      </w:r>
      <w:r w:rsidRPr="00593418">
        <w:rPr>
          <w:rFonts w:cstheme="minorHAnsi"/>
          <w:lang w:val="sr-Latn-ME"/>
        </w:rPr>
        <w:t xml:space="preserve"> </w:t>
      </w:r>
      <w:r w:rsidR="006936F5">
        <w:rPr>
          <w:rFonts w:cstheme="minorHAnsi"/>
          <w:lang w:val="sr-Latn-ME"/>
        </w:rPr>
        <w:t xml:space="preserve">s tim u vezi je </w:t>
      </w:r>
      <w:r w:rsidRPr="00593418">
        <w:rPr>
          <w:rFonts w:cstheme="minorHAnsi"/>
          <w:lang w:val="sr-Latn-ME"/>
        </w:rPr>
        <w:t>i gastronomij</w:t>
      </w:r>
      <w:r w:rsidR="006936F5">
        <w:rPr>
          <w:rFonts w:cstheme="minorHAnsi"/>
          <w:lang w:val="sr-Latn-ME"/>
        </w:rPr>
        <w:t>a</w:t>
      </w:r>
      <w:r w:rsidRPr="00593418">
        <w:rPr>
          <w:rFonts w:cstheme="minorHAnsi"/>
          <w:lang w:val="sr-Latn-ME"/>
        </w:rPr>
        <w:t xml:space="preserve"> (fokus se stavlja na lokalni identitet, hranu, ljekovite činioc</w:t>
      </w:r>
      <w:r w:rsidR="009852EE">
        <w:rPr>
          <w:rFonts w:cstheme="minorHAnsi"/>
          <w:lang w:val="sr-Latn-ME"/>
        </w:rPr>
        <w:t>e i znanje u njihovoj primjeni)</w:t>
      </w:r>
      <w:r w:rsidR="00A967DB">
        <w:rPr>
          <w:rFonts w:cstheme="minorHAnsi"/>
          <w:lang w:val="sr-Latn-ME"/>
        </w:rPr>
        <w:t>;</w:t>
      </w:r>
    </w:p>
    <w:p w14:paraId="29DA130B" w14:textId="16750456" w:rsidR="00CD0F43" w:rsidRPr="00593418" w:rsidRDefault="00CD0F43" w:rsidP="005B5889">
      <w:pPr>
        <w:pStyle w:val="ListParagraph"/>
        <w:numPr>
          <w:ilvl w:val="0"/>
          <w:numId w:val="11"/>
        </w:numPr>
        <w:spacing w:before="0"/>
        <w:rPr>
          <w:rFonts w:cstheme="minorHAnsi"/>
          <w:b/>
          <w:lang w:val="sr-Latn-ME"/>
        </w:rPr>
      </w:pPr>
      <w:r w:rsidRPr="00593418">
        <w:rPr>
          <w:rFonts w:cstheme="minorHAnsi"/>
          <w:lang w:val="sr-Latn-ME"/>
        </w:rPr>
        <w:t xml:space="preserve">Primjena rezultata istraživanja iz oblasti sporta na ponudu u sportsko-rekreativnom </w:t>
      </w:r>
      <w:r w:rsidR="00243FC7">
        <w:rPr>
          <w:rFonts w:cstheme="minorHAnsi"/>
          <w:lang w:val="sr-Latn-ME"/>
        </w:rPr>
        <w:t>i „wel</w:t>
      </w:r>
      <w:r w:rsidR="00A355D3">
        <w:rPr>
          <w:rFonts w:cstheme="minorHAnsi"/>
          <w:lang w:val="sr-Latn-ME"/>
        </w:rPr>
        <w:t>l</w:t>
      </w:r>
      <w:r w:rsidR="00243FC7">
        <w:rPr>
          <w:rFonts w:cstheme="minorHAnsi"/>
          <w:lang w:val="sr-Latn-ME"/>
        </w:rPr>
        <w:t xml:space="preserve">ness“ </w:t>
      </w:r>
      <w:r w:rsidRPr="00593418">
        <w:rPr>
          <w:rFonts w:cstheme="minorHAnsi"/>
          <w:lang w:val="sr-Latn-ME"/>
        </w:rPr>
        <w:t>turizmu</w:t>
      </w:r>
      <w:r w:rsidR="00A967DB">
        <w:rPr>
          <w:rFonts w:cstheme="minorHAnsi"/>
          <w:lang w:val="sr-Latn-ME"/>
        </w:rPr>
        <w:t>.</w:t>
      </w:r>
    </w:p>
    <w:p w14:paraId="2E19656A" w14:textId="77777777" w:rsidR="00CD0F43" w:rsidRPr="00593418" w:rsidRDefault="00CD0F43" w:rsidP="00F17001">
      <w:pPr>
        <w:pStyle w:val="ListParagraph"/>
        <w:spacing w:before="0"/>
        <w:rPr>
          <w:rFonts w:cstheme="minorHAnsi"/>
          <w:lang w:val="sr-Latn-ME"/>
        </w:rPr>
      </w:pPr>
    </w:p>
    <w:p w14:paraId="74A8057F" w14:textId="38A29126" w:rsidR="00363582" w:rsidRPr="0021212C" w:rsidRDefault="00CD0F43" w:rsidP="00457B32">
      <w:pPr>
        <w:rPr>
          <w:rFonts w:cstheme="minorHAnsi"/>
          <w:b/>
        </w:rPr>
      </w:pPr>
      <w:r w:rsidRPr="0021212C">
        <w:rPr>
          <w:rFonts w:cstheme="minorHAnsi"/>
          <w:b/>
        </w:rPr>
        <w:t>OKRUŽE</w:t>
      </w:r>
      <w:r w:rsidR="003D633A" w:rsidRPr="0021212C">
        <w:rPr>
          <w:rFonts w:cstheme="minorHAnsi"/>
          <w:b/>
        </w:rPr>
        <w:t>NJE ZA ISTRAŽIVANJE I INOVACIJE</w:t>
      </w:r>
    </w:p>
    <w:p w14:paraId="53416166" w14:textId="79097A8B" w:rsidR="00CD0F43" w:rsidRPr="00593418" w:rsidRDefault="00CD0F43" w:rsidP="00457B32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NAUČNO</w:t>
      </w:r>
      <w:r w:rsidR="009852EE">
        <w:rPr>
          <w:rFonts w:asciiTheme="minorHAnsi" w:hAnsiTheme="minorHAnsi" w:cstheme="minorHAnsi"/>
        </w:rPr>
        <w:t>-</w:t>
      </w:r>
      <w:r w:rsidRPr="00593418">
        <w:rPr>
          <w:rFonts w:asciiTheme="minorHAnsi" w:hAnsiTheme="minorHAnsi" w:cstheme="minorHAnsi"/>
        </w:rPr>
        <w:t>OBRAZOVNE INSTITUCIJE</w:t>
      </w:r>
    </w:p>
    <w:p w14:paraId="090DB962" w14:textId="5E25FB18" w:rsidR="00CD0F43" w:rsidRDefault="00CD0F43" w:rsidP="00966B2E">
      <w:pPr>
        <w:pStyle w:val="ListParagraph"/>
        <w:numPr>
          <w:ilvl w:val="0"/>
          <w:numId w:val="48"/>
        </w:numPr>
        <w:rPr>
          <w:rFonts w:ascii="Calibri" w:hAnsi="Calibri" w:cstheme="minorHAnsi"/>
          <w:lang w:val="sr-Latn-ME"/>
        </w:rPr>
      </w:pPr>
      <w:r w:rsidRPr="00E6480F">
        <w:rPr>
          <w:rFonts w:ascii="Calibri" w:hAnsi="Calibri" w:cstheme="minorHAnsi"/>
          <w:lang w:val="sr-Latn-ME"/>
        </w:rPr>
        <w:t>Univerzitet Crne Gore</w:t>
      </w:r>
      <w:r w:rsidR="00A967DB" w:rsidRPr="00E6480F">
        <w:rPr>
          <w:rFonts w:ascii="Calibri" w:hAnsi="Calibri" w:cstheme="minorHAnsi"/>
          <w:lang w:val="sr-Latn-ME"/>
        </w:rPr>
        <w:t xml:space="preserve"> (UCG)</w:t>
      </w:r>
      <w:r w:rsidRPr="00E6480F">
        <w:rPr>
          <w:rFonts w:ascii="Calibri" w:hAnsi="Calibri" w:cstheme="minorHAnsi"/>
          <w:lang w:val="sr-Latn-ME"/>
        </w:rPr>
        <w:t>, Univerzitet Adriatik,</w:t>
      </w:r>
      <w:r w:rsidR="00D3540A" w:rsidRPr="00E6480F">
        <w:rPr>
          <w:rFonts w:cstheme="minorHAnsi"/>
          <w:lang w:val="sr-Latn-ME"/>
        </w:rPr>
        <w:t xml:space="preserve"> </w:t>
      </w:r>
      <w:r w:rsidRPr="00E6480F">
        <w:rPr>
          <w:rFonts w:ascii="Calibri" w:hAnsi="Calibri" w:cstheme="minorHAnsi"/>
          <w:lang w:val="sr-Latn-ME"/>
        </w:rPr>
        <w:t>Univerzitet Donja Gorica</w:t>
      </w:r>
      <w:r w:rsidR="00A967DB" w:rsidRPr="00E6480F">
        <w:rPr>
          <w:rFonts w:ascii="Calibri" w:hAnsi="Calibri" w:cstheme="minorHAnsi"/>
          <w:lang w:val="sr-Latn-ME"/>
        </w:rPr>
        <w:t xml:space="preserve"> (UDG)</w:t>
      </w:r>
      <w:r w:rsidRPr="00E6480F">
        <w:rPr>
          <w:rFonts w:ascii="Calibri" w:hAnsi="Calibri" w:cstheme="minorHAnsi"/>
          <w:lang w:val="sr-Latn-ME"/>
        </w:rPr>
        <w:t>,</w:t>
      </w:r>
      <w:r w:rsidR="00D3540A" w:rsidRPr="00E6480F">
        <w:rPr>
          <w:rFonts w:cstheme="minorHAnsi"/>
          <w:lang w:val="sr-Latn-ME"/>
        </w:rPr>
        <w:t xml:space="preserve"> </w:t>
      </w:r>
      <w:r w:rsidRPr="00E6480F">
        <w:rPr>
          <w:rFonts w:ascii="Calibri" w:hAnsi="Calibri" w:cstheme="minorHAnsi"/>
          <w:lang w:val="sr-Latn-ME"/>
        </w:rPr>
        <w:t>Univerzitet Mediteran</w:t>
      </w:r>
      <w:r w:rsidR="00D3540A" w:rsidRPr="00E6480F">
        <w:rPr>
          <w:rFonts w:cstheme="minorHAnsi"/>
          <w:lang w:val="sr-Latn-ME"/>
        </w:rPr>
        <w:t xml:space="preserve">, </w:t>
      </w:r>
      <w:r w:rsidRPr="00E6480F">
        <w:rPr>
          <w:rFonts w:ascii="Calibri" w:hAnsi="Calibri" w:cstheme="minorHAnsi"/>
          <w:lang w:val="sr-Latn-ME"/>
        </w:rPr>
        <w:t xml:space="preserve">Crnogorska </w:t>
      </w:r>
      <w:r w:rsidR="009852EE" w:rsidRPr="00E6480F">
        <w:rPr>
          <w:rFonts w:ascii="Calibri" w:hAnsi="Calibri" w:cstheme="minorHAnsi"/>
          <w:lang w:val="sr-Latn-ME"/>
        </w:rPr>
        <w:t>a</w:t>
      </w:r>
      <w:r w:rsidRPr="00E6480F">
        <w:rPr>
          <w:rFonts w:ascii="Calibri" w:hAnsi="Calibri" w:cstheme="minorHAnsi"/>
          <w:lang w:val="sr-Latn-ME"/>
        </w:rPr>
        <w:t>kademija nauka i umjetnosti</w:t>
      </w:r>
      <w:r w:rsidR="00A967DB" w:rsidRPr="00E6480F">
        <w:rPr>
          <w:rFonts w:ascii="Calibri" w:hAnsi="Calibri" w:cstheme="minorHAnsi"/>
          <w:lang w:val="sr-Latn-ME"/>
        </w:rPr>
        <w:t xml:space="preserve"> (CANU).</w:t>
      </w:r>
    </w:p>
    <w:p w14:paraId="721EA1A1" w14:textId="77777777" w:rsidR="008808D0" w:rsidRPr="00E6480F" w:rsidRDefault="008808D0" w:rsidP="008808D0">
      <w:pPr>
        <w:pStyle w:val="ListParagraph"/>
        <w:ind w:left="1800"/>
        <w:rPr>
          <w:rFonts w:ascii="Calibri" w:hAnsi="Calibri" w:cstheme="minorHAnsi"/>
          <w:lang w:val="sr-Latn-ME"/>
        </w:rPr>
      </w:pPr>
    </w:p>
    <w:p w14:paraId="6E8D8950" w14:textId="77777777" w:rsidR="00CD0F43" w:rsidRPr="00593418" w:rsidRDefault="00CD0F43" w:rsidP="00457B32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KOMPANIJE</w:t>
      </w:r>
    </w:p>
    <w:p w14:paraId="65C70A1C" w14:textId="03A25177" w:rsidR="00DB40B7" w:rsidRDefault="009852EE" w:rsidP="00457B32">
      <w:pPr>
        <w:pStyle w:val="ListParagraph"/>
        <w:numPr>
          <w:ilvl w:val="0"/>
          <w:numId w:val="48"/>
        </w:numPr>
        <w:rPr>
          <w:rFonts w:cstheme="minorHAnsi"/>
          <w:lang w:val="sr-Latn-ME"/>
        </w:rPr>
      </w:pPr>
      <w:r>
        <w:rPr>
          <w:rFonts w:cstheme="minorHAnsi"/>
          <w:lang w:val="sr-Latn-ME"/>
        </w:rPr>
        <w:t>Institut ‚‚Dr</w:t>
      </w:r>
      <w:r w:rsidR="00CD0F43" w:rsidRPr="00593418">
        <w:rPr>
          <w:rFonts w:cstheme="minorHAnsi"/>
          <w:lang w:val="sr-Latn-ME"/>
        </w:rPr>
        <w:t xml:space="preserve"> Simo Milošević“, Opšta bolnica „Meljine“, hoteli i odmarališta, turističke agencije, privatne zdravstvene ustanove, farmaceutske kompanije, ICT kompanije, IPC </w:t>
      </w:r>
      <w:r w:rsidR="00A967DB">
        <w:rPr>
          <w:rFonts w:cstheme="minorHAnsi"/>
          <w:lang w:val="sr-Latn-ME"/>
        </w:rPr>
        <w:t>„</w:t>
      </w:r>
      <w:r w:rsidR="00CD0F43" w:rsidRPr="00593418">
        <w:rPr>
          <w:rFonts w:cstheme="minorHAnsi"/>
          <w:lang w:val="sr-Latn-ME"/>
        </w:rPr>
        <w:t>Tehnopolis</w:t>
      </w:r>
      <w:r w:rsidR="00A967DB">
        <w:rPr>
          <w:rFonts w:cstheme="minorHAnsi"/>
          <w:lang w:val="sr-Latn-ME"/>
        </w:rPr>
        <w:t>“.</w:t>
      </w:r>
    </w:p>
    <w:p w14:paraId="051BF363" w14:textId="77777777" w:rsidR="008808D0" w:rsidRPr="008808D0" w:rsidRDefault="008808D0" w:rsidP="008808D0">
      <w:pPr>
        <w:pStyle w:val="ListParagraph"/>
        <w:ind w:left="1800"/>
        <w:rPr>
          <w:rFonts w:cstheme="minorHAnsi"/>
          <w:lang w:val="sr-Latn-ME"/>
        </w:rPr>
      </w:pPr>
    </w:p>
    <w:p w14:paraId="2B043C31" w14:textId="406109F0" w:rsidR="00CD0F43" w:rsidRDefault="00CD0F43" w:rsidP="00457B32">
      <w:pPr>
        <w:spacing w:after="120" w:line="240" w:lineRule="auto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POSLOVNE ASOCIJACIJE</w:t>
      </w:r>
    </w:p>
    <w:p w14:paraId="67D01865" w14:textId="77777777" w:rsidR="00DB40B7" w:rsidRPr="00593418" w:rsidRDefault="00DB40B7" w:rsidP="00457B32">
      <w:pPr>
        <w:spacing w:after="120" w:line="240" w:lineRule="auto"/>
        <w:rPr>
          <w:rFonts w:asciiTheme="minorHAnsi" w:hAnsiTheme="minorHAnsi" w:cstheme="minorHAnsi"/>
        </w:rPr>
      </w:pPr>
    </w:p>
    <w:p w14:paraId="1A8F8DDB" w14:textId="210E53D3" w:rsidR="006936F5" w:rsidRPr="008808D0" w:rsidRDefault="00CD0F43" w:rsidP="00457B32">
      <w:pPr>
        <w:pStyle w:val="ListParagraph"/>
        <w:numPr>
          <w:ilvl w:val="0"/>
          <w:numId w:val="48"/>
        </w:numPr>
        <w:rPr>
          <w:rFonts w:cstheme="minorHAnsi"/>
          <w:lang w:val="sr-Latn-ME"/>
        </w:rPr>
      </w:pPr>
      <w:r w:rsidRPr="00E6480F">
        <w:rPr>
          <w:rFonts w:ascii="Calibri" w:hAnsi="Calibri" w:cstheme="minorHAnsi"/>
          <w:kern w:val="1"/>
          <w:lang w:val="sr-Latn-ME"/>
        </w:rPr>
        <w:t>Privredna komora Crne Gore</w:t>
      </w:r>
      <w:r w:rsidR="00DB40B7" w:rsidRPr="00E6480F">
        <w:rPr>
          <w:rFonts w:ascii="Calibri" w:hAnsi="Calibri" w:cstheme="minorHAnsi"/>
          <w:kern w:val="1"/>
          <w:lang w:val="sr-Latn-ME"/>
        </w:rPr>
        <w:t xml:space="preserve"> (PKCG)</w:t>
      </w:r>
      <w:r w:rsidRPr="00E6480F">
        <w:rPr>
          <w:rFonts w:ascii="Calibri" w:hAnsi="Calibri" w:cstheme="minorHAnsi"/>
          <w:kern w:val="1"/>
          <w:lang w:val="sr-Latn-ME"/>
        </w:rPr>
        <w:t>, Unija poslodavaca</w:t>
      </w:r>
      <w:r w:rsidR="00DB40B7" w:rsidRPr="00E6480F">
        <w:rPr>
          <w:rFonts w:ascii="Calibri" w:hAnsi="Calibri" w:cstheme="minorHAnsi"/>
          <w:kern w:val="1"/>
          <w:lang w:val="sr-Latn-ME"/>
        </w:rPr>
        <w:t xml:space="preserve"> (UP)</w:t>
      </w:r>
      <w:r w:rsidRPr="00E6480F">
        <w:rPr>
          <w:rFonts w:ascii="Calibri" w:hAnsi="Calibri" w:cstheme="minorHAnsi"/>
          <w:kern w:val="1"/>
          <w:lang w:val="sr-Latn-ME"/>
        </w:rPr>
        <w:t xml:space="preserve">, </w:t>
      </w:r>
      <w:r w:rsidR="00DB40B7" w:rsidRPr="00E6480F">
        <w:rPr>
          <w:rFonts w:ascii="Calibri" w:hAnsi="Calibri" w:cstheme="minorHAnsi"/>
          <w:kern w:val="1"/>
          <w:lang w:val="sr-Latn-ME"/>
        </w:rPr>
        <w:t>Montenegro Biznis Alijansa (</w:t>
      </w:r>
      <w:r w:rsidRPr="00E6480F">
        <w:rPr>
          <w:rFonts w:ascii="Calibri" w:hAnsi="Calibri" w:cstheme="minorHAnsi"/>
          <w:kern w:val="1"/>
          <w:lang w:val="sr-Latn-ME"/>
        </w:rPr>
        <w:t>MBA</w:t>
      </w:r>
      <w:r w:rsidR="00DB40B7" w:rsidRPr="00E6480F">
        <w:rPr>
          <w:rFonts w:ascii="Calibri" w:hAnsi="Calibri" w:cstheme="minorHAnsi"/>
          <w:kern w:val="1"/>
          <w:lang w:val="sr-Latn-ME"/>
        </w:rPr>
        <w:t>)</w:t>
      </w:r>
      <w:r w:rsidRPr="00E6480F">
        <w:rPr>
          <w:rFonts w:ascii="Calibri" w:hAnsi="Calibri" w:cstheme="minorHAnsi"/>
          <w:kern w:val="1"/>
          <w:lang w:val="sr-Latn-ME"/>
        </w:rPr>
        <w:t xml:space="preserve">, Ljekarska </w:t>
      </w:r>
      <w:r w:rsidR="009852EE" w:rsidRPr="00E6480F">
        <w:rPr>
          <w:rFonts w:ascii="Calibri" w:hAnsi="Calibri" w:cstheme="minorHAnsi"/>
          <w:kern w:val="1"/>
          <w:lang w:val="sr-Latn-ME"/>
        </w:rPr>
        <w:t>k</w:t>
      </w:r>
      <w:r w:rsidRPr="00E6480F">
        <w:rPr>
          <w:rFonts w:ascii="Calibri" w:hAnsi="Calibri" w:cstheme="minorHAnsi"/>
          <w:kern w:val="1"/>
          <w:lang w:val="sr-Latn-ME"/>
        </w:rPr>
        <w:t>omora Crne Gore</w:t>
      </w:r>
      <w:r w:rsidR="00DB40B7" w:rsidRPr="00E6480F">
        <w:rPr>
          <w:rFonts w:ascii="Calibri" w:hAnsi="Calibri" w:cstheme="minorHAnsi"/>
          <w:kern w:val="1"/>
          <w:lang w:val="sr-Latn-ME"/>
        </w:rPr>
        <w:t xml:space="preserve"> (LJKCG)</w:t>
      </w:r>
      <w:r w:rsidRPr="00E6480F">
        <w:rPr>
          <w:rFonts w:ascii="Calibri" w:hAnsi="Calibri" w:cstheme="minorHAnsi"/>
          <w:kern w:val="1"/>
          <w:lang w:val="sr-Latn-ME"/>
        </w:rPr>
        <w:t xml:space="preserve">, Farmaceutska </w:t>
      </w:r>
      <w:r w:rsidR="009852EE" w:rsidRPr="00E6480F">
        <w:rPr>
          <w:rFonts w:ascii="Calibri" w:hAnsi="Calibri" w:cstheme="minorHAnsi"/>
          <w:kern w:val="1"/>
          <w:lang w:val="sr-Latn-ME"/>
        </w:rPr>
        <w:t>k</w:t>
      </w:r>
      <w:r w:rsidRPr="00E6480F">
        <w:rPr>
          <w:rFonts w:ascii="Calibri" w:hAnsi="Calibri" w:cstheme="minorHAnsi"/>
          <w:kern w:val="1"/>
          <w:lang w:val="sr-Latn-ME"/>
        </w:rPr>
        <w:t xml:space="preserve">omora Crne Gore, Stomatološka </w:t>
      </w:r>
      <w:r w:rsidR="009852EE" w:rsidRPr="00E6480F">
        <w:rPr>
          <w:rFonts w:ascii="Calibri" w:hAnsi="Calibri" w:cstheme="minorHAnsi"/>
          <w:kern w:val="1"/>
          <w:lang w:val="sr-Latn-ME"/>
        </w:rPr>
        <w:t>k</w:t>
      </w:r>
      <w:r w:rsidRPr="00E6480F">
        <w:rPr>
          <w:rFonts w:ascii="Calibri" w:hAnsi="Calibri" w:cstheme="minorHAnsi"/>
          <w:kern w:val="1"/>
          <w:lang w:val="sr-Latn-ME"/>
        </w:rPr>
        <w:t xml:space="preserve">omora Crne Gore, Komora fizioterapeuta, </w:t>
      </w:r>
      <w:r w:rsidR="0051342F" w:rsidRPr="00E6480F">
        <w:rPr>
          <w:rFonts w:ascii="Calibri" w:hAnsi="Calibri" w:cstheme="minorHAnsi"/>
          <w:kern w:val="1"/>
          <w:lang w:val="sr-Latn-ME"/>
        </w:rPr>
        <w:t xml:space="preserve">Klaster zdravstvenog turizma </w:t>
      </w:r>
    </w:p>
    <w:p w14:paraId="3DB28A4A" w14:textId="77777777" w:rsidR="008808D0" w:rsidRPr="00923467" w:rsidRDefault="008808D0" w:rsidP="008808D0">
      <w:pPr>
        <w:pStyle w:val="ListParagraph"/>
        <w:ind w:left="1800"/>
        <w:rPr>
          <w:rFonts w:cstheme="minorHAnsi"/>
          <w:lang w:val="sr-Latn-ME"/>
        </w:rPr>
      </w:pPr>
    </w:p>
    <w:p w14:paraId="1B1E313A" w14:textId="1041D6C4" w:rsidR="00CD0F43" w:rsidRPr="00F270D5" w:rsidRDefault="00CD0F43" w:rsidP="00923467">
      <w:pPr>
        <w:rPr>
          <w:rFonts w:cstheme="minorHAnsi"/>
        </w:rPr>
      </w:pPr>
      <w:r w:rsidRPr="00AC47E2">
        <w:rPr>
          <w:rFonts w:cstheme="minorHAnsi"/>
        </w:rPr>
        <w:t xml:space="preserve">JAVNE </w:t>
      </w:r>
      <w:r w:rsidRPr="00F270D5">
        <w:rPr>
          <w:rFonts w:cstheme="minorHAnsi"/>
        </w:rPr>
        <w:t>INSTITUCIJE</w:t>
      </w:r>
    </w:p>
    <w:p w14:paraId="0275F39A" w14:textId="433E44CB" w:rsidR="008808D0" w:rsidRDefault="00CD0F43" w:rsidP="008808D0">
      <w:pPr>
        <w:pStyle w:val="ListParagraph"/>
        <w:numPr>
          <w:ilvl w:val="0"/>
          <w:numId w:val="48"/>
        </w:numPr>
        <w:rPr>
          <w:rFonts w:cstheme="minorHAnsi"/>
          <w:lang w:val="sr-Latn-ME"/>
        </w:rPr>
      </w:pPr>
      <w:r w:rsidRPr="00E6480F">
        <w:rPr>
          <w:rFonts w:ascii="Calibri" w:hAnsi="Calibri" w:cstheme="minorHAnsi"/>
          <w:kern w:val="1"/>
          <w:lang w:val="sr-Latn-ME"/>
        </w:rPr>
        <w:t>Ministarstvo zdravlja</w:t>
      </w:r>
      <w:r w:rsidR="008E6150" w:rsidRPr="00E6480F">
        <w:rPr>
          <w:rFonts w:cstheme="minorHAnsi"/>
          <w:lang w:val="sr-Latn-ME"/>
        </w:rPr>
        <w:t xml:space="preserve"> (MZ)</w:t>
      </w:r>
      <w:r w:rsidRPr="00E6480F">
        <w:rPr>
          <w:rFonts w:cstheme="minorHAnsi"/>
          <w:lang w:val="sr-Latn-ME"/>
        </w:rPr>
        <w:t>,</w:t>
      </w:r>
      <w:r w:rsidRPr="00E6480F">
        <w:rPr>
          <w:rFonts w:cs="font332"/>
          <w:lang w:val="sr-Latn-ME"/>
        </w:rPr>
        <w:t xml:space="preserve"> Ministarstvo nauke</w:t>
      </w:r>
      <w:r w:rsidR="008E6150" w:rsidRPr="00E6480F">
        <w:rPr>
          <w:rFonts w:cstheme="minorHAnsi"/>
          <w:lang w:val="sr-Latn-ME"/>
        </w:rPr>
        <w:t xml:space="preserve"> (MNA)</w:t>
      </w:r>
      <w:r w:rsidRPr="00E6480F">
        <w:rPr>
          <w:rFonts w:cstheme="minorHAnsi"/>
          <w:lang w:val="sr-Latn-ME"/>
        </w:rPr>
        <w:t>,</w:t>
      </w:r>
      <w:r w:rsidRPr="00E6480F">
        <w:rPr>
          <w:rFonts w:cs="font332"/>
          <w:lang w:val="sr-Latn-ME"/>
        </w:rPr>
        <w:t xml:space="preserve"> Ministarstvo održivog razvoja i turizma</w:t>
      </w:r>
      <w:r w:rsidR="008E6150" w:rsidRPr="00E6480F">
        <w:rPr>
          <w:rFonts w:cstheme="minorHAnsi"/>
          <w:lang w:val="sr-Latn-ME"/>
        </w:rPr>
        <w:t xml:space="preserve"> (MORT)</w:t>
      </w:r>
      <w:r w:rsidRPr="00E6480F">
        <w:rPr>
          <w:rFonts w:cstheme="minorHAnsi"/>
          <w:lang w:val="sr-Latn-ME"/>
        </w:rPr>
        <w:t>,</w:t>
      </w:r>
      <w:r w:rsidRPr="00E6480F">
        <w:rPr>
          <w:rFonts w:cs="font332"/>
          <w:lang w:val="sr-Latn-ME"/>
        </w:rPr>
        <w:t xml:space="preserve"> Ministarstvo prosvjete</w:t>
      </w:r>
      <w:r w:rsidR="008E6150" w:rsidRPr="00E6480F">
        <w:rPr>
          <w:rFonts w:cstheme="minorHAnsi"/>
          <w:lang w:val="sr-Latn-ME"/>
        </w:rPr>
        <w:t xml:space="preserve"> (MP)</w:t>
      </w:r>
      <w:r w:rsidRPr="00E6480F">
        <w:rPr>
          <w:rFonts w:cstheme="minorHAnsi"/>
          <w:lang w:val="sr-Latn-ME"/>
        </w:rPr>
        <w:t>,</w:t>
      </w:r>
      <w:r w:rsidRPr="00E6480F">
        <w:rPr>
          <w:rFonts w:cs="font332"/>
          <w:lang w:val="sr-Latn-ME"/>
        </w:rPr>
        <w:t xml:space="preserve"> Ministarstvo poljoprivrede i ruralnog razvoja</w:t>
      </w:r>
      <w:r w:rsidR="008E6150" w:rsidRPr="00E6480F">
        <w:rPr>
          <w:rFonts w:cstheme="minorHAnsi"/>
          <w:lang w:val="sr-Latn-ME"/>
        </w:rPr>
        <w:t xml:space="preserve"> (MPR</w:t>
      </w:r>
      <w:r w:rsidR="002107CD" w:rsidRPr="00E6480F">
        <w:rPr>
          <w:rFonts w:cstheme="minorHAnsi"/>
          <w:lang w:val="sr-Latn-ME"/>
        </w:rPr>
        <w:t>R)</w:t>
      </w:r>
      <w:r w:rsidRPr="00E6480F">
        <w:rPr>
          <w:rFonts w:cstheme="minorHAnsi"/>
          <w:lang w:val="sr-Latn-ME"/>
        </w:rPr>
        <w:t>,</w:t>
      </w:r>
      <w:r w:rsidRPr="00E6480F">
        <w:rPr>
          <w:rFonts w:cs="font332"/>
          <w:lang w:val="sr-Latn-ME"/>
        </w:rPr>
        <w:t xml:space="preserve"> Ministarstvo sporta</w:t>
      </w:r>
      <w:r w:rsidR="002107CD" w:rsidRPr="00E6480F">
        <w:rPr>
          <w:rFonts w:cstheme="minorHAnsi"/>
          <w:lang w:val="sr-Latn-ME"/>
        </w:rPr>
        <w:t xml:space="preserve"> (MS)</w:t>
      </w:r>
      <w:r w:rsidRPr="00E6480F">
        <w:rPr>
          <w:rFonts w:cstheme="minorHAnsi"/>
          <w:lang w:val="sr-Latn-ME"/>
        </w:rPr>
        <w:t>,</w:t>
      </w:r>
      <w:r w:rsidRPr="00E6480F">
        <w:rPr>
          <w:rFonts w:cs="font332"/>
          <w:lang w:val="sr-Latn-ME"/>
        </w:rPr>
        <w:t xml:space="preserve"> Nacionalna turistička organizacija Crne Gore</w:t>
      </w:r>
      <w:r w:rsidR="002107CD" w:rsidRPr="00E6480F">
        <w:rPr>
          <w:rFonts w:cstheme="minorHAnsi"/>
          <w:lang w:val="sr-Latn-ME"/>
        </w:rPr>
        <w:t xml:space="preserve"> (NTO)</w:t>
      </w:r>
      <w:r w:rsidRPr="00E6480F">
        <w:rPr>
          <w:rFonts w:cstheme="minorHAnsi"/>
          <w:lang w:val="sr-Latn-ME"/>
        </w:rPr>
        <w:t>,</w:t>
      </w:r>
      <w:r w:rsidRPr="00E6480F">
        <w:rPr>
          <w:rFonts w:cs="font332"/>
          <w:lang w:val="sr-Latn-ME"/>
        </w:rPr>
        <w:t xml:space="preserve"> </w:t>
      </w:r>
      <w:r w:rsidR="009852EE" w:rsidRPr="00E6480F">
        <w:rPr>
          <w:rFonts w:cs="font332"/>
          <w:lang w:val="sr-Latn-ME"/>
        </w:rPr>
        <w:t>l</w:t>
      </w:r>
      <w:r w:rsidRPr="00E6480F">
        <w:rPr>
          <w:rFonts w:cstheme="minorHAnsi"/>
          <w:lang w:val="sr-Latn-ME"/>
        </w:rPr>
        <w:t>okalne turističke organizacije Crne Gore, JP Morsko dobro, JP Nacionalni parkovi, JP Skijališta Crne Gore, Institut za javno zdravlje Crne Gore; Institut za standardizaciju Crne Gore, Klinički centar Crne Gore</w:t>
      </w:r>
      <w:r w:rsidR="00DB40B7" w:rsidRPr="00E6480F">
        <w:rPr>
          <w:rFonts w:cstheme="minorHAnsi"/>
          <w:lang w:val="sr-Latn-ME"/>
        </w:rPr>
        <w:t xml:space="preserve"> (KCCG)</w:t>
      </w:r>
      <w:r w:rsidRPr="00E6480F">
        <w:rPr>
          <w:rFonts w:cstheme="minorHAnsi"/>
          <w:lang w:val="sr-Latn-ME"/>
        </w:rPr>
        <w:t xml:space="preserve">; </w:t>
      </w:r>
      <w:r w:rsidRPr="00E6480F">
        <w:rPr>
          <w:rFonts w:cstheme="minorHAnsi"/>
          <w:lang w:val="sr-Latn-ME"/>
        </w:rPr>
        <w:lastRenderedPageBreak/>
        <w:t>Crnogorska agencija za ljekove i medicinska sredstva</w:t>
      </w:r>
      <w:r w:rsidR="00DB40B7" w:rsidRPr="00E6480F">
        <w:rPr>
          <w:rFonts w:cstheme="minorHAnsi"/>
          <w:lang w:val="sr-Latn-ME"/>
        </w:rPr>
        <w:t xml:space="preserve"> (CALIMS)</w:t>
      </w:r>
      <w:r w:rsidRPr="00E6480F">
        <w:rPr>
          <w:rFonts w:cstheme="minorHAnsi"/>
          <w:lang w:val="sr-Latn-ME"/>
        </w:rPr>
        <w:t>; OB „Danilo I“ Cetinje;  Javna ustanova za smještaj, rehabilitaciju i resocijalizaciju korisnika psihoaktivnih supstanci Podgorica;  Centar za autizam, razvojne smetnje i dječju psihijatriju „Ognjen Rakočević“; Javna apotekarska ustanova Montefarm, Investiciono-razvojni fond</w:t>
      </w:r>
      <w:r w:rsidR="00DB40B7" w:rsidRPr="00E6480F">
        <w:rPr>
          <w:rFonts w:cstheme="minorHAnsi"/>
          <w:lang w:val="sr-Latn-ME"/>
        </w:rPr>
        <w:t xml:space="preserve"> (IRF)</w:t>
      </w:r>
      <w:r w:rsidRPr="00E6480F">
        <w:rPr>
          <w:rFonts w:cstheme="minorHAnsi"/>
          <w:lang w:val="sr-Latn-ME"/>
        </w:rPr>
        <w:t>, Sekretarijat za razvojne projekte.</w:t>
      </w:r>
    </w:p>
    <w:p w14:paraId="46E1F504" w14:textId="77777777" w:rsidR="008808D0" w:rsidRPr="008808D0" w:rsidRDefault="008808D0" w:rsidP="008808D0">
      <w:pPr>
        <w:pStyle w:val="ListParagraph"/>
        <w:ind w:left="1800"/>
        <w:rPr>
          <w:rFonts w:cstheme="minorHAnsi"/>
          <w:lang w:val="sr-Latn-ME"/>
        </w:rPr>
      </w:pPr>
    </w:p>
    <w:p w14:paraId="45441B24" w14:textId="77777777" w:rsidR="00CD0F43" w:rsidRPr="00966B2E" w:rsidRDefault="00CD0F43" w:rsidP="00966B2E">
      <w:pPr>
        <w:spacing w:after="120" w:line="240" w:lineRule="auto"/>
        <w:jc w:val="both"/>
        <w:rPr>
          <w:rFonts w:asciiTheme="minorHAnsi" w:eastAsiaTheme="minorHAnsi" w:hAnsiTheme="minorHAnsi" w:cstheme="minorHAnsi"/>
          <w:kern w:val="0"/>
        </w:rPr>
      </w:pPr>
      <w:r w:rsidRPr="00966B2E">
        <w:rPr>
          <w:rFonts w:asciiTheme="minorHAnsi" w:eastAsiaTheme="minorHAnsi" w:hAnsiTheme="minorHAnsi" w:cstheme="minorHAnsi"/>
          <w:kern w:val="0"/>
        </w:rPr>
        <w:t>CIVILNI SEKTOR</w:t>
      </w:r>
    </w:p>
    <w:p w14:paraId="60D2042D" w14:textId="094F5FB0" w:rsidR="00CD0F43" w:rsidRPr="00923467" w:rsidRDefault="00DD4A13" w:rsidP="00024A19">
      <w:pPr>
        <w:pStyle w:val="ListParagraph"/>
        <w:numPr>
          <w:ilvl w:val="0"/>
          <w:numId w:val="48"/>
        </w:numPr>
        <w:rPr>
          <w:rFonts w:cstheme="minorHAnsi"/>
          <w:lang w:val="it-IT"/>
        </w:rPr>
      </w:pPr>
      <w:r w:rsidRPr="00923467">
        <w:rPr>
          <w:rFonts w:cstheme="minorHAnsi"/>
          <w:lang w:val="it-IT"/>
        </w:rPr>
        <w:t>Crnogorsko turističko udruženje (</w:t>
      </w:r>
      <w:r w:rsidR="00CD0F43" w:rsidRPr="00923467">
        <w:rPr>
          <w:lang w:val="it-IT"/>
        </w:rPr>
        <w:t>CTU</w:t>
      </w:r>
      <w:r w:rsidRPr="00923467">
        <w:rPr>
          <w:rFonts w:cstheme="minorHAnsi"/>
          <w:lang w:val="it-IT"/>
        </w:rPr>
        <w:t>)</w:t>
      </w:r>
      <w:r w:rsidR="00CD0F43" w:rsidRPr="00923467">
        <w:rPr>
          <w:rFonts w:cstheme="minorHAnsi"/>
          <w:lang w:val="it-IT"/>
        </w:rPr>
        <w:t>,</w:t>
      </w:r>
      <w:r w:rsidR="00CD0F43" w:rsidRPr="00923467">
        <w:rPr>
          <w:lang w:val="it-IT"/>
        </w:rPr>
        <w:t xml:space="preserve"> Udruženje stranih investitora</w:t>
      </w:r>
      <w:r w:rsidR="00B845A4" w:rsidRPr="00923467">
        <w:rPr>
          <w:lang w:val="it-IT"/>
        </w:rPr>
        <w:t>.</w:t>
      </w:r>
    </w:p>
    <w:p w14:paraId="1633486C" w14:textId="77777777" w:rsidR="00CB6A38" w:rsidRPr="00966B2E" w:rsidRDefault="00CB6A38" w:rsidP="00966B2E">
      <w:pPr>
        <w:rPr>
          <w:rFonts w:cstheme="minorHAnsi"/>
        </w:rPr>
      </w:pPr>
    </w:p>
    <w:p w14:paraId="535252FA" w14:textId="1225D031" w:rsidR="00305A2C" w:rsidRPr="00363582" w:rsidRDefault="00305A2C" w:rsidP="00363582">
      <w:pPr>
        <w:jc w:val="center"/>
        <w:rPr>
          <w:rFonts w:asciiTheme="majorHAnsi" w:hAnsiTheme="majorHAnsi" w:cstheme="minorHAnsi"/>
          <w:b/>
          <w:sz w:val="20"/>
          <w:szCs w:val="20"/>
        </w:rPr>
      </w:pPr>
      <w:r w:rsidRPr="00363582">
        <w:rPr>
          <w:b/>
          <w:sz w:val="20"/>
          <w:szCs w:val="20"/>
        </w:rPr>
        <w:t>Sinergijski efekat u odnosu na ostale prioritetne sektore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6324"/>
      </w:tblGrid>
      <w:tr w:rsidR="00305A2C" w:rsidRPr="00D11F09" w14:paraId="6ABE7012" w14:textId="77777777" w:rsidTr="00363582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69F" w14:textId="77777777" w:rsidR="00305A2C" w:rsidRPr="00305A2C" w:rsidRDefault="00305A2C" w:rsidP="00C577DE">
            <w:pPr>
              <w:rPr>
                <w:rFonts w:asciiTheme="majorHAnsi" w:hAnsiTheme="majorHAnsi" w:cs="Times New Roman"/>
                <w:b/>
                <w:bCs/>
                <w:lang w:val="sr-Latn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D26C" w14:textId="77777777" w:rsidR="00305A2C" w:rsidRPr="0021212C" w:rsidRDefault="00305A2C" w:rsidP="00C577DE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21212C">
              <w:rPr>
                <w:rFonts w:asciiTheme="minorHAnsi" w:hAnsiTheme="minorHAnsi" w:cstheme="minorHAnsi"/>
                <w:b/>
                <w:bCs/>
                <w:lang w:val="sr-Latn-RS"/>
              </w:rPr>
              <w:t>Održivi i zdravstveni turizam</w:t>
            </w:r>
          </w:p>
        </w:tc>
      </w:tr>
      <w:tr w:rsidR="00305A2C" w:rsidRPr="00D11F09" w14:paraId="75D1F170" w14:textId="77777777" w:rsidTr="00363582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3F87" w14:textId="77777777" w:rsidR="00305A2C" w:rsidRPr="0021212C" w:rsidRDefault="00305A2C" w:rsidP="00C577DE">
            <w:pPr>
              <w:rPr>
                <w:rFonts w:asciiTheme="minorHAnsi" w:hAnsiTheme="minorHAnsi" w:cs="Times New Roman"/>
                <w:b/>
                <w:bCs/>
                <w:lang w:val="sr-Latn-RS"/>
              </w:rPr>
            </w:pPr>
            <w:r w:rsidRPr="0021212C">
              <w:rPr>
                <w:rFonts w:asciiTheme="minorHAnsi" w:hAnsiTheme="minorHAnsi" w:cs="Times New Roman"/>
                <w:b/>
                <w:bCs/>
                <w:lang w:val="sr-Latn-RS"/>
              </w:rPr>
              <w:t>Novi materijali i održive tehnologije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DBA" w14:textId="77777777" w:rsidR="00305A2C" w:rsidRDefault="00305A2C" w:rsidP="005B588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lang w:val="hr-HR"/>
              </w:rPr>
            </w:pPr>
            <w:r w:rsidRPr="0021212C">
              <w:rPr>
                <w:rFonts w:cstheme="minorHAnsi"/>
                <w:lang w:val="hr-HR"/>
              </w:rPr>
              <w:t>Primjena nanomaterijala u zdravstvenom turizmu</w:t>
            </w:r>
          </w:p>
          <w:p w14:paraId="3737E17B" w14:textId="6B79D866" w:rsidR="00305A2C" w:rsidRPr="0021212C" w:rsidRDefault="00C66B1B" w:rsidP="005B5889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lang w:val="hr-HR"/>
              </w:rPr>
            </w:pPr>
            <w:r w:rsidRPr="00966B2E">
              <w:rPr>
                <w:rFonts w:cstheme="minorHAnsi"/>
                <w:lang w:val="hr-HR"/>
              </w:rPr>
              <w:t>P</w:t>
            </w:r>
            <w:r w:rsidR="00260B77" w:rsidRPr="00966B2E">
              <w:rPr>
                <w:rFonts w:cstheme="minorHAnsi"/>
                <w:lang w:val="hr-HR"/>
              </w:rPr>
              <w:t xml:space="preserve">rimjena mineralnih sirovina u kozmetologiji i farmaciji </w:t>
            </w:r>
            <w:r w:rsidR="00776354">
              <w:rPr>
                <w:rFonts w:cstheme="minorHAnsi"/>
                <w:lang w:val="hr-HR"/>
              </w:rPr>
              <w:br/>
              <w:t>(</w:t>
            </w:r>
            <w:r w:rsidR="00260B77" w:rsidRPr="00966B2E">
              <w:rPr>
                <w:rFonts w:cstheme="minorHAnsi"/>
                <w:lang w:val="hr-HR"/>
              </w:rPr>
              <w:t>bentonit i karbonatne stijene)</w:t>
            </w:r>
          </w:p>
        </w:tc>
      </w:tr>
      <w:tr w:rsidR="00305A2C" w:rsidRPr="00D11F09" w14:paraId="64624434" w14:textId="77777777" w:rsidTr="00363582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5A04" w14:textId="1EB42AB4" w:rsidR="00305A2C" w:rsidRPr="0021212C" w:rsidRDefault="00305A2C" w:rsidP="00C577DE">
            <w:pPr>
              <w:rPr>
                <w:rFonts w:asciiTheme="minorHAnsi" w:hAnsiTheme="minorHAnsi" w:cs="Times New Roman"/>
                <w:b/>
                <w:bCs/>
                <w:lang w:val="sr-Latn-RS"/>
              </w:rPr>
            </w:pPr>
            <w:r w:rsidRPr="0021212C">
              <w:rPr>
                <w:rFonts w:asciiTheme="minorHAnsi" w:hAnsiTheme="minorHAnsi" w:cs="Times New Roman"/>
                <w:b/>
                <w:bCs/>
                <w:lang w:val="sr-Latn-RS"/>
              </w:rPr>
              <w:t>Obnovljivi izvori energije</w:t>
            </w:r>
            <w:r w:rsidR="00F90CC2">
              <w:rPr>
                <w:rFonts w:asciiTheme="minorHAnsi" w:hAnsiTheme="minorHAnsi" w:cs="Times New Roman"/>
                <w:b/>
                <w:bCs/>
                <w:lang w:val="sr-Latn-RS"/>
              </w:rPr>
              <w:t xml:space="preserve"> i energetska efikasnost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10E1" w14:textId="34A0F466" w:rsidR="00305A2C" w:rsidRPr="0021212C" w:rsidRDefault="00305A2C" w:rsidP="00F203C3">
            <w:pPr>
              <w:pStyle w:val="ListParagraph"/>
              <w:numPr>
                <w:ilvl w:val="0"/>
                <w:numId w:val="14"/>
              </w:numPr>
              <w:spacing w:before="0"/>
              <w:jc w:val="left"/>
              <w:rPr>
                <w:noProof/>
                <w:lang w:val="hr-HR" w:eastAsia="en-GB"/>
              </w:rPr>
            </w:pPr>
            <w:r w:rsidRPr="0021212C">
              <w:rPr>
                <w:rFonts w:cstheme="minorHAnsi"/>
                <w:lang w:val="hr-HR"/>
              </w:rPr>
              <w:t>Energetska efikasnost</w:t>
            </w:r>
            <w:r w:rsidR="006936F5">
              <w:rPr>
                <w:rFonts w:cstheme="minorHAnsi"/>
                <w:lang w:val="hr-HR"/>
              </w:rPr>
              <w:t xml:space="preserve"> turističkih i zdravstvenih objekata </w:t>
            </w:r>
          </w:p>
        </w:tc>
      </w:tr>
      <w:tr w:rsidR="00305A2C" w:rsidRPr="00D11F09" w14:paraId="7875F401" w14:textId="77777777" w:rsidTr="00363582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F23" w14:textId="77777777" w:rsidR="00305A2C" w:rsidRPr="0021212C" w:rsidRDefault="00305A2C" w:rsidP="00C577DE">
            <w:pPr>
              <w:rPr>
                <w:rFonts w:asciiTheme="minorHAnsi" w:hAnsiTheme="minorHAnsi" w:cs="Times New Roman"/>
                <w:b/>
                <w:bCs/>
                <w:lang w:val="sr-Latn-RS"/>
              </w:rPr>
            </w:pPr>
            <w:r w:rsidRPr="0021212C">
              <w:rPr>
                <w:rFonts w:asciiTheme="minorHAnsi" w:hAnsiTheme="minorHAnsi" w:cs="Times New Roman"/>
                <w:b/>
                <w:bCs/>
                <w:lang w:val="sr-Latn-RS"/>
              </w:rPr>
              <w:t>Održiva poljoprivreda i lanac vrijednosti hrane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8F0" w14:textId="77777777" w:rsidR="00305A2C" w:rsidRPr="0021212C" w:rsidRDefault="00305A2C" w:rsidP="005B5889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noProof/>
                <w:lang w:val="hr-HR" w:eastAsia="en-GB"/>
              </w:rPr>
            </w:pPr>
            <w:r w:rsidRPr="0021212C">
              <w:rPr>
                <w:rFonts w:cstheme="minorHAnsi"/>
                <w:lang w:val="hr-HR"/>
              </w:rPr>
              <w:t>Proizvodnja ljekovitog bilja, eteričnih ulja, kozmetičkih, spa i dr. preparata.</w:t>
            </w:r>
          </w:p>
        </w:tc>
      </w:tr>
      <w:tr w:rsidR="00305A2C" w:rsidRPr="009E213D" w14:paraId="6CB2C413" w14:textId="77777777" w:rsidTr="00363582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BBE1" w14:textId="77777777" w:rsidR="00305A2C" w:rsidRPr="0021212C" w:rsidRDefault="00305A2C" w:rsidP="00C577DE">
            <w:pPr>
              <w:rPr>
                <w:rFonts w:asciiTheme="minorHAnsi" w:hAnsiTheme="minorHAnsi" w:cs="Times New Roman"/>
                <w:b/>
                <w:bCs/>
                <w:lang w:val="sr-Latn-RS"/>
              </w:rPr>
            </w:pPr>
            <w:r w:rsidRPr="0021212C">
              <w:rPr>
                <w:rFonts w:asciiTheme="minorHAnsi" w:hAnsiTheme="minorHAnsi" w:cs="Times New Roman"/>
                <w:b/>
                <w:bCs/>
                <w:lang w:val="sr-Latn-RS"/>
              </w:rPr>
              <w:t xml:space="preserve">ICT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7C6" w14:textId="24866D84" w:rsidR="00305A2C" w:rsidRPr="0021212C" w:rsidRDefault="00B66F3A" w:rsidP="00682887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>
              <w:rPr>
                <w:rFonts w:cstheme="majorHAnsi"/>
                <w:lang w:val="hr-HR"/>
              </w:rPr>
              <w:t>e</w:t>
            </w:r>
            <w:r w:rsidR="00305A2C" w:rsidRPr="0021212C">
              <w:rPr>
                <w:rFonts w:cstheme="majorHAnsi"/>
                <w:lang w:val="hr-HR"/>
              </w:rPr>
              <w:t>-zdravstveni servisi</w:t>
            </w:r>
          </w:p>
          <w:p w14:paraId="12D77306" w14:textId="32164BD7" w:rsidR="00305A2C" w:rsidRPr="0021212C" w:rsidRDefault="00682887" w:rsidP="00682887">
            <w:pPr>
              <w:pStyle w:val="ListParagraph"/>
              <w:numPr>
                <w:ilvl w:val="1"/>
                <w:numId w:val="13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</w:t>
            </w:r>
            <w:r w:rsidR="00305A2C" w:rsidRPr="0021212C">
              <w:rPr>
                <w:rFonts w:cstheme="minorHAnsi"/>
                <w:lang w:val="hr-HR"/>
              </w:rPr>
              <w:t>-zdravlje</w:t>
            </w:r>
          </w:p>
          <w:p w14:paraId="6E647A94" w14:textId="6670D29E" w:rsidR="00305A2C" w:rsidRPr="0021212C" w:rsidRDefault="00682887" w:rsidP="00682887">
            <w:pPr>
              <w:pStyle w:val="ListParagraph"/>
              <w:numPr>
                <w:ilvl w:val="1"/>
                <w:numId w:val="13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a</w:t>
            </w:r>
            <w:r w:rsidR="00305A2C" w:rsidRPr="0021212C">
              <w:rPr>
                <w:rFonts w:cstheme="minorHAnsi"/>
                <w:lang w:val="hr-HR"/>
              </w:rPr>
              <w:t>plikacije za zdravstveni turizam</w:t>
            </w:r>
          </w:p>
          <w:p w14:paraId="1FBF71F5" w14:textId="4E7D8AD8" w:rsidR="00305A2C" w:rsidRPr="0021212C" w:rsidRDefault="00682887" w:rsidP="00682887">
            <w:pPr>
              <w:pStyle w:val="ListParagraph"/>
              <w:numPr>
                <w:ilvl w:val="1"/>
                <w:numId w:val="13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>
              <w:rPr>
                <w:rFonts w:cstheme="minorHAnsi"/>
                <w:lang w:val="hr-HR"/>
              </w:rPr>
              <w:t>z</w:t>
            </w:r>
            <w:r w:rsidR="00305A2C" w:rsidRPr="0021212C">
              <w:rPr>
                <w:rFonts w:cstheme="minorHAnsi"/>
                <w:lang w:val="hr-HR"/>
              </w:rPr>
              <w:t xml:space="preserve">dravstveni informacioni sistemi </w:t>
            </w:r>
          </w:p>
          <w:p w14:paraId="0E8396F4" w14:textId="7552257D" w:rsidR="00305A2C" w:rsidRPr="0021212C" w:rsidRDefault="00682887" w:rsidP="00682887">
            <w:pPr>
              <w:pStyle w:val="ListParagraph"/>
              <w:numPr>
                <w:ilvl w:val="1"/>
                <w:numId w:val="13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</w:t>
            </w:r>
            <w:r w:rsidR="00305A2C" w:rsidRPr="0021212C">
              <w:rPr>
                <w:rFonts w:cstheme="minorHAnsi"/>
                <w:lang w:val="hr-HR"/>
              </w:rPr>
              <w:t>elemedicina</w:t>
            </w:r>
          </w:p>
          <w:p w14:paraId="6942C509" w14:textId="07CEAA86" w:rsidR="00305A2C" w:rsidRPr="0021212C" w:rsidRDefault="00B66F3A" w:rsidP="00682887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>
              <w:rPr>
                <w:rFonts w:cstheme="majorHAnsi"/>
                <w:lang w:val="hr-HR"/>
              </w:rPr>
              <w:t>e</w:t>
            </w:r>
            <w:r w:rsidR="00305A2C" w:rsidRPr="0021212C">
              <w:rPr>
                <w:rFonts w:cstheme="majorHAnsi"/>
                <w:lang w:val="hr-HR"/>
              </w:rPr>
              <w:t>-platforme i servisi  turističkih usluga</w:t>
            </w:r>
          </w:p>
          <w:p w14:paraId="418DE587" w14:textId="0A8AC5C9" w:rsidR="00305A2C" w:rsidRPr="0021212C" w:rsidRDefault="00682887" w:rsidP="00682887">
            <w:pPr>
              <w:pStyle w:val="ListParagraph"/>
              <w:numPr>
                <w:ilvl w:val="1"/>
                <w:numId w:val="13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</w:t>
            </w:r>
            <w:r w:rsidR="00305A2C" w:rsidRPr="0021212C">
              <w:rPr>
                <w:rFonts w:cstheme="minorHAnsi"/>
                <w:lang w:val="hr-HR"/>
              </w:rPr>
              <w:t>-turizam</w:t>
            </w:r>
          </w:p>
          <w:p w14:paraId="3634B8A9" w14:textId="77777777" w:rsidR="00682887" w:rsidRPr="00C577DE" w:rsidRDefault="00682887" w:rsidP="00682887">
            <w:pPr>
              <w:pStyle w:val="ListParagraph"/>
              <w:numPr>
                <w:ilvl w:val="1"/>
                <w:numId w:val="13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e-posjetilac</w:t>
            </w:r>
          </w:p>
          <w:p w14:paraId="737CAE17" w14:textId="0D66A781" w:rsidR="00305A2C" w:rsidRPr="0021212C" w:rsidRDefault="00682887" w:rsidP="00682887">
            <w:pPr>
              <w:pStyle w:val="ListParagraph"/>
              <w:numPr>
                <w:ilvl w:val="1"/>
                <w:numId w:val="13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a</w:t>
            </w:r>
            <w:r w:rsidR="00305A2C" w:rsidRPr="0021212C">
              <w:rPr>
                <w:rFonts w:cstheme="minorHAnsi"/>
                <w:lang w:val="hr-HR"/>
              </w:rPr>
              <w:t xml:space="preserve">plikacije koje koriste VR/AR </w:t>
            </w:r>
          </w:p>
          <w:p w14:paraId="112FAAA9" w14:textId="5EE6CCE6" w:rsidR="00305A2C" w:rsidRPr="0021212C" w:rsidRDefault="00B66F3A" w:rsidP="00682887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noProof/>
                <w:lang w:val="hr-HR" w:eastAsia="en-GB"/>
              </w:rPr>
            </w:pPr>
            <w:r>
              <w:rPr>
                <w:rFonts w:cstheme="minorHAnsi"/>
                <w:lang w:val="hr-HR"/>
              </w:rPr>
              <w:t>e</w:t>
            </w:r>
            <w:r w:rsidR="00305A2C" w:rsidRPr="0021212C">
              <w:rPr>
                <w:rFonts w:cstheme="minorHAnsi"/>
                <w:lang w:val="hr-HR"/>
              </w:rPr>
              <w:t xml:space="preserve">- Crna Gora model za </w:t>
            </w:r>
            <w:r w:rsidR="002223E5" w:rsidRPr="0021212C">
              <w:rPr>
                <w:rFonts w:cstheme="minorHAnsi"/>
                <w:lang w:val="hr-HR"/>
              </w:rPr>
              <w:t>visok</w:t>
            </w:r>
            <w:r w:rsidR="002223E5">
              <w:rPr>
                <w:rFonts w:cstheme="minorHAnsi"/>
                <w:lang w:val="hr-HR"/>
              </w:rPr>
              <w:t>o-kvalitetni</w:t>
            </w:r>
            <w:r w:rsidR="002223E5" w:rsidRPr="0021212C">
              <w:rPr>
                <w:rFonts w:cstheme="minorHAnsi"/>
                <w:lang w:val="hr-HR"/>
              </w:rPr>
              <w:t xml:space="preserve"> </w:t>
            </w:r>
            <w:r w:rsidR="00305A2C" w:rsidRPr="0021212C">
              <w:rPr>
                <w:rFonts w:cstheme="minorHAnsi"/>
                <w:lang w:val="hr-HR"/>
              </w:rPr>
              <w:t>turizam</w:t>
            </w:r>
          </w:p>
        </w:tc>
      </w:tr>
    </w:tbl>
    <w:p w14:paraId="66F8CBF2" w14:textId="77777777" w:rsidR="00363582" w:rsidRDefault="00363582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p w14:paraId="7D030E38" w14:textId="7BAF59C7" w:rsidR="00BD4DDC" w:rsidRDefault="003D633A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t>KLJUČNI INDIKATORI</w:t>
      </w:r>
    </w:p>
    <w:p w14:paraId="11141285" w14:textId="77777777" w:rsidR="00363582" w:rsidRPr="00593418" w:rsidRDefault="00363582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1915"/>
        <w:gridCol w:w="1915"/>
      </w:tblGrid>
      <w:tr w:rsidR="00CD0F43" w:rsidRPr="00593418" w14:paraId="279F0A4D" w14:textId="77777777" w:rsidTr="00CD0F43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4F47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Indikator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679" w14:textId="6D1840B3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2018</w:t>
            </w:r>
            <w:r w:rsidR="009852EE">
              <w:rPr>
                <w:rFonts w:cstheme="minorHAnsi"/>
                <w:lang w:val="sr-Latn-ME"/>
              </w:rPr>
              <w:t>.</w:t>
            </w:r>
          </w:p>
          <w:p w14:paraId="22372737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8DB" w14:textId="1197147B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2024</w:t>
            </w:r>
            <w:r w:rsidR="009852EE">
              <w:rPr>
                <w:rFonts w:cstheme="minorHAnsi"/>
                <w:lang w:val="sr-Latn-ME"/>
              </w:rPr>
              <w:t>.</w:t>
            </w:r>
          </w:p>
          <w:p w14:paraId="3FD9F529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</w:p>
        </w:tc>
      </w:tr>
      <w:tr w:rsidR="00CD0F43" w:rsidRPr="00593418" w14:paraId="0E1E5A37" w14:textId="77777777" w:rsidTr="00CD0F43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EEBD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Direktno učešće turizma u BDP-u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612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7,6% (2017)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6DD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12%</w:t>
            </w:r>
          </w:p>
        </w:tc>
      </w:tr>
      <w:tr w:rsidR="00CD0F43" w:rsidRPr="00593418" w14:paraId="1856CB28" w14:textId="77777777" w:rsidTr="00CD0F43">
        <w:trPr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FDC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Udio broja dolazaka u liječilištima u odnosu na ukupan broj dolazaka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762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0,9%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9FB" w14:textId="77777777" w:rsidR="00CD0F43" w:rsidRPr="00593418" w:rsidRDefault="00CD0F43" w:rsidP="00F17001">
            <w:pPr>
              <w:pStyle w:val="ListParagraph"/>
              <w:spacing w:before="0"/>
              <w:jc w:val="left"/>
              <w:rPr>
                <w:rFonts w:cstheme="minorHAnsi"/>
                <w:lang w:val="sr-Latn-ME"/>
              </w:rPr>
            </w:pPr>
            <w:r w:rsidRPr="00593418">
              <w:rPr>
                <w:rFonts w:cstheme="minorHAnsi"/>
                <w:lang w:val="sr-Latn-ME"/>
              </w:rPr>
              <w:t>2%</w:t>
            </w:r>
          </w:p>
        </w:tc>
      </w:tr>
    </w:tbl>
    <w:p w14:paraId="3C8B26C1" w14:textId="60B73153" w:rsidR="00661200" w:rsidRPr="00593418" w:rsidRDefault="00661200" w:rsidP="00CD0F43"/>
    <w:p w14:paraId="5C81A8CF" w14:textId="5401D65B" w:rsidR="00CD0F43" w:rsidRPr="00593418" w:rsidRDefault="00253B54" w:rsidP="00A327C7">
      <w:pPr>
        <w:pStyle w:val="Heading2"/>
      </w:pPr>
      <w:bookmarkStart w:id="42" w:name="_Toc529890095"/>
      <w:bookmarkStart w:id="43" w:name="_Toc530143290"/>
      <w:r w:rsidRPr="00593418">
        <w:lastRenderedPageBreak/>
        <w:t>VI</w:t>
      </w:r>
      <w:r w:rsidR="00826F04">
        <w:t xml:space="preserve"> </w:t>
      </w:r>
      <w:r w:rsidR="00B078A4" w:rsidRPr="00593418">
        <w:t xml:space="preserve">5. </w:t>
      </w:r>
      <w:r w:rsidR="00CD0F43" w:rsidRPr="00593418">
        <w:t>INFORMACIONO</w:t>
      </w:r>
      <w:r w:rsidR="00610E83">
        <w:t>-</w:t>
      </w:r>
      <w:r w:rsidR="00CD0F43" w:rsidRPr="00593418">
        <w:t>KOMUNIKACIONE TEHNOLOGIJE</w:t>
      </w:r>
      <w:bookmarkEnd w:id="42"/>
      <w:bookmarkEnd w:id="43"/>
    </w:p>
    <w:p w14:paraId="75360741" w14:textId="77777777" w:rsidR="00CD0F43" w:rsidRPr="00593418" w:rsidRDefault="00CD0F43" w:rsidP="00CD0F43"/>
    <w:p w14:paraId="757532B5" w14:textId="4E7F22A8" w:rsidR="00CD0F43" w:rsidRPr="00593418" w:rsidRDefault="00CD0F43" w:rsidP="00F17001">
      <w:pPr>
        <w:spacing w:after="120" w:line="240" w:lineRule="auto"/>
        <w:jc w:val="both"/>
        <w:rPr>
          <w:rFonts w:asciiTheme="minorHAnsi" w:hAnsiTheme="minorHAnsi" w:cstheme="minorHAnsi"/>
          <w:sz w:val="24"/>
        </w:rPr>
      </w:pPr>
      <w:r w:rsidRPr="00593418">
        <w:rPr>
          <w:rFonts w:asciiTheme="minorHAnsi" w:hAnsiTheme="minorHAnsi" w:cstheme="minorHAnsi"/>
        </w:rPr>
        <w:t>Informaciono</w:t>
      </w:r>
      <w:r w:rsidR="009852EE">
        <w:rPr>
          <w:rFonts w:asciiTheme="minorHAnsi" w:hAnsiTheme="minorHAnsi" w:cstheme="minorHAnsi"/>
        </w:rPr>
        <w:t>-</w:t>
      </w:r>
      <w:r w:rsidRPr="00593418">
        <w:rPr>
          <w:rFonts w:asciiTheme="minorHAnsi" w:hAnsiTheme="minorHAnsi" w:cstheme="minorHAnsi"/>
        </w:rPr>
        <w:t xml:space="preserve">komunikacione tehnologije (ICT) u Crnoj Gori su postale neophodne i prisutne u svim drugim prioritetnim oblastima razvoja, kao i svim privrednim i društvenim aspektima života, pri čemu je </w:t>
      </w:r>
      <w:r w:rsidR="00860624">
        <w:rPr>
          <w:rFonts w:asciiTheme="minorHAnsi" w:hAnsiTheme="minorHAnsi" w:cstheme="minorHAnsi"/>
        </w:rPr>
        <w:t>prepoznata tendencija</w:t>
      </w:r>
      <w:r w:rsidRPr="00593418">
        <w:rPr>
          <w:rFonts w:asciiTheme="minorHAnsi" w:hAnsiTheme="minorHAnsi" w:cstheme="minorHAnsi"/>
        </w:rPr>
        <w:t xml:space="preserve"> rasta</w:t>
      </w:r>
      <w:r w:rsidR="00860624">
        <w:rPr>
          <w:rFonts w:asciiTheme="minorHAnsi" w:hAnsiTheme="minorHAnsi" w:cstheme="minorHAnsi"/>
        </w:rPr>
        <w:t xml:space="preserve"> ovog sektora</w:t>
      </w:r>
      <w:r w:rsidRPr="00593418">
        <w:rPr>
          <w:rFonts w:asciiTheme="minorHAnsi" w:hAnsiTheme="minorHAnsi" w:cstheme="minorHAnsi"/>
        </w:rPr>
        <w:t xml:space="preserve">. ICT se razvija u kontekstu unapređivanja informacionih sistema u javnim upravama, obrazovanju, industriji i zdravstvu, a sve u skladu sa savremenim tehnološkim trendovima i </w:t>
      </w:r>
      <w:r w:rsidR="00AC47E2">
        <w:rPr>
          <w:rFonts w:asciiTheme="minorHAnsi" w:hAnsiTheme="minorHAnsi" w:cstheme="minorHAnsi"/>
        </w:rPr>
        <w:t xml:space="preserve">konceptom </w:t>
      </w:r>
      <w:r w:rsidR="00E92B5D">
        <w:rPr>
          <w:rFonts w:asciiTheme="minorHAnsi" w:hAnsiTheme="minorHAnsi" w:cstheme="minorHAnsi"/>
        </w:rPr>
        <w:t>I</w:t>
      </w:r>
      <w:r w:rsidR="00E92B5D" w:rsidRPr="00593418">
        <w:rPr>
          <w:rFonts w:asciiTheme="minorHAnsi" w:hAnsiTheme="minorHAnsi" w:cstheme="minorHAnsi"/>
        </w:rPr>
        <w:t>ndustrij</w:t>
      </w:r>
      <w:r w:rsidR="00E92B5D">
        <w:rPr>
          <w:rFonts w:asciiTheme="minorHAnsi" w:hAnsiTheme="minorHAnsi" w:cstheme="minorHAnsi"/>
        </w:rPr>
        <w:t>a</w:t>
      </w:r>
      <w:r w:rsidR="00E92B5D" w:rsidRPr="00593418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>4.0. ICT infrastruktura Crne Gore je na zadovoljavajućem nivou i rangirana je na 39</w:t>
      </w:r>
      <w:r w:rsidR="008957A8">
        <w:rPr>
          <w:rFonts w:asciiTheme="minorHAnsi" w:hAnsiTheme="minorHAnsi" w:cstheme="minorHAnsi"/>
        </w:rPr>
        <w:t>.</w:t>
      </w:r>
      <w:r w:rsidRPr="00593418">
        <w:rPr>
          <w:rFonts w:asciiTheme="minorHAnsi" w:hAnsiTheme="minorHAnsi" w:cstheme="minorHAnsi"/>
        </w:rPr>
        <w:t xml:space="preserve"> mjestu na svijetu</w:t>
      </w:r>
      <w:r w:rsidRPr="00593418">
        <w:rPr>
          <w:rStyle w:val="FootnoteReference"/>
          <w:rFonts w:asciiTheme="minorHAnsi" w:hAnsiTheme="minorHAnsi" w:cstheme="minorHAnsi"/>
        </w:rPr>
        <w:footnoteReference w:id="14"/>
      </w:r>
      <w:r w:rsidR="00AC47E2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pri čemu je zapaženo inte</w:t>
      </w:r>
      <w:r w:rsidR="004B7D0C">
        <w:rPr>
          <w:rFonts w:asciiTheme="minorHAnsi" w:hAnsiTheme="minorHAnsi" w:cstheme="minorHAnsi"/>
        </w:rPr>
        <w:t>n</w:t>
      </w:r>
      <w:r w:rsidRPr="00593418">
        <w:rPr>
          <w:rFonts w:asciiTheme="minorHAnsi" w:hAnsiTheme="minorHAnsi" w:cstheme="minorHAnsi"/>
        </w:rPr>
        <w:t>zivno korišćenje softvera i ICT servisa. U Crnoj Gori 98,</w:t>
      </w:r>
      <w:r w:rsidR="00AB58BD">
        <w:rPr>
          <w:rFonts w:asciiTheme="minorHAnsi" w:hAnsiTheme="minorHAnsi" w:cstheme="minorHAnsi"/>
        </w:rPr>
        <w:t>5</w:t>
      </w:r>
      <w:r w:rsidRPr="00593418">
        <w:rPr>
          <w:rFonts w:asciiTheme="minorHAnsi" w:hAnsiTheme="minorHAnsi" w:cstheme="minorHAnsi"/>
        </w:rPr>
        <w:t>% anketiranih preduzeća (</w:t>
      </w:r>
      <w:r w:rsidR="00AB58BD" w:rsidRPr="00593418">
        <w:rPr>
          <w:rFonts w:asciiTheme="minorHAnsi" w:hAnsiTheme="minorHAnsi" w:cstheme="minorHAnsi"/>
        </w:rPr>
        <w:t>201</w:t>
      </w:r>
      <w:r w:rsidR="00AB58BD">
        <w:rPr>
          <w:rFonts w:asciiTheme="minorHAnsi" w:hAnsiTheme="minorHAnsi" w:cstheme="minorHAnsi"/>
        </w:rPr>
        <w:t>8</w:t>
      </w:r>
      <w:r w:rsidRPr="00593418">
        <w:rPr>
          <w:rFonts w:asciiTheme="minorHAnsi" w:hAnsiTheme="minorHAnsi" w:cstheme="minorHAnsi"/>
        </w:rPr>
        <w:t>)</w:t>
      </w:r>
      <w:r w:rsidR="00AC47E2" w:rsidRPr="00AC47E2">
        <w:rPr>
          <w:rStyle w:val="FootnoteReference"/>
          <w:rFonts w:asciiTheme="minorHAnsi" w:hAnsiTheme="minorHAnsi" w:cstheme="minorHAnsi"/>
        </w:rPr>
        <w:t xml:space="preserve"> </w:t>
      </w:r>
      <w:r w:rsidR="00AC47E2" w:rsidRPr="00593418">
        <w:rPr>
          <w:rStyle w:val="FootnoteReference"/>
          <w:rFonts w:asciiTheme="minorHAnsi" w:hAnsiTheme="minorHAnsi" w:cstheme="minorHAnsi"/>
        </w:rPr>
        <w:footnoteReference w:id="15"/>
      </w:r>
      <w:r w:rsidR="00AC47E2" w:rsidRPr="00593418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</w:rPr>
        <w:t xml:space="preserve"> koristi računare u svom poslovanju, pri čemu oko 40% njih zapošljava ICT stručnjake</w:t>
      </w:r>
      <w:r w:rsidR="004B7D0C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što predstavlja rast od 2,6% u odnosu na 2016. godinu. Kada je riječ o </w:t>
      </w:r>
      <w:r w:rsidR="004B7D0C">
        <w:rPr>
          <w:rFonts w:asciiTheme="minorHAnsi" w:hAnsiTheme="minorHAnsi" w:cstheme="minorHAnsi"/>
        </w:rPr>
        <w:t>i</w:t>
      </w:r>
      <w:r w:rsidRPr="00593418">
        <w:rPr>
          <w:rFonts w:asciiTheme="minorHAnsi" w:hAnsiTheme="minorHAnsi" w:cstheme="minorHAnsi"/>
        </w:rPr>
        <w:t>nternetu</w:t>
      </w:r>
      <w:r w:rsidR="004B7D0C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oko </w:t>
      </w:r>
      <w:r w:rsidR="00AB58BD">
        <w:rPr>
          <w:rFonts w:asciiTheme="minorHAnsi" w:hAnsiTheme="minorHAnsi" w:cstheme="minorHAnsi"/>
        </w:rPr>
        <w:t>80</w:t>
      </w:r>
      <w:r w:rsidRPr="00593418">
        <w:rPr>
          <w:rFonts w:asciiTheme="minorHAnsi" w:hAnsiTheme="minorHAnsi" w:cstheme="minorHAnsi"/>
        </w:rPr>
        <w:t xml:space="preserve">% preduzeća ima svoju </w:t>
      </w:r>
      <w:r w:rsidR="004B7D0C">
        <w:rPr>
          <w:rFonts w:asciiTheme="minorHAnsi" w:hAnsiTheme="minorHAnsi" w:cstheme="minorHAnsi"/>
        </w:rPr>
        <w:t>v</w:t>
      </w:r>
      <w:r w:rsidRPr="00593418">
        <w:rPr>
          <w:rFonts w:asciiTheme="minorHAnsi" w:hAnsiTheme="minorHAnsi" w:cstheme="minorHAnsi"/>
        </w:rPr>
        <w:t xml:space="preserve">eb prezentaciju, što je </w:t>
      </w:r>
      <w:r w:rsidR="00AB58BD">
        <w:rPr>
          <w:rFonts w:asciiTheme="minorHAnsi" w:hAnsiTheme="minorHAnsi" w:cstheme="minorHAnsi"/>
        </w:rPr>
        <w:t>3,6</w:t>
      </w:r>
      <w:r w:rsidR="004B7D0C">
        <w:rPr>
          <w:rFonts w:asciiTheme="minorHAnsi" w:hAnsiTheme="minorHAnsi" w:cstheme="minorHAnsi"/>
        </w:rPr>
        <w:t xml:space="preserve">% više u odnosu na </w:t>
      </w:r>
      <w:r w:rsidR="00AB58BD">
        <w:rPr>
          <w:rFonts w:asciiTheme="minorHAnsi" w:hAnsiTheme="minorHAnsi" w:cstheme="minorHAnsi"/>
        </w:rPr>
        <w:t>2017</w:t>
      </w:r>
      <w:r w:rsidR="004B7D0C">
        <w:rPr>
          <w:rFonts w:asciiTheme="minorHAnsi" w:hAnsiTheme="minorHAnsi" w:cstheme="minorHAnsi"/>
        </w:rPr>
        <w:t>. godinu</w:t>
      </w:r>
      <w:r w:rsidRPr="00593418">
        <w:rPr>
          <w:rFonts w:asciiTheme="minorHAnsi" w:hAnsiTheme="minorHAnsi" w:cstheme="minorHAnsi"/>
        </w:rPr>
        <w:t>.</w:t>
      </w:r>
    </w:p>
    <w:p w14:paraId="2C2745FD" w14:textId="3E6EADA6" w:rsidR="00CD0F43" w:rsidRPr="00593418" w:rsidRDefault="00CD0F43" w:rsidP="00F1700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Posljednjih godina na tržištu</w:t>
      </w:r>
      <w:r w:rsidR="008957A8">
        <w:rPr>
          <w:rFonts w:asciiTheme="minorHAnsi" w:hAnsiTheme="minorHAnsi" w:cstheme="minorHAnsi"/>
        </w:rPr>
        <w:t xml:space="preserve"> Informacionih tehnologija (IT)</w:t>
      </w:r>
      <w:r w:rsidRPr="00593418">
        <w:rPr>
          <w:rFonts w:asciiTheme="minorHAnsi" w:hAnsiTheme="minorHAnsi" w:cstheme="minorHAnsi"/>
        </w:rPr>
        <w:t xml:space="preserve"> javlja se sve veći broj malih kompanija koje se bave razvojem sof</w:t>
      </w:r>
      <w:r w:rsidR="004B7D0C">
        <w:rPr>
          <w:rFonts w:asciiTheme="minorHAnsi" w:hAnsiTheme="minorHAnsi" w:cstheme="minorHAnsi"/>
        </w:rPr>
        <w:t>t</w:t>
      </w:r>
      <w:r w:rsidRPr="00593418">
        <w:rPr>
          <w:rFonts w:asciiTheme="minorHAnsi" w:hAnsiTheme="minorHAnsi" w:cstheme="minorHAnsi"/>
        </w:rPr>
        <w:t>vera i so</w:t>
      </w:r>
      <w:r w:rsidR="004B7D0C">
        <w:rPr>
          <w:rFonts w:asciiTheme="minorHAnsi" w:hAnsiTheme="minorHAnsi" w:cstheme="minorHAnsi"/>
        </w:rPr>
        <w:t>ftverskih proizvoda, kao i samo</w:t>
      </w:r>
      <w:r w:rsidRPr="00593418">
        <w:rPr>
          <w:rFonts w:asciiTheme="minorHAnsi" w:hAnsiTheme="minorHAnsi" w:cstheme="minorHAnsi"/>
        </w:rPr>
        <w:t>zaposleni</w:t>
      </w:r>
      <w:r w:rsidR="004B7D0C">
        <w:rPr>
          <w:rFonts w:asciiTheme="minorHAnsi" w:hAnsiTheme="minorHAnsi" w:cstheme="minorHAnsi"/>
        </w:rPr>
        <w:t xml:space="preserve">h softver inženjera, </w:t>
      </w:r>
      <w:r w:rsidR="00860624" w:rsidRPr="00860624">
        <w:rPr>
          <w:rFonts w:asciiTheme="minorHAnsi" w:hAnsiTheme="minorHAnsi" w:cstheme="minorHAnsi"/>
        </w:rPr>
        <w:t>‚‚</w:t>
      </w:r>
      <w:r w:rsidR="004B7D0C" w:rsidRPr="00860624">
        <w:rPr>
          <w:rFonts w:asciiTheme="minorHAnsi" w:hAnsiTheme="minorHAnsi"/>
        </w:rPr>
        <w:t>freelancer</w:t>
      </w:r>
      <w:r w:rsidRPr="00860624">
        <w:rPr>
          <w:rFonts w:asciiTheme="minorHAnsi" w:hAnsiTheme="minorHAnsi"/>
        </w:rPr>
        <w:t>a</w:t>
      </w:r>
      <w:r w:rsidR="00860624">
        <w:rPr>
          <w:rFonts w:asciiTheme="minorHAnsi" w:hAnsiTheme="minorHAnsi"/>
        </w:rPr>
        <w:t>“</w:t>
      </w:r>
      <w:r w:rsidRPr="00860624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</w:t>
      </w:r>
      <w:r w:rsidRPr="00593418">
        <w:rPr>
          <w:rFonts w:asciiTheme="minorHAnsi" w:hAnsiTheme="minorHAnsi" w:cstheme="minorHAnsi"/>
          <w:color w:val="FF0000"/>
        </w:rPr>
        <w:t xml:space="preserve"> </w:t>
      </w:r>
      <w:r w:rsidRPr="00593418">
        <w:rPr>
          <w:rFonts w:asciiTheme="minorHAnsi" w:hAnsiTheme="minorHAnsi" w:cstheme="minorHAnsi"/>
        </w:rPr>
        <w:t>menadžera digitalnih projekata, menadžera digitalnog marketinga, dizajnera i ostalih profila, koji nalaze angažovanje na globalnom IT tržištu. Sof</w:t>
      </w:r>
      <w:r w:rsidR="004B7D0C">
        <w:rPr>
          <w:rFonts w:asciiTheme="minorHAnsi" w:hAnsiTheme="minorHAnsi" w:cstheme="minorHAnsi"/>
        </w:rPr>
        <w:t>t</w:t>
      </w:r>
      <w:r w:rsidRPr="00593418">
        <w:rPr>
          <w:rFonts w:asciiTheme="minorHAnsi" w:hAnsiTheme="minorHAnsi" w:cstheme="minorHAnsi"/>
        </w:rPr>
        <w:t>versko inženjerstvo je već doživjelo značajan razvoj i počelo da se izdvaja kao zasebna privredna grana koja nije limitirana mogućnostima domaćeg tržišta. U Crnoj Gori postoje visokoobrazovne insititucije na državnom i na privatnim un</w:t>
      </w:r>
      <w:r w:rsidR="004B7D0C">
        <w:rPr>
          <w:rFonts w:asciiTheme="minorHAnsi" w:hAnsiTheme="minorHAnsi" w:cstheme="minorHAnsi"/>
        </w:rPr>
        <w:t>iverzitetima</w:t>
      </w:r>
      <w:r w:rsidRPr="00593418">
        <w:rPr>
          <w:rFonts w:asciiTheme="minorHAnsi" w:hAnsiTheme="minorHAnsi" w:cstheme="minorHAnsi"/>
        </w:rPr>
        <w:t xml:space="preserve"> koje edukuju ICT kadrove u oblasti softverskog inženjerstva.</w:t>
      </w:r>
    </w:p>
    <w:p w14:paraId="79B4B4AD" w14:textId="3EFAB006" w:rsidR="00CD0F43" w:rsidRPr="00593418" w:rsidRDefault="00CD0F43" w:rsidP="00F1700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Što se tiče ,,C” segmenta ICT-a, tu dominiraju tri međunarodna operat</w:t>
      </w:r>
      <w:r w:rsidR="004B7D0C">
        <w:rPr>
          <w:rFonts w:asciiTheme="minorHAnsi" w:hAnsiTheme="minorHAnsi" w:cstheme="minorHAnsi"/>
        </w:rPr>
        <w:t>o</w:t>
      </w:r>
      <w:r w:rsidRPr="00593418">
        <w:rPr>
          <w:rFonts w:asciiTheme="minorHAnsi" w:hAnsiTheme="minorHAnsi" w:cstheme="minorHAnsi"/>
        </w:rPr>
        <w:t>ra fiksne i mobilne telefonije, koja pružaju savremene komunikacione servise mobilnim celularnim mrežama, optičkim komunikacionim sistemima i DSL pretplatničkim linijama. Postojanje savremene telekomunikacione infrastrukture je osnov za razvoj brojnih drugih privrednih oblasti i cjelokupnog društva.</w:t>
      </w:r>
    </w:p>
    <w:p w14:paraId="04ECD735" w14:textId="77777777" w:rsidR="00B845A4" w:rsidRDefault="00B845A4" w:rsidP="00F17001">
      <w:pPr>
        <w:pStyle w:val="BodyText"/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248452C6" w14:textId="0DB21C1A" w:rsidR="00CD0F43" w:rsidRPr="0021212C" w:rsidRDefault="00CD0F43" w:rsidP="00F17001">
      <w:pPr>
        <w:pStyle w:val="BodyText"/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1212C">
        <w:rPr>
          <w:rFonts w:asciiTheme="minorHAnsi" w:hAnsiTheme="minorHAnsi" w:cstheme="minorHAnsi"/>
          <w:b/>
        </w:rPr>
        <w:t>VIZIJA 2024</w:t>
      </w:r>
    </w:p>
    <w:p w14:paraId="42F10884" w14:textId="77777777" w:rsidR="008808D0" w:rsidRDefault="00CD0F43" w:rsidP="00F17001">
      <w:pPr>
        <w:pStyle w:val="BodyText"/>
        <w:spacing w:after="120" w:line="240" w:lineRule="auto"/>
        <w:jc w:val="both"/>
        <w:rPr>
          <w:rFonts w:asciiTheme="minorHAnsi" w:hAnsiTheme="minorHAnsi" w:cstheme="minorHAnsi"/>
        </w:rPr>
      </w:pPr>
      <w:r w:rsidRPr="00593418">
        <w:rPr>
          <w:rFonts w:asciiTheme="minorHAnsi" w:hAnsiTheme="minorHAnsi" w:cstheme="minorHAnsi"/>
        </w:rPr>
        <w:t>Digitalna Crna Gora sa primjenom naprednih ICT rješenja u svim granama privrede i razvijenom informatičkom sviješću</w:t>
      </w:r>
      <w:r w:rsidR="008957A8">
        <w:rPr>
          <w:rFonts w:asciiTheme="minorHAnsi" w:hAnsiTheme="minorHAnsi" w:cstheme="minorHAnsi"/>
        </w:rPr>
        <w:t>,</w:t>
      </w:r>
      <w:r w:rsidRPr="00593418">
        <w:rPr>
          <w:rFonts w:asciiTheme="minorHAnsi" w:hAnsiTheme="minorHAnsi" w:cstheme="minorHAnsi"/>
        </w:rPr>
        <w:t xml:space="preserve"> koja omogućava dinamičan i proaktivni pristup novim i inovativnim tehnologijama.</w:t>
      </w:r>
    </w:p>
    <w:p w14:paraId="49A83BA0" w14:textId="01D77D5D" w:rsidR="00CD0F43" w:rsidRPr="008808D0" w:rsidRDefault="00CD0F43" w:rsidP="00F17001">
      <w:pPr>
        <w:pStyle w:val="BodyText"/>
        <w:spacing w:after="120" w:line="240" w:lineRule="auto"/>
        <w:jc w:val="both"/>
        <w:rPr>
          <w:rFonts w:asciiTheme="minorHAnsi" w:hAnsiTheme="minorHAnsi" w:cstheme="minorHAnsi"/>
        </w:rPr>
      </w:pPr>
      <w:r w:rsidRPr="0021212C">
        <w:rPr>
          <w:rFonts w:asciiTheme="minorHAnsi" w:hAnsiTheme="minorHAnsi" w:cstheme="minorHAnsi"/>
          <w:b/>
        </w:rPr>
        <w:t>CILJEVI SEKTORA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CD0F43" w:rsidRPr="00593418" w14:paraId="7DDFE002" w14:textId="77777777" w:rsidTr="00CD0F43">
        <w:trPr>
          <w:jc w:val="center"/>
        </w:trPr>
        <w:tc>
          <w:tcPr>
            <w:tcW w:w="5670" w:type="dxa"/>
          </w:tcPr>
          <w:p w14:paraId="56044BE1" w14:textId="2B48C8D5" w:rsidR="00CD0F43" w:rsidRPr="00593418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 xml:space="preserve">Razvoj </w:t>
            </w:r>
            <w:r w:rsidR="00860624">
              <w:rPr>
                <w:rFonts w:asciiTheme="minorHAnsi" w:hAnsiTheme="minorHAnsi" w:cstheme="minorHAnsi"/>
              </w:rPr>
              <w:t>e-</w:t>
            </w:r>
            <w:r w:rsidRPr="00593418">
              <w:rPr>
                <w:rFonts w:asciiTheme="minorHAnsi" w:hAnsiTheme="minorHAnsi" w:cstheme="minorHAnsi"/>
              </w:rPr>
              <w:t>infrast</w:t>
            </w:r>
            <w:r w:rsidR="004B7D0C">
              <w:rPr>
                <w:rFonts w:asciiTheme="minorHAnsi" w:hAnsiTheme="minorHAnsi" w:cstheme="minorHAnsi"/>
              </w:rPr>
              <w:t>r</w:t>
            </w:r>
            <w:r w:rsidRPr="00593418">
              <w:rPr>
                <w:rFonts w:asciiTheme="minorHAnsi" w:hAnsiTheme="minorHAnsi" w:cstheme="minorHAnsi"/>
              </w:rPr>
              <w:t>ukture i preduzetništva</w:t>
            </w:r>
          </w:p>
        </w:tc>
      </w:tr>
      <w:tr w:rsidR="00CD0F43" w:rsidRPr="00593418" w14:paraId="26A1CA8E" w14:textId="77777777" w:rsidTr="00CD0F43">
        <w:trPr>
          <w:jc w:val="center"/>
        </w:trPr>
        <w:tc>
          <w:tcPr>
            <w:tcW w:w="5670" w:type="dxa"/>
          </w:tcPr>
          <w:p w14:paraId="10A1B4CD" w14:textId="77777777" w:rsidR="00CD0F43" w:rsidRPr="00593418" w:rsidRDefault="00CD0F43" w:rsidP="00F17001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Promocija digitalne ekonomije</w:t>
            </w:r>
          </w:p>
        </w:tc>
      </w:tr>
    </w:tbl>
    <w:p w14:paraId="27E47843" w14:textId="77777777" w:rsidR="00CD0F43" w:rsidRPr="00593418" w:rsidRDefault="00CD0F43" w:rsidP="00F17001">
      <w:pPr>
        <w:spacing w:after="120" w:line="240" w:lineRule="auto"/>
        <w:rPr>
          <w:rFonts w:asciiTheme="minorHAnsi" w:hAnsiTheme="minorHAnsi" w:cstheme="minorHAnsi"/>
          <w:i/>
        </w:rPr>
      </w:pPr>
    </w:p>
    <w:p w14:paraId="5D9E94BF" w14:textId="792269D9" w:rsidR="00CD0F43" w:rsidRPr="0021212C" w:rsidRDefault="00CD0F43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21212C">
        <w:rPr>
          <w:rFonts w:asciiTheme="minorHAnsi" w:hAnsiTheme="minorHAnsi" w:cstheme="minorHAnsi"/>
          <w:b/>
        </w:rPr>
        <w:t>FOKUSNA PODRUČJA I TEHNOLOGIJE</w:t>
      </w:r>
    </w:p>
    <w:p w14:paraId="19256ADC" w14:textId="77777777" w:rsidR="00DC5740" w:rsidRDefault="00DC5740" w:rsidP="00F17001">
      <w:pPr>
        <w:spacing w:after="120" w:line="240" w:lineRule="auto"/>
        <w:rPr>
          <w:rFonts w:asciiTheme="minorHAnsi" w:hAnsiTheme="minorHAnsi" w:cstheme="minorHAnsi"/>
        </w:rPr>
      </w:pPr>
    </w:p>
    <w:p w14:paraId="27BD4685" w14:textId="71F32D80" w:rsidR="00CD0F43" w:rsidRPr="0021212C" w:rsidRDefault="00CD0F43" w:rsidP="00F17001">
      <w:pPr>
        <w:spacing w:after="120" w:line="240" w:lineRule="auto"/>
        <w:rPr>
          <w:rFonts w:asciiTheme="minorHAnsi" w:hAnsiTheme="minorHAnsi" w:cstheme="minorHAnsi"/>
        </w:rPr>
      </w:pPr>
      <w:r w:rsidRPr="0021212C">
        <w:rPr>
          <w:rFonts w:asciiTheme="minorHAnsi" w:hAnsiTheme="minorHAnsi" w:cstheme="minorHAnsi"/>
        </w:rPr>
        <w:t>POSTOJEĆA</w:t>
      </w:r>
    </w:p>
    <w:p w14:paraId="234732B6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Telekomunikacije</w:t>
      </w:r>
    </w:p>
    <w:p w14:paraId="7D713426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Softverski inženjering</w:t>
      </w:r>
    </w:p>
    <w:p w14:paraId="6D1F823E" w14:textId="77777777" w:rsidR="00F336FB" w:rsidRDefault="00F336FB">
      <w:pPr>
        <w:suppressAutoHyphens w:val="0"/>
        <w:spacing w:after="0" w:line="240" w:lineRule="auto"/>
        <w:rPr>
          <w:rFonts w:asciiTheme="minorHAnsi" w:eastAsia="Times New Roman" w:hAnsiTheme="minorHAnsi" w:cstheme="minorHAnsi"/>
          <w:kern w:val="0"/>
          <w:lang w:eastAsia="en-GB"/>
        </w:rPr>
      </w:pPr>
      <w:r>
        <w:rPr>
          <w:rFonts w:asciiTheme="minorHAnsi" w:eastAsia="Times New Roman" w:hAnsiTheme="minorHAnsi" w:cstheme="minorHAnsi"/>
          <w:kern w:val="0"/>
          <w:lang w:eastAsia="en-GB"/>
        </w:rPr>
        <w:br w:type="page"/>
      </w:r>
    </w:p>
    <w:p w14:paraId="14222122" w14:textId="5D38F518" w:rsidR="00CD0F43" w:rsidRPr="0021212C" w:rsidRDefault="00CD0F43" w:rsidP="00966B2E">
      <w:pPr>
        <w:spacing w:after="120" w:line="240" w:lineRule="auto"/>
        <w:rPr>
          <w:rFonts w:asciiTheme="minorHAnsi" w:hAnsiTheme="minorHAnsi" w:cstheme="minorHAnsi"/>
        </w:rPr>
      </w:pPr>
      <w:r w:rsidRPr="0021212C">
        <w:rPr>
          <w:rFonts w:asciiTheme="minorHAnsi" w:hAnsiTheme="minorHAnsi" w:cstheme="minorHAnsi"/>
        </w:rPr>
        <w:lastRenderedPageBreak/>
        <w:t>SA POTENCIJALOM</w:t>
      </w:r>
    </w:p>
    <w:p w14:paraId="7C5DCA53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Komunikacione tehnologije nove generacije (5G, SDN, NFV, GNSS, itd.)</w:t>
      </w:r>
    </w:p>
    <w:p w14:paraId="3527BC1A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IoT (Internet of things)</w:t>
      </w:r>
    </w:p>
    <w:p w14:paraId="5068054A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Virtualna realnost, promijenjena realnost (VR/AR), 3D</w:t>
      </w:r>
    </w:p>
    <w:p w14:paraId="419FCB8A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Digitalna transformacija (ERP sistemi, e-poslovanje, finansijske tehnologije, itd.)</w:t>
      </w:r>
    </w:p>
    <w:p w14:paraId="2A5036F0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Blockchain tehnologija i kriptovalute</w:t>
      </w:r>
    </w:p>
    <w:p w14:paraId="62586BCE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Big Data, Cloud –  servisi</w:t>
      </w:r>
    </w:p>
    <w:p w14:paraId="752C96C6" w14:textId="7E0FFA75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Video igre kao model podrške ostalim sektorima</w:t>
      </w:r>
    </w:p>
    <w:p w14:paraId="4AA11B12" w14:textId="4F6A91FA" w:rsidR="00CD0F43" w:rsidRPr="00593418" w:rsidRDefault="004B7D0C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>
        <w:rPr>
          <w:rFonts w:cstheme="minorHAnsi"/>
          <w:lang w:val="sr-Latn-ME"/>
        </w:rPr>
        <w:t>Bezb</w:t>
      </w:r>
      <w:r w:rsidR="00CD0F43" w:rsidRPr="00593418">
        <w:rPr>
          <w:rFonts w:cstheme="minorHAnsi"/>
          <w:lang w:val="sr-Latn-ME"/>
        </w:rPr>
        <w:t xml:space="preserve">jednost informacionih sistema </w:t>
      </w:r>
    </w:p>
    <w:p w14:paraId="2198662C" w14:textId="070F6102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Pametne tehnologije (gradovi, zgrade</w:t>
      </w:r>
      <w:r w:rsidR="00AC47E2">
        <w:rPr>
          <w:rFonts w:cstheme="minorHAnsi"/>
          <w:lang w:val="sr-Latn-ME"/>
        </w:rPr>
        <w:t xml:space="preserve"> i sl.</w:t>
      </w:r>
      <w:r w:rsidR="00AC47E2" w:rsidRPr="00593418">
        <w:rPr>
          <w:rFonts w:cstheme="minorHAnsi"/>
          <w:lang w:val="sr-Latn-ME"/>
        </w:rPr>
        <w:t>)</w:t>
      </w:r>
    </w:p>
    <w:p w14:paraId="6E945749" w14:textId="77777777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Zeleni ICT (smanjenje emisija, ušteda energije, itd.)</w:t>
      </w:r>
    </w:p>
    <w:p w14:paraId="3D6AE9C5" w14:textId="5A174D00" w:rsidR="00CD0F43" w:rsidRPr="00593418" w:rsidRDefault="00CD0F43" w:rsidP="005B5889">
      <w:pPr>
        <w:pStyle w:val="ListParagraph"/>
        <w:numPr>
          <w:ilvl w:val="0"/>
          <w:numId w:val="18"/>
        </w:numPr>
        <w:rPr>
          <w:rFonts w:cstheme="minorHAnsi"/>
          <w:lang w:val="sr-Latn-ME"/>
        </w:rPr>
      </w:pPr>
      <w:r w:rsidRPr="00593418">
        <w:rPr>
          <w:rFonts w:cstheme="minorHAnsi"/>
          <w:lang w:val="sr-Latn-ME"/>
        </w:rPr>
        <w:t>Mašinsko učenje i vještačka inteligencija</w:t>
      </w:r>
    </w:p>
    <w:p w14:paraId="3432EEA1" w14:textId="77777777" w:rsidR="00AC47E2" w:rsidRDefault="00AC47E2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p w14:paraId="3F3DD639" w14:textId="2B70A133" w:rsidR="00CD0F43" w:rsidRDefault="00CD0F43" w:rsidP="00F17001">
      <w:pPr>
        <w:spacing w:after="120" w:line="240" w:lineRule="auto"/>
        <w:rPr>
          <w:rFonts w:asciiTheme="minorHAnsi" w:hAnsiTheme="minorHAnsi" w:cstheme="minorHAnsi"/>
          <w:b/>
        </w:rPr>
      </w:pPr>
      <w:r w:rsidRPr="0021212C">
        <w:rPr>
          <w:rFonts w:asciiTheme="minorHAnsi" w:hAnsiTheme="minorHAnsi" w:cstheme="minorHAnsi"/>
          <w:b/>
        </w:rPr>
        <w:t>OKRUŽ</w:t>
      </w:r>
      <w:r w:rsidR="00F17001" w:rsidRPr="0021212C">
        <w:rPr>
          <w:rFonts w:asciiTheme="minorHAnsi" w:hAnsiTheme="minorHAnsi" w:cstheme="minorHAnsi"/>
          <w:b/>
        </w:rPr>
        <w:t>ENJE ZA ISTRAŽIVANJE I INOVACIJE</w:t>
      </w:r>
    </w:p>
    <w:p w14:paraId="1AE4E796" w14:textId="77777777" w:rsidR="00F336FB" w:rsidRPr="0021212C" w:rsidRDefault="00F336FB" w:rsidP="00F17001">
      <w:pPr>
        <w:spacing w:after="120" w:line="240" w:lineRule="auto"/>
        <w:rPr>
          <w:rFonts w:asciiTheme="minorHAnsi" w:hAnsiTheme="minorHAnsi" w:cstheme="minorHAnsi"/>
          <w:b/>
        </w:rPr>
      </w:pPr>
    </w:p>
    <w:p w14:paraId="40879F8A" w14:textId="77777777" w:rsidR="00B42215" w:rsidRPr="00923467" w:rsidRDefault="00CD0F43" w:rsidP="00966B2E">
      <w:pPr>
        <w:rPr>
          <w:rFonts w:cstheme="minorHAnsi"/>
        </w:rPr>
      </w:pPr>
      <w:r w:rsidRPr="00966B2E">
        <w:rPr>
          <w:rFonts w:cstheme="minorHAnsi"/>
          <w:lang w:val="en-US"/>
        </w:rPr>
        <w:t>NAU</w:t>
      </w:r>
      <w:r w:rsidRPr="00923467">
        <w:rPr>
          <w:rFonts w:cstheme="minorHAnsi"/>
        </w:rPr>
        <w:t>Č</w:t>
      </w:r>
      <w:r w:rsidRPr="00966B2E">
        <w:rPr>
          <w:rFonts w:cstheme="minorHAnsi"/>
          <w:lang w:val="en-US"/>
        </w:rPr>
        <w:t>NO</w:t>
      </w:r>
      <w:r w:rsidR="00610E83" w:rsidRPr="00923467">
        <w:rPr>
          <w:rFonts w:cstheme="minorHAnsi"/>
        </w:rPr>
        <w:t>-</w:t>
      </w:r>
      <w:r w:rsidR="00B42215" w:rsidRPr="00966B2E">
        <w:rPr>
          <w:rFonts w:cstheme="minorHAnsi"/>
          <w:lang w:val="en-US"/>
        </w:rPr>
        <w:t>OBRAZOVNE</w:t>
      </w:r>
      <w:r w:rsidR="00B42215" w:rsidRPr="00923467">
        <w:rPr>
          <w:rFonts w:cstheme="minorHAnsi"/>
        </w:rPr>
        <w:t xml:space="preserve"> </w:t>
      </w:r>
      <w:r w:rsidR="00B42215" w:rsidRPr="00966B2E">
        <w:rPr>
          <w:rFonts w:cstheme="minorHAnsi"/>
          <w:lang w:val="en-US"/>
        </w:rPr>
        <w:t>INSTITUCIJE</w:t>
      </w:r>
    </w:p>
    <w:p w14:paraId="0EC679AF" w14:textId="64AA7FBA" w:rsidR="00CD0F43" w:rsidRPr="00923467" w:rsidRDefault="00860624" w:rsidP="00966B2E">
      <w:pPr>
        <w:pStyle w:val="ListParagraph"/>
        <w:numPr>
          <w:ilvl w:val="0"/>
          <w:numId w:val="49"/>
        </w:numPr>
        <w:rPr>
          <w:rFonts w:cstheme="minorHAnsi"/>
          <w:lang w:val="sr-Latn-ME"/>
        </w:rPr>
      </w:pPr>
      <w:r w:rsidRPr="00966B2E">
        <w:rPr>
          <w:rFonts w:cstheme="minorHAnsi"/>
        </w:rPr>
        <w:t>Crnogorska</w:t>
      </w:r>
      <w:r w:rsidRPr="00923467">
        <w:rPr>
          <w:rFonts w:cstheme="minorHAnsi"/>
          <w:lang w:val="sr-Latn-ME"/>
        </w:rPr>
        <w:t xml:space="preserve"> </w:t>
      </w:r>
      <w:r w:rsidRPr="00966B2E">
        <w:rPr>
          <w:rFonts w:cstheme="minorHAnsi"/>
        </w:rPr>
        <w:t>akademija</w:t>
      </w:r>
      <w:r w:rsidRPr="00923467">
        <w:rPr>
          <w:rFonts w:cstheme="minorHAnsi"/>
          <w:lang w:val="sr-Latn-ME"/>
        </w:rPr>
        <w:t xml:space="preserve"> </w:t>
      </w:r>
      <w:r w:rsidRPr="00966B2E">
        <w:rPr>
          <w:rFonts w:cstheme="minorHAnsi"/>
        </w:rPr>
        <w:t>nauka</w:t>
      </w:r>
      <w:r w:rsidRPr="00923467">
        <w:rPr>
          <w:rFonts w:cstheme="minorHAnsi"/>
          <w:lang w:val="sr-Latn-ME"/>
        </w:rPr>
        <w:t xml:space="preserve"> </w:t>
      </w:r>
      <w:r w:rsidRPr="00966B2E">
        <w:rPr>
          <w:rFonts w:cstheme="minorHAnsi"/>
        </w:rPr>
        <w:t>i</w:t>
      </w:r>
      <w:r w:rsidRPr="00923467">
        <w:rPr>
          <w:rFonts w:cstheme="minorHAnsi"/>
          <w:lang w:val="sr-Latn-ME"/>
        </w:rPr>
        <w:t xml:space="preserve"> </w:t>
      </w:r>
      <w:r w:rsidRPr="00966B2E">
        <w:rPr>
          <w:rFonts w:cstheme="minorHAnsi"/>
        </w:rPr>
        <w:t>umjetnosti</w:t>
      </w:r>
      <w:r w:rsidRPr="00923467">
        <w:rPr>
          <w:rFonts w:cstheme="minorHAnsi"/>
          <w:lang w:val="sr-Latn-ME"/>
        </w:rPr>
        <w:t xml:space="preserve"> (</w:t>
      </w:r>
      <w:r>
        <w:rPr>
          <w:rFonts w:cstheme="minorHAnsi"/>
        </w:rPr>
        <w:t>CANU</w:t>
      </w:r>
      <w:r>
        <w:rPr>
          <w:rFonts w:cstheme="minorHAnsi"/>
          <w:lang w:val="sr-Latn-ME"/>
        </w:rPr>
        <w:t xml:space="preserve">), </w:t>
      </w:r>
      <w:r w:rsidR="00B42215" w:rsidRPr="00966B2E">
        <w:rPr>
          <w:rFonts w:cstheme="minorHAnsi"/>
        </w:rPr>
        <w:t>Univerzitet</w:t>
      </w:r>
      <w:r w:rsidR="00B42215" w:rsidRPr="00923467">
        <w:rPr>
          <w:rFonts w:cstheme="minorHAnsi"/>
          <w:lang w:val="sr-Latn-ME"/>
        </w:rPr>
        <w:t xml:space="preserve"> </w:t>
      </w:r>
      <w:r w:rsidR="00B42215" w:rsidRPr="00966B2E">
        <w:rPr>
          <w:rFonts w:cstheme="minorHAnsi"/>
        </w:rPr>
        <w:t>Crne</w:t>
      </w:r>
      <w:r w:rsidR="00B42215" w:rsidRPr="00923467">
        <w:rPr>
          <w:rFonts w:cstheme="minorHAnsi"/>
          <w:lang w:val="sr-Latn-ME"/>
        </w:rPr>
        <w:t xml:space="preserve"> </w:t>
      </w:r>
      <w:r w:rsidR="00B42215" w:rsidRPr="00966B2E">
        <w:rPr>
          <w:rFonts w:cstheme="minorHAnsi"/>
        </w:rPr>
        <w:t>Gore</w:t>
      </w:r>
      <w:r w:rsidR="00B845A4" w:rsidRPr="00923467">
        <w:rPr>
          <w:rFonts w:cstheme="minorHAnsi"/>
          <w:lang w:val="sr-Latn-ME"/>
        </w:rPr>
        <w:t xml:space="preserve"> (</w:t>
      </w:r>
      <w:r w:rsidR="00B845A4">
        <w:rPr>
          <w:rFonts w:cstheme="minorHAnsi"/>
        </w:rPr>
        <w:t>UCG</w:t>
      </w:r>
      <w:r w:rsidR="00B845A4" w:rsidRPr="00923467">
        <w:rPr>
          <w:rFonts w:cstheme="minorHAnsi"/>
          <w:lang w:val="sr-Latn-ME"/>
        </w:rPr>
        <w:t>)</w:t>
      </w:r>
      <w:r w:rsidR="00B42215" w:rsidRPr="00923467">
        <w:rPr>
          <w:rFonts w:cstheme="minorHAnsi"/>
          <w:lang w:val="sr-Latn-ME"/>
        </w:rPr>
        <w:t xml:space="preserve">, </w:t>
      </w:r>
      <w:r w:rsidR="00B42215" w:rsidRPr="00966B2E">
        <w:rPr>
          <w:rFonts w:cstheme="minorHAnsi"/>
        </w:rPr>
        <w:t>Univerzitet</w:t>
      </w:r>
      <w:r w:rsidR="00B42215" w:rsidRPr="00923467">
        <w:rPr>
          <w:rFonts w:cstheme="minorHAnsi"/>
          <w:lang w:val="sr-Latn-ME"/>
        </w:rPr>
        <w:t xml:space="preserve"> </w:t>
      </w:r>
      <w:r w:rsidR="00B42215" w:rsidRPr="00966B2E">
        <w:rPr>
          <w:rFonts w:cstheme="minorHAnsi"/>
        </w:rPr>
        <w:t>Donja</w:t>
      </w:r>
      <w:r w:rsidR="00B42215" w:rsidRPr="00923467">
        <w:rPr>
          <w:rFonts w:cstheme="minorHAnsi"/>
          <w:lang w:val="sr-Latn-ME"/>
        </w:rPr>
        <w:t xml:space="preserve"> </w:t>
      </w:r>
      <w:r w:rsidR="00B42215" w:rsidRPr="00966B2E">
        <w:rPr>
          <w:rFonts w:cstheme="minorHAnsi"/>
        </w:rPr>
        <w:t>Gorica</w:t>
      </w:r>
      <w:r w:rsidR="00B845A4" w:rsidRPr="00923467">
        <w:rPr>
          <w:rFonts w:cstheme="minorHAnsi"/>
          <w:lang w:val="sr-Latn-ME"/>
        </w:rPr>
        <w:t xml:space="preserve"> (</w:t>
      </w:r>
      <w:r w:rsidR="00B845A4">
        <w:rPr>
          <w:rFonts w:cstheme="minorHAnsi"/>
        </w:rPr>
        <w:t>UDG</w:t>
      </w:r>
      <w:r w:rsidR="00B845A4" w:rsidRPr="00923467">
        <w:rPr>
          <w:rFonts w:cstheme="minorHAnsi"/>
          <w:lang w:val="sr-Latn-ME"/>
        </w:rPr>
        <w:t>)</w:t>
      </w:r>
      <w:r w:rsidR="00B42215" w:rsidRPr="00923467">
        <w:rPr>
          <w:rFonts w:cstheme="minorHAnsi"/>
          <w:lang w:val="sr-Latn-ME"/>
        </w:rPr>
        <w:t xml:space="preserve">, </w:t>
      </w:r>
      <w:r w:rsidR="005B5889" w:rsidRPr="00966B2E">
        <w:rPr>
          <w:rFonts w:cstheme="minorHAnsi"/>
        </w:rPr>
        <w:t>Univerzitet</w:t>
      </w:r>
      <w:r w:rsidR="005B5889" w:rsidRPr="00923467">
        <w:rPr>
          <w:rFonts w:cstheme="minorHAnsi"/>
          <w:lang w:val="sr-Latn-ME"/>
        </w:rPr>
        <w:t xml:space="preserve"> </w:t>
      </w:r>
      <w:r w:rsidR="005B5889" w:rsidRPr="00966B2E">
        <w:rPr>
          <w:rFonts w:cstheme="minorHAnsi"/>
        </w:rPr>
        <w:t>Mediteran</w:t>
      </w:r>
      <w:r w:rsidR="00B42215" w:rsidRPr="00923467">
        <w:rPr>
          <w:rFonts w:cstheme="minorHAnsi"/>
          <w:lang w:val="sr-Latn-ME"/>
        </w:rPr>
        <w:t xml:space="preserve">, </w:t>
      </w:r>
      <w:r w:rsidR="00CD0F43" w:rsidRPr="00966B2E">
        <w:rPr>
          <w:rFonts w:cstheme="minorHAnsi"/>
        </w:rPr>
        <w:t>Univerzitet</w:t>
      </w:r>
      <w:r w:rsidR="00CD0F43" w:rsidRPr="00923467">
        <w:rPr>
          <w:rFonts w:cstheme="minorHAnsi"/>
          <w:lang w:val="sr-Latn-ME"/>
        </w:rPr>
        <w:t xml:space="preserve"> </w:t>
      </w:r>
      <w:r w:rsidR="00CD0F43" w:rsidRPr="00966B2E">
        <w:rPr>
          <w:rFonts w:cstheme="minorHAnsi"/>
        </w:rPr>
        <w:t>Adri</w:t>
      </w:r>
      <w:r w:rsidR="00610E83" w:rsidRPr="00966B2E">
        <w:rPr>
          <w:rFonts w:cstheme="minorHAnsi"/>
        </w:rPr>
        <w:t>atik</w:t>
      </w:r>
      <w:r>
        <w:rPr>
          <w:rFonts w:cstheme="minorHAnsi"/>
          <w:lang w:val="sr-Latn-ME"/>
        </w:rPr>
        <w:t>.</w:t>
      </w:r>
      <w:r w:rsidR="00B42215" w:rsidRPr="00923467">
        <w:rPr>
          <w:rFonts w:cstheme="minorHAnsi"/>
          <w:lang w:val="sr-Latn-ME"/>
        </w:rPr>
        <w:t xml:space="preserve"> </w:t>
      </w:r>
    </w:p>
    <w:p w14:paraId="27FDD939" w14:textId="77777777" w:rsidR="00CD0F43" w:rsidRPr="00593418" w:rsidRDefault="00CD0F43" w:rsidP="00F17001">
      <w:pPr>
        <w:pStyle w:val="ListParagraph"/>
        <w:ind w:left="2160"/>
        <w:rPr>
          <w:rFonts w:cstheme="minorHAnsi"/>
          <w:lang w:val="sr-Latn-ME"/>
        </w:rPr>
      </w:pPr>
    </w:p>
    <w:p w14:paraId="538315B5" w14:textId="57178B8F" w:rsidR="00CD0F43" w:rsidRPr="00966B2E" w:rsidRDefault="00CD0F43" w:rsidP="00966B2E">
      <w:pPr>
        <w:rPr>
          <w:rFonts w:cstheme="minorHAnsi"/>
          <w:lang w:val="en-US"/>
        </w:rPr>
      </w:pPr>
      <w:r w:rsidRPr="00966B2E">
        <w:rPr>
          <w:rFonts w:cstheme="minorHAnsi"/>
          <w:lang w:val="en-US"/>
        </w:rPr>
        <w:t>KOMPANIJE</w:t>
      </w:r>
    </w:p>
    <w:p w14:paraId="22778289" w14:textId="7D9BFED2" w:rsidR="00D27931" w:rsidRDefault="00AC47E2" w:rsidP="00966B2E">
      <w:pPr>
        <w:pStyle w:val="ListParagraph"/>
        <w:numPr>
          <w:ilvl w:val="0"/>
          <w:numId w:val="4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  <w:r>
        <w:rPr>
          <w:rFonts w:cstheme="minorHAnsi"/>
        </w:rPr>
        <w:t>Propoznata su t</w:t>
      </w:r>
      <w:r w:rsidR="00CD0F43" w:rsidRPr="00966B2E">
        <w:rPr>
          <w:rFonts w:cstheme="minorHAnsi"/>
        </w:rPr>
        <w:t>ri velika telekom</w:t>
      </w:r>
      <w:r w:rsidR="00E40307">
        <w:rPr>
          <w:rFonts w:cstheme="minorHAnsi"/>
        </w:rPr>
        <w:t>unikaciona</w:t>
      </w:r>
      <w:r w:rsidR="00CD0F43" w:rsidRPr="00966B2E">
        <w:rPr>
          <w:rFonts w:cstheme="minorHAnsi"/>
        </w:rPr>
        <w:t xml:space="preserve"> operatora kao i oko </w:t>
      </w:r>
      <w:r w:rsidR="0086578A">
        <w:rPr>
          <w:rFonts w:cstheme="minorHAnsi"/>
        </w:rPr>
        <w:t>40</w:t>
      </w:r>
      <w:r w:rsidR="0086578A" w:rsidRPr="00966B2E">
        <w:rPr>
          <w:rFonts w:cstheme="minorHAnsi"/>
        </w:rPr>
        <w:t xml:space="preserve"> </w:t>
      </w:r>
      <w:r w:rsidR="00CD0F43" w:rsidRPr="00966B2E">
        <w:rPr>
          <w:rFonts w:cstheme="minorHAnsi"/>
        </w:rPr>
        <w:t xml:space="preserve">većih, </w:t>
      </w:r>
      <w:r w:rsidR="00E40307" w:rsidRPr="00966B2E">
        <w:rPr>
          <w:rFonts w:cstheme="minorHAnsi"/>
        </w:rPr>
        <w:t xml:space="preserve">srednjih </w:t>
      </w:r>
      <w:r w:rsidR="00E40307">
        <w:rPr>
          <w:rFonts w:cstheme="minorHAnsi"/>
        </w:rPr>
        <w:t xml:space="preserve">i </w:t>
      </w:r>
      <w:r w:rsidR="00CD0F43" w:rsidRPr="00966B2E">
        <w:rPr>
          <w:rFonts w:cstheme="minorHAnsi"/>
        </w:rPr>
        <w:t xml:space="preserve">malih  preduzeća, ICT akcelerator i Inovativno-preduzetnički centar </w:t>
      </w:r>
      <w:r w:rsidR="00B845A4">
        <w:rPr>
          <w:rFonts w:cstheme="minorHAnsi"/>
        </w:rPr>
        <w:t>“</w:t>
      </w:r>
      <w:r w:rsidR="00CD0F43" w:rsidRPr="00966B2E">
        <w:rPr>
          <w:rFonts w:cstheme="minorHAnsi"/>
        </w:rPr>
        <w:t>Tehnopolis</w:t>
      </w:r>
      <w:r w:rsidR="00B845A4">
        <w:rPr>
          <w:rFonts w:cstheme="minorHAnsi"/>
        </w:rPr>
        <w:t>”</w:t>
      </w:r>
      <w:r w:rsidR="00D27931">
        <w:rPr>
          <w:rFonts w:cstheme="minorHAnsi"/>
        </w:rPr>
        <w:t xml:space="preserve"> (IPC “Tehnopolis”)</w:t>
      </w:r>
      <w:r w:rsidR="00860624">
        <w:rPr>
          <w:rFonts w:cstheme="minorHAnsi"/>
        </w:rPr>
        <w:t>.</w:t>
      </w:r>
    </w:p>
    <w:p w14:paraId="648BC635" w14:textId="77777777" w:rsidR="00F336FB" w:rsidRPr="00F336FB" w:rsidRDefault="00F336FB" w:rsidP="00F336F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</w:rPr>
      </w:pPr>
    </w:p>
    <w:p w14:paraId="3A5F6C09" w14:textId="7170712C" w:rsidR="00A22FBB" w:rsidRPr="00966B2E" w:rsidRDefault="00CD0F43" w:rsidP="00966B2E">
      <w:pPr>
        <w:rPr>
          <w:rFonts w:cstheme="minorHAnsi"/>
          <w:lang w:val="en-US"/>
        </w:rPr>
      </w:pPr>
      <w:r w:rsidRPr="00966B2E">
        <w:rPr>
          <w:rFonts w:cstheme="minorHAnsi"/>
          <w:lang w:val="en-US"/>
        </w:rPr>
        <w:t>POSLOVNE ASOCIJACIJE</w:t>
      </w:r>
    </w:p>
    <w:p w14:paraId="4FF24635" w14:textId="7EAEB51C" w:rsidR="00CD0F43" w:rsidRPr="00923467" w:rsidRDefault="00B845A4" w:rsidP="00966B2E">
      <w:pPr>
        <w:pStyle w:val="ListParagraph"/>
        <w:numPr>
          <w:ilvl w:val="0"/>
          <w:numId w:val="49"/>
        </w:numPr>
        <w:rPr>
          <w:rFonts w:ascii="Calibri" w:hAnsi="Calibri" w:cstheme="minorHAnsi"/>
          <w:kern w:val="1"/>
          <w:lang w:val="pt-BR"/>
        </w:rPr>
      </w:pPr>
      <w:r w:rsidRPr="00923467">
        <w:rPr>
          <w:rFonts w:ascii="Calibri" w:hAnsi="Calibri" w:cstheme="minorHAnsi"/>
          <w:kern w:val="1"/>
          <w:lang w:val="pt-BR"/>
        </w:rPr>
        <w:t>Privredna komora Crne Gore (</w:t>
      </w:r>
      <w:r w:rsidR="00CD0F43" w:rsidRPr="00923467">
        <w:rPr>
          <w:rFonts w:ascii="Calibri" w:hAnsi="Calibri" w:cstheme="minorHAnsi"/>
          <w:kern w:val="1"/>
          <w:lang w:val="pt-BR"/>
        </w:rPr>
        <w:t>PKCG</w:t>
      </w:r>
      <w:r w:rsidRPr="00923467">
        <w:rPr>
          <w:rFonts w:ascii="Calibri" w:hAnsi="Calibri" w:cstheme="minorHAnsi"/>
          <w:kern w:val="1"/>
          <w:lang w:val="pt-BR"/>
        </w:rPr>
        <w:t>)</w:t>
      </w:r>
      <w:r w:rsidR="00CD0F43" w:rsidRPr="00923467">
        <w:rPr>
          <w:rFonts w:ascii="Calibri" w:hAnsi="Calibri" w:cstheme="minorHAnsi"/>
          <w:kern w:val="1"/>
          <w:lang w:val="pt-BR"/>
        </w:rPr>
        <w:t xml:space="preserve">, Unija </w:t>
      </w:r>
      <w:r w:rsidR="004B7D0C" w:rsidRPr="00923467">
        <w:rPr>
          <w:rFonts w:ascii="Calibri" w:hAnsi="Calibri" w:cstheme="minorHAnsi"/>
          <w:kern w:val="1"/>
          <w:lang w:val="pt-BR"/>
        </w:rPr>
        <w:t>p</w:t>
      </w:r>
      <w:r w:rsidR="00CD0F43" w:rsidRPr="00923467">
        <w:rPr>
          <w:rFonts w:ascii="Calibri" w:hAnsi="Calibri" w:cstheme="minorHAnsi"/>
          <w:kern w:val="1"/>
          <w:lang w:val="pt-BR"/>
        </w:rPr>
        <w:t>oslodavaca</w:t>
      </w:r>
      <w:r w:rsidRPr="00923467">
        <w:rPr>
          <w:rFonts w:ascii="Calibri" w:hAnsi="Calibri" w:cstheme="minorHAnsi"/>
          <w:kern w:val="1"/>
          <w:lang w:val="pt-BR"/>
        </w:rPr>
        <w:t xml:space="preserve"> (UP)</w:t>
      </w:r>
      <w:r w:rsidR="00CD0F43" w:rsidRPr="00923467">
        <w:rPr>
          <w:rFonts w:ascii="Calibri" w:hAnsi="Calibri" w:cstheme="minorHAnsi"/>
          <w:kern w:val="1"/>
          <w:lang w:val="pt-BR"/>
        </w:rPr>
        <w:t xml:space="preserve">, </w:t>
      </w:r>
      <w:r w:rsidRPr="00923467">
        <w:rPr>
          <w:rFonts w:ascii="Calibri" w:hAnsi="Calibri" w:cstheme="minorHAnsi"/>
          <w:kern w:val="1"/>
          <w:lang w:val="pt-BR"/>
        </w:rPr>
        <w:t>Montenegro Biznis Alijansa (</w:t>
      </w:r>
      <w:r w:rsidR="00CD0F43" w:rsidRPr="00923467">
        <w:rPr>
          <w:rFonts w:ascii="Calibri" w:hAnsi="Calibri" w:cstheme="minorHAnsi"/>
          <w:kern w:val="1"/>
          <w:lang w:val="pt-BR"/>
        </w:rPr>
        <w:t>MBA</w:t>
      </w:r>
      <w:r w:rsidRPr="00923467">
        <w:rPr>
          <w:rFonts w:ascii="Calibri" w:hAnsi="Calibri" w:cstheme="minorHAnsi"/>
          <w:kern w:val="1"/>
          <w:lang w:val="pt-BR"/>
        </w:rPr>
        <w:t>)</w:t>
      </w:r>
      <w:r w:rsidR="00CD0F43" w:rsidRPr="00923467">
        <w:rPr>
          <w:rFonts w:ascii="Calibri" w:hAnsi="Calibri" w:cstheme="minorHAnsi"/>
          <w:kern w:val="1"/>
          <w:lang w:val="pt-BR"/>
        </w:rPr>
        <w:t>, Asocijacija menadžera</w:t>
      </w:r>
      <w:r w:rsidR="0086578A">
        <w:rPr>
          <w:rFonts w:ascii="Calibri" w:hAnsi="Calibri" w:cstheme="minorHAnsi"/>
          <w:kern w:val="1"/>
          <w:lang w:val="pt-BR"/>
        </w:rPr>
        <w:t xml:space="preserve"> Crne Gore (AMM)</w:t>
      </w:r>
      <w:r w:rsidRPr="00923467">
        <w:rPr>
          <w:rFonts w:ascii="Calibri" w:hAnsi="Calibri" w:cstheme="minorHAnsi"/>
          <w:kern w:val="1"/>
          <w:lang w:val="pt-BR"/>
        </w:rPr>
        <w:t>.</w:t>
      </w:r>
    </w:p>
    <w:p w14:paraId="147B40AA" w14:textId="31AEA044" w:rsidR="00A22FBB" w:rsidRDefault="00A22FBB" w:rsidP="00024A19">
      <w:pPr>
        <w:rPr>
          <w:rFonts w:cstheme="minorHAnsi"/>
        </w:rPr>
      </w:pPr>
      <w:r>
        <w:rPr>
          <w:rFonts w:cstheme="minorHAnsi"/>
        </w:rPr>
        <w:t>JAVNE</w:t>
      </w:r>
      <w:r w:rsidRPr="00A22FBB">
        <w:rPr>
          <w:rFonts w:cstheme="minorHAnsi"/>
        </w:rPr>
        <w:t xml:space="preserve"> INSTITUCIJE</w:t>
      </w:r>
    </w:p>
    <w:p w14:paraId="61FE7838" w14:textId="39826EB6" w:rsidR="00A22FBB" w:rsidRDefault="00A22FBB" w:rsidP="00024A19">
      <w:pPr>
        <w:pStyle w:val="ListParagraph"/>
        <w:numPr>
          <w:ilvl w:val="0"/>
          <w:numId w:val="49"/>
        </w:numPr>
        <w:rPr>
          <w:rFonts w:cstheme="minorHAnsi"/>
          <w:lang w:val="it-IT"/>
        </w:rPr>
      </w:pPr>
      <w:r w:rsidRPr="00923467">
        <w:rPr>
          <w:rFonts w:cstheme="minorHAnsi"/>
          <w:lang w:val="it-IT"/>
        </w:rPr>
        <w:t>Ministarstvo ekonomije (MEK), Ministarstvo nauke (MNA), Ministarstvo javne uprave (MJU) i Ministarstvo prosvjete (MPV)</w:t>
      </w:r>
      <w:r w:rsidR="00B845A4" w:rsidRPr="00923467">
        <w:rPr>
          <w:rFonts w:cstheme="minorHAnsi"/>
          <w:lang w:val="it-IT"/>
        </w:rPr>
        <w:t>.</w:t>
      </w:r>
    </w:p>
    <w:p w14:paraId="5BDE04F2" w14:textId="77777777" w:rsidR="00F336FB" w:rsidRPr="00F336FB" w:rsidRDefault="00F336FB" w:rsidP="00F336FB">
      <w:pPr>
        <w:pStyle w:val="ListParagraph"/>
        <w:rPr>
          <w:rFonts w:cstheme="minorHAnsi"/>
          <w:lang w:val="it-IT"/>
        </w:rPr>
      </w:pPr>
    </w:p>
    <w:p w14:paraId="1C7C4ED3" w14:textId="77777777" w:rsidR="00CD0F43" w:rsidRPr="00B42215" w:rsidRDefault="00CD0F43" w:rsidP="00B42215">
      <w:pPr>
        <w:rPr>
          <w:rFonts w:cstheme="minorHAnsi"/>
        </w:rPr>
      </w:pPr>
      <w:r w:rsidRPr="00B42215">
        <w:rPr>
          <w:rFonts w:cstheme="minorHAnsi"/>
        </w:rPr>
        <w:t>CIVILNI SEKTOR</w:t>
      </w:r>
    </w:p>
    <w:p w14:paraId="130776C5" w14:textId="4ED97A38" w:rsidR="00B42215" w:rsidRPr="00B42215" w:rsidRDefault="00B01B44" w:rsidP="00024A19">
      <w:pPr>
        <w:pStyle w:val="ListParagraph"/>
        <w:numPr>
          <w:ilvl w:val="0"/>
          <w:numId w:val="49"/>
        </w:numPr>
        <w:rPr>
          <w:rFonts w:cstheme="minorHAnsi"/>
        </w:rPr>
      </w:pPr>
      <w:r>
        <w:rPr>
          <w:rFonts w:cstheme="minorHAnsi"/>
        </w:rPr>
        <w:t>Fondacija za promovisanje nauke (</w:t>
      </w:r>
      <w:r w:rsidR="00CD0F43" w:rsidRPr="00B42215">
        <w:rPr>
          <w:rFonts w:cstheme="minorHAnsi"/>
        </w:rPr>
        <w:t>Prona</w:t>
      </w:r>
      <w:r>
        <w:rPr>
          <w:rFonts w:cstheme="minorHAnsi"/>
        </w:rPr>
        <w:t>)</w:t>
      </w:r>
      <w:r w:rsidR="00CD0F43" w:rsidRPr="00B42215">
        <w:rPr>
          <w:rFonts w:cstheme="minorHAnsi"/>
        </w:rPr>
        <w:t xml:space="preserve">, </w:t>
      </w:r>
      <w:r w:rsidR="0038512C">
        <w:rPr>
          <w:rFonts w:cstheme="minorHAnsi"/>
        </w:rPr>
        <w:t>Montenegrin Association for New Technologies (</w:t>
      </w:r>
      <w:r w:rsidR="00CD0F43" w:rsidRPr="00B42215">
        <w:rPr>
          <w:rFonts w:cstheme="minorHAnsi"/>
        </w:rPr>
        <w:t>MANT</w:t>
      </w:r>
      <w:r w:rsidR="0038512C">
        <w:rPr>
          <w:rFonts w:cstheme="minorHAnsi"/>
        </w:rPr>
        <w:t>)</w:t>
      </w:r>
      <w:r w:rsidR="00CD0F43" w:rsidRPr="00B42215">
        <w:rPr>
          <w:rFonts w:cstheme="minorHAnsi"/>
        </w:rPr>
        <w:t xml:space="preserve">, ITd, Digitalizuj.me, </w:t>
      </w:r>
      <w:r w:rsidR="0009006C">
        <w:rPr>
          <w:rFonts w:cstheme="minorHAnsi"/>
        </w:rPr>
        <w:t>Internet Society Montenegro (</w:t>
      </w:r>
      <w:r w:rsidR="00CD0F43" w:rsidRPr="00B42215">
        <w:rPr>
          <w:rFonts w:cstheme="minorHAnsi"/>
        </w:rPr>
        <w:t>ISOC.me</w:t>
      </w:r>
      <w:r w:rsidR="0009006C">
        <w:rPr>
          <w:rFonts w:cstheme="minorHAnsi"/>
        </w:rPr>
        <w:t>)</w:t>
      </w:r>
      <w:r w:rsidR="00B845A4">
        <w:rPr>
          <w:rFonts w:cstheme="minorHAnsi"/>
        </w:rPr>
        <w:t>.</w:t>
      </w:r>
    </w:p>
    <w:p w14:paraId="7CC284B1" w14:textId="77777777" w:rsidR="00F336FB" w:rsidRDefault="00F336F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kern w:val="0"/>
        </w:rPr>
      </w:pPr>
      <w:r>
        <w:rPr>
          <w:rFonts w:asciiTheme="minorHAnsi" w:eastAsiaTheme="minorHAnsi" w:hAnsiTheme="minorHAnsi" w:cstheme="minorHAnsi"/>
          <w:kern w:val="0"/>
        </w:rPr>
        <w:br w:type="page"/>
      </w:r>
    </w:p>
    <w:p w14:paraId="177BE4EA" w14:textId="58690BE8" w:rsidR="00DC5740" w:rsidRDefault="00305A2C" w:rsidP="00F33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inorHAnsi"/>
          <w:b/>
          <w:szCs w:val="24"/>
        </w:rPr>
      </w:pPr>
      <w:r w:rsidRPr="0021212C">
        <w:rPr>
          <w:rFonts w:cstheme="majorHAnsi"/>
          <w:b/>
        </w:rPr>
        <w:lastRenderedPageBreak/>
        <w:t>Sinergijski efekat u odnosu na ostale prioritetne sektore</w:t>
      </w:r>
    </w:p>
    <w:p w14:paraId="50FA9E8B" w14:textId="77777777" w:rsidR="00F336FB" w:rsidRPr="00DC5740" w:rsidRDefault="00F336FB" w:rsidP="00F336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ajorHAnsi" w:hAnsiTheme="majorHAnsi" w:cstheme="minorHAnsi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6255"/>
      </w:tblGrid>
      <w:tr w:rsidR="00305A2C" w:rsidRPr="00703098" w14:paraId="20FA5D78" w14:textId="77777777" w:rsidTr="00F336F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121" w14:textId="77777777" w:rsidR="00305A2C" w:rsidRPr="00C577DE" w:rsidRDefault="00305A2C" w:rsidP="00C577DE">
            <w:pPr>
              <w:spacing w:after="0"/>
              <w:rPr>
                <w:rFonts w:asciiTheme="minorHAnsi" w:hAnsiTheme="minorHAnsi" w:cstheme="majorHAnsi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F6FF" w14:textId="77777777" w:rsidR="00305A2C" w:rsidRPr="00C577DE" w:rsidRDefault="00305A2C" w:rsidP="00C577DE">
            <w:pPr>
              <w:spacing w:after="0"/>
              <w:jc w:val="center"/>
              <w:rPr>
                <w:rFonts w:asciiTheme="minorHAnsi" w:hAnsiTheme="minorHAnsi" w:cstheme="majorHAnsi"/>
                <w:lang w:val="hr-HR"/>
              </w:rPr>
            </w:pP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t xml:space="preserve">ICT </w:t>
            </w:r>
            <w:r w:rsidRPr="00C577DE">
              <w:rPr>
                <w:rFonts w:asciiTheme="minorHAnsi" w:hAnsiTheme="minorHAnsi" w:cstheme="minorHAnsi"/>
                <w:b/>
                <w:bCs/>
                <w:lang w:val="hr-HR"/>
              </w:rPr>
              <w:br/>
              <w:t>(horizontalni prioritetni sektor)</w:t>
            </w:r>
          </w:p>
        </w:tc>
      </w:tr>
      <w:tr w:rsidR="00305A2C" w:rsidRPr="00A86E46" w14:paraId="2C948030" w14:textId="77777777" w:rsidTr="00F336FB">
        <w:trPr>
          <w:trHeight w:val="1005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8D59" w14:textId="77777777" w:rsidR="00305A2C" w:rsidRPr="00C577DE" w:rsidRDefault="00305A2C" w:rsidP="00C577DE">
            <w:pPr>
              <w:spacing w:after="0"/>
              <w:rPr>
                <w:rFonts w:asciiTheme="minorHAnsi" w:hAnsiTheme="minorHAnsi" w:cstheme="maj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ajorHAnsi"/>
                <w:b/>
                <w:bCs/>
                <w:lang w:val="hr-HR"/>
              </w:rPr>
              <w:t>Održiva poljoprivreda i lanac vrijednosti hrane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77C" w14:textId="77777777" w:rsidR="00305A2C" w:rsidRPr="00C577DE" w:rsidRDefault="00305A2C" w:rsidP="005B5889">
            <w:pPr>
              <w:pStyle w:val="ListParagraph"/>
              <w:numPr>
                <w:ilvl w:val="0"/>
                <w:numId w:val="28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 w:rsidRPr="00C577DE">
              <w:rPr>
                <w:rFonts w:cstheme="majorHAnsi"/>
                <w:lang w:val="hr-HR"/>
              </w:rPr>
              <w:t xml:space="preserve">Pametno i efikasno upravljanje poljoprivredom </w:t>
            </w:r>
          </w:p>
          <w:p w14:paraId="7B4395F4" w14:textId="11910C83" w:rsidR="00305A2C" w:rsidRPr="00C577DE" w:rsidRDefault="00305A2C" w:rsidP="005B5889">
            <w:pPr>
              <w:pStyle w:val="ListParagraph"/>
              <w:numPr>
                <w:ilvl w:val="0"/>
                <w:numId w:val="28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 w:rsidRPr="00C577DE">
              <w:rPr>
                <w:rFonts w:cstheme="majorHAnsi"/>
                <w:lang w:val="hr-HR"/>
              </w:rPr>
              <w:t xml:space="preserve">Primjena senzora za nadgledanje </w:t>
            </w:r>
            <w:r w:rsidR="00860624">
              <w:t>proizvodnje, skladištenja i transporta</w:t>
            </w:r>
            <w:r w:rsidR="00CF34FF">
              <w:rPr>
                <w:rFonts w:cstheme="majorHAnsi"/>
                <w:lang w:val="hr-HR"/>
              </w:rPr>
              <w:t xml:space="preserve"> </w:t>
            </w:r>
            <w:r w:rsidRPr="00C577DE">
              <w:rPr>
                <w:rFonts w:cstheme="majorHAnsi"/>
                <w:lang w:val="hr-HR"/>
              </w:rPr>
              <w:t>hrane i životne sredine (bio-senzori,  pametna bova, pametna košnica itd.)</w:t>
            </w:r>
          </w:p>
          <w:p w14:paraId="6ADC9D89" w14:textId="77777777" w:rsidR="00305A2C" w:rsidRPr="00C577DE" w:rsidRDefault="00305A2C" w:rsidP="005B5889">
            <w:pPr>
              <w:pStyle w:val="ListParagraph"/>
              <w:numPr>
                <w:ilvl w:val="0"/>
                <w:numId w:val="28"/>
              </w:numPr>
              <w:spacing w:before="0" w:after="0"/>
              <w:jc w:val="left"/>
              <w:rPr>
                <w:sz w:val="24"/>
                <w:lang w:val="hr-HR"/>
              </w:rPr>
            </w:pPr>
            <w:r w:rsidRPr="00C577DE">
              <w:rPr>
                <w:rFonts w:cstheme="minorHAnsi"/>
                <w:lang w:val="hr-HR"/>
              </w:rPr>
              <w:t>BIO-ICT centar izvrsnosti.</w:t>
            </w:r>
          </w:p>
        </w:tc>
      </w:tr>
      <w:tr w:rsidR="00305A2C" w:rsidRPr="00FE5F78" w14:paraId="5F83272F" w14:textId="77777777" w:rsidTr="00F336F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8F2C" w14:textId="1D79A1E1" w:rsidR="00305A2C" w:rsidRPr="00C577DE" w:rsidRDefault="00305A2C" w:rsidP="00C577DE">
            <w:pPr>
              <w:spacing w:after="0"/>
              <w:rPr>
                <w:rFonts w:asciiTheme="minorHAnsi" w:hAnsiTheme="minorHAnsi" w:cstheme="majorHAnsi"/>
                <w:b/>
                <w:bCs/>
                <w:kern w:val="2"/>
                <w:lang w:val="hr-HR"/>
              </w:rPr>
            </w:pPr>
            <w:r w:rsidRPr="00C577DE">
              <w:rPr>
                <w:rFonts w:asciiTheme="minorHAnsi" w:hAnsiTheme="minorHAnsi" w:cstheme="majorHAnsi"/>
                <w:b/>
                <w:bCs/>
                <w:lang w:val="hr-HR"/>
              </w:rPr>
              <w:t xml:space="preserve">Obnovljivi izvori energije </w:t>
            </w:r>
            <w:r w:rsidR="00B42215">
              <w:rPr>
                <w:rFonts w:asciiTheme="minorHAnsi" w:hAnsiTheme="minorHAnsi" w:cstheme="majorHAnsi"/>
                <w:b/>
                <w:bCs/>
                <w:lang w:val="hr-HR"/>
              </w:rPr>
              <w:t>i energetska efikasnost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6DBE" w14:textId="3D45C82E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Optimalno upravljanje elektroenergetskim sistemima i mrežama</w:t>
            </w:r>
          </w:p>
          <w:p w14:paraId="7B11D4EE" w14:textId="77777777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Prenosi energije i podataka</w:t>
            </w:r>
          </w:p>
          <w:p w14:paraId="7622B687" w14:textId="77777777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 xml:space="preserve">Upravljanje podacima za pametno korišćenje izvora energije ili angažovanje mrežnih kapaciteta </w:t>
            </w:r>
          </w:p>
          <w:p w14:paraId="2CC153DA" w14:textId="77777777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Sajber bezbijednost</w:t>
            </w:r>
          </w:p>
          <w:p w14:paraId="0FBAA0F3" w14:textId="77777777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 w:line="259" w:lineRule="auto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 xml:space="preserve">Pametni energetski sistemi - pametni transport energije i informacija </w:t>
            </w:r>
          </w:p>
          <w:p w14:paraId="05BD3A16" w14:textId="77777777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Pametna trgovina i upravljanje električnom energijom – berza energije</w:t>
            </w:r>
          </w:p>
          <w:p w14:paraId="476A0D1F" w14:textId="77777777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 w:line="259" w:lineRule="auto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 xml:space="preserve">Upravljanje podacima o energetskim istraživanjima o stanju i potencijalu u energetici </w:t>
            </w:r>
          </w:p>
          <w:p w14:paraId="4A8641C4" w14:textId="77777777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 w:line="259" w:lineRule="auto"/>
              <w:jc w:val="left"/>
              <w:rPr>
                <w:rFonts w:eastAsia="Times New Roman" w:cstheme="majorHAnsi"/>
                <w:lang w:val="hr-HR" w:eastAsia="en-GB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Razvoj sistema poslovne inteligencije u energetici.</w:t>
            </w:r>
          </w:p>
          <w:p w14:paraId="1B95DE70" w14:textId="77777777" w:rsidR="00305A2C" w:rsidRPr="00C577DE" w:rsidRDefault="00305A2C" w:rsidP="005B5889">
            <w:pPr>
              <w:pStyle w:val="ListParagraph"/>
              <w:numPr>
                <w:ilvl w:val="0"/>
                <w:numId w:val="29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 w:rsidRPr="00C577DE">
              <w:rPr>
                <w:rFonts w:eastAsia="Times New Roman" w:cstheme="majorHAnsi"/>
                <w:lang w:val="hr-HR" w:eastAsia="en-GB"/>
              </w:rPr>
              <w:t>Zeleni ICT</w:t>
            </w:r>
          </w:p>
        </w:tc>
      </w:tr>
      <w:tr w:rsidR="00305A2C" w:rsidRPr="00C577DE" w14:paraId="6CE6440F" w14:textId="77777777" w:rsidTr="00F336F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0E44" w14:textId="377AE2DD" w:rsidR="00305A2C" w:rsidRPr="00C577DE" w:rsidRDefault="00933997" w:rsidP="00C577DE">
            <w:pPr>
              <w:spacing w:after="0"/>
              <w:rPr>
                <w:rFonts w:asciiTheme="minorHAnsi" w:hAnsiTheme="minorHAnsi" w:cstheme="majorHAnsi"/>
                <w:b/>
                <w:bCs/>
                <w:kern w:val="2"/>
                <w:lang w:val="hr-HR"/>
              </w:rPr>
            </w:pPr>
            <w:r>
              <w:rPr>
                <w:rFonts w:asciiTheme="minorHAnsi" w:hAnsiTheme="minorHAnsi" w:cstheme="majorHAnsi"/>
                <w:b/>
                <w:bCs/>
                <w:lang w:val="hr-HR"/>
              </w:rPr>
              <w:t>O</w:t>
            </w:r>
            <w:r w:rsidR="00305A2C" w:rsidRPr="00C577DE">
              <w:rPr>
                <w:rFonts w:asciiTheme="minorHAnsi" w:hAnsiTheme="minorHAnsi" w:cstheme="majorHAnsi"/>
                <w:b/>
                <w:bCs/>
                <w:lang w:val="hr-HR"/>
              </w:rPr>
              <w:t xml:space="preserve">drživi </w:t>
            </w:r>
            <w:r>
              <w:rPr>
                <w:rFonts w:asciiTheme="minorHAnsi" w:hAnsiTheme="minorHAnsi" w:cstheme="majorHAnsi"/>
                <w:b/>
                <w:bCs/>
                <w:lang w:val="hr-HR"/>
              </w:rPr>
              <w:t xml:space="preserve">i zdravstveni </w:t>
            </w:r>
            <w:r w:rsidR="00305A2C" w:rsidRPr="00C577DE">
              <w:rPr>
                <w:rFonts w:asciiTheme="minorHAnsi" w:hAnsiTheme="minorHAnsi" w:cstheme="majorHAnsi"/>
                <w:b/>
                <w:bCs/>
                <w:lang w:val="hr-HR"/>
              </w:rPr>
              <w:t>turizam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886" w14:textId="77777777" w:rsidR="00305A2C" w:rsidRPr="00C577DE" w:rsidRDefault="00305A2C" w:rsidP="005B5889">
            <w:pPr>
              <w:pStyle w:val="ListParagraph"/>
              <w:numPr>
                <w:ilvl w:val="0"/>
                <w:numId w:val="30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 w:rsidRPr="00C577DE">
              <w:rPr>
                <w:rFonts w:cstheme="majorHAnsi"/>
                <w:lang w:val="hr-HR"/>
              </w:rPr>
              <w:t>E-zdravstveni servisi</w:t>
            </w:r>
          </w:p>
          <w:p w14:paraId="2404B402" w14:textId="36383737" w:rsidR="00305A2C" w:rsidRPr="00C577DE" w:rsidRDefault="00764F66" w:rsidP="005B5889">
            <w:pPr>
              <w:pStyle w:val="ListParagraph"/>
              <w:numPr>
                <w:ilvl w:val="1"/>
                <w:numId w:val="30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</w:t>
            </w:r>
            <w:r w:rsidR="00305A2C" w:rsidRPr="00C577DE">
              <w:rPr>
                <w:rFonts w:cstheme="minorHAnsi"/>
                <w:lang w:val="hr-HR"/>
              </w:rPr>
              <w:t>-zdravlje</w:t>
            </w:r>
          </w:p>
          <w:p w14:paraId="637A76B5" w14:textId="25AB179E" w:rsidR="00305A2C" w:rsidRPr="00C577DE" w:rsidRDefault="00764F66" w:rsidP="005B5889">
            <w:pPr>
              <w:pStyle w:val="ListParagraph"/>
              <w:numPr>
                <w:ilvl w:val="1"/>
                <w:numId w:val="30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a</w:t>
            </w:r>
            <w:r w:rsidR="00305A2C" w:rsidRPr="00C577DE">
              <w:rPr>
                <w:rFonts w:cstheme="minorHAnsi"/>
                <w:lang w:val="hr-HR"/>
              </w:rPr>
              <w:t>plikacije za zdravstveni turizam</w:t>
            </w:r>
          </w:p>
          <w:p w14:paraId="6C28F09E" w14:textId="2FB5CBAF" w:rsidR="00305A2C" w:rsidRPr="00C577DE" w:rsidRDefault="00764F66" w:rsidP="005B5889">
            <w:pPr>
              <w:pStyle w:val="ListParagraph"/>
              <w:numPr>
                <w:ilvl w:val="1"/>
                <w:numId w:val="30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>
              <w:rPr>
                <w:rFonts w:cstheme="minorHAnsi"/>
                <w:lang w:val="hr-HR"/>
              </w:rPr>
              <w:t>z</w:t>
            </w:r>
            <w:r w:rsidR="00305A2C" w:rsidRPr="00C577DE">
              <w:rPr>
                <w:rFonts w:cstheme="minorHAnsi"/>
                <w:lang w:val="hr-HR"/>
              </w:rPr>
              <w:t xml:space="preserve">dravstveni informacioni sistemi </w:t>
            </w:r>
          </w:p>
          <w:p w14:paraId="79A3C8B1" w14:textId="42D34687" w:rsidR="00305A2C" w:rsidRPr="00C577DE" w:rsidRDefault="0086578A" w:rsidP="005B5889">
            <w:pPr>
              <w:pStyle w:val="ListParagraph"/>
              <w:numPr>
                <w:ilvl w:val="1"/>
                <w:numId w:val="30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</w:t>
            </w:r>
            <w:r w:rsidRPr="00C577DE">
              <w:rPr>
                <w:rFonts w:cstheme="minorHAnsi"/>
                <w:lang w:val="hr-HR"/>
              </w:rPr>
              <w:t>elemedicina</w:t>
            </w:r>
          </w:p>
          <w:p w14:paraId="1B5732B4" w14:textId="77777777" w:rsidR="00305A2C" w:rsidRPr="00C577DE" w:rsidRDefault="00305A2C" w:rsidP="005B5889">
            <w:pPr>
              <w:pStyle w:val="ListParagraph"/>
              <w:numPr>
                <w:ilvl w:val="0"/>
                <w:numId w:val="30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 w:rsidRPr="00C577DE">
              <w:rPr>
                <w:rFonts w:cstheme="majorHAnsi"/>
                <w:lang w:val="hr-HR"/>
              </w:rPr>
              <w:t>E-platforme i servisi  turističkih usluga</w:t>
            </w:r>
          </w:p>
          <w:p w14:paraId="7B40D55D" w14:textId="6C53D6C2" w:rsidR="00305A2C" w:rsidRPr="00C577DE" w:rsidRDefault="007C1048" w:rsidP="005B5889">
            <w:pPr>
              <w:pStyle w:val="ListParagraph"/>
              <w:numPr>
                <w:ilvl w:val="1"/>
                <w:numId w:val="30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</w:t>
            </w:r>
            <w:r w:rsidR="00305A2C" w:rsidRPr="00C577DE">
              <w:rPr>
                <w:rFonts w:cstheme="minorHAnsi"/>
                <w:lang w:val="hr-HR"/>
              </w:rPr>
              <w:t>-turizam</w:t>
            </w:r>
          </w:p>
          <w:p w14:paraId="014656E9" w14:textId="566D9009" w:rsidR="00305A2C" w:rsidRPr="00C577DE" w:rsidRDefault="00813707" w:rsidP="005B5889">
            <w:pPr>
              <w:pStyle w:val="ListParagraph"/>
              <w:numPr>
                <w:ilvl w:val="1"/>
                <w:numId w:val="30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e-posjetilac</w:t>
            </w:r>
          </w:p>
          <w:p w14:paraId="0280E15F" w14:textId="7F32070F" w:rsidR="00305A2C" w:rsidRPr="00C577DE" w:rsidRDefault="00813707" w:rsidP="005B5889">
            <w:pPr>
              <w:pStyle w:val="ListParagraph"/>
              <w:numPr>
                <w:ilvl w:val="1"/>
                <w:numId w:val="30"/>
              </w:numPr>
              <w:spacing w:before="0"/>
              <w:jc w:val="left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a</w:t>
            </w:r>
            <w:r w:rsidR="00305A2C" w:rsidRPr="00C577DE">
              <w:rPr>
                <w:rFonts w:cstheme="minorHAnsi"/>
                <w:lang w:val="hr-HR"/>
              </w:rPr>
              <w:t xml:space="preserve">plikacije koje koriste VR/AR </w:t>
            </w:r>
          </w:p>
          <w:p w14:paraId="255299E2" w14:textId="77777777" w:rsidR="00305A2C" w:rsidRPr="00C577DE" w:rsidRDefault="00305A2C" w:rsidP="005B5889">
            <w:pPr>
              <w:pStyle w:val="ListParagraph"/>
              <w:numPr>
                <w:ilvl w:val="1"/>
                <w:numId w:val="30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 w:rsidRPr="00C577DE">
              <w:rPr>
                <w:rFonts w:cstheme="minorHAnsi"/>
                <w:lang w:val="hr-HR"/>
              </w:rPr>
              <w:t>e- Crna Gora model za visoki turizam</w:t>
            </w:r>
          </w:p>
        </w:tc>
      </w:tr>
      <w:tr w:rsidR="00305A2C" w:rsidRPr="00C577DE" w14:paraId="22D30209" w14:textId="77777777" w:rsidTr="00F336FB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D38B" w14:textId="77777777" w:rsidR="00305A2C" w:rsidRPr="00C577DE" w:rsidRDefault="00305A2C" w:rsidP="00C577DE">
            <w:pPr>
              <w:spacing w:after="0"/>
              <w:rPr>
                <w:rFonts w:asciiTheme="minorHAnsi" w:hAnsiTheme="minorHAnsi" w:cstheme="majorHAnsi"/>
                <w:b/>
                <w:bCs/>
                <w:lang w:val="hr-HR"/>
              </w:rPr>
            </w:pPr>
            <w:r w:rsidRPr="00C577DE">
              <w:rPr>
                <w:rFonts w:asciiTheme="minorHAnsi" w:hAnsiTheme="minorHAnsi" w:cstheme="majorHAnsi"/>
                <w:b/>
                <w:bCs/>
                <w:lang w:val="hr-HR"/>
              </w:rPr>
              <w:t>Novi materijali i održive tehnologije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66B7" w14:textId="6EFA7A19" w:rsidR="00305A2C" w:rsidRPr="00C577DE" w:rsidRDefault="00305A2C" w:rsidP="005B5889">
            <w:pPr>
              <w:pStyle w:val="ListParagraph"/>
              <w:numPr>
                <w:ilvl w:val="0"/>
                <w:numId w:val="31"/>
              </w:numPr>
              <w:spacing w:before="0" w:after="0"/>
              <w:jc w:val="left"/>
              <w:rPr>
                <w:rFonts w:cstheme="majorHAnsi"/>
                <w:lang w:val="hr-HR"/>
              </w:rPr>
            </w:pPr>
            <w:r w:rsidRPr="00C577DE">
              <w:rPr>
                <w:rFonts w:cstheme="majorHAnsi"/>
                <w:lang w:val="hr-HR"/>
              </w:rPr>
              <w:t xml:space="preserve">Efikasno upravljanje proizvodnim pogonima koristeći </w:t>
            </w:r>
            <w:r w:rsidR="00813707">
              <w:rPr>
                <w:rFonts w:cstheme="minorHAnsi"/>
                <w:lang w:val="hr-HR"/>
              </w:rPr>
              <w:t>ICT</w:t>
            </w:r>
          </w:p>
          <w:p w14:paraId="142677EA" w14:textId="77777777" w:rsidR="00305A2C" w:rsidRPr="00C577DE" w:rsidRDefault="00305A2C" w:rsidP="005B5889">
            <w:pPr>
              <w:pStyle w:val="ListParagraph"/>
              <w:numPr>
                <w:ilvl w:val="0"/>
                <w:numId w:val="31"/>
              </w:numPr>
              <w:spacing w:before="0" w:after="0"/>
              <w:jc w:val="left"/>
              <w:rPr>
                <w:rFonts w:cstheme="minorHAnsi"/>
                <w:lang w:val="hr-HR"/>
              </w:rPr>
            </w:pPr>
            <w:r w:rsidRPr="00C577DE">
              <w:rPr>
                <w:rFonts w:cstheme="minorHAnsi"/>
                <w:lang w:val="hr-HR"/>
              </w:rPr>
              <w:t>Pametne kuće i pametni gradovi</w:t>
            </w:r>
          </w:p>
        </w:tc>
      </w:tr>
    </w:tbl>
    <w:p w14:paraId="22EB11EB" w14:textId="77777777" w:rsidR="00F336FB" w:rsidRDefault="00F336FB" w:rsidP="00F17001">
      <w:pPr>
        <w:rPr>
          <w:rFonts w:asciiTheme="minorHAnsi" w:hAnsiTheme="minorHAnsi" w:cstheme="minorHAnsi"/>
          <w:b/>
        </w:rPr>
      </w:pPr>
    </w:p>
    <w:p w14:paraId="3E9F63CC" w14:textId="77777777" w:rsidR="00F336FB" w:rsidRDefault="00F336FB">
      <w:pPr>
        <w:suppressAutoHyphens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6EA0678" w14:textId="2F1B1FCA" w:rsidR="00F17001" w:rsidRPr="00593418" w:rsidRDefault="00F17001" w:rsidP="00F17001">
      <w:pPr>
        <w:rPr>
          <w:rFonts w:asciiTheme="minorHAnsi" w:hAnsiTheme="minorHAnsi" w:cstheme="minorHAnsi"/>
          <w:b/>
        </w:rPr>
      </w:pPr>
      <w:r w:rsidRPr="00593418">
        <w:rPr>
          <w:rFonts w:asciiTheme="minorHAnsi" w:hAnsiTheme="minorHAnsi" w:cstheme="minorHAnsi"/>
          <w:b/>
        </w:rPr>
        <w:lastRenderedPageBreak/>
        <w:t>KLJUČNI INDIKATORI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1915"/>
        <w:gridCol w:w="1915"/>
      </w:tblGrid>
      <w:tr w:rsidR="00F17001" w:rsidRPr="00593418" w14:paraId="745FFB1B" w14:textId="77777777" w:rsidTr="00D722DE">
        <w:trPr>
          <w:trHeight w:val="616"/>
          <w:jc w:val="center"/>
        </w:trPr>
        <w:tc>
          <w:tcPr>
            <w:tcW w:w="3066" w:type="dxa"/>
          </w:tcPr>
          <w:p w14:paraId="3B071784" w14:textId="789A79DA" w:rsidR="00F17001" w:rsidRPr="00593418" w:rsidRDefault="00F17001" w:rsidP="00F17001">
            <w:pPr>
              <w:tabs>
                <w:tab w:val="left" w:pos="1663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593418">
              <w:rPr>
                <w:rFonts w:asciiTheme="minorHAnsi" w:hAnsiTheme="minorHAnsi" w:cstheme="minorHAnsi"/>
                <w:b/>
              </w:rPr>
              <w:t>Indikator</w:t>
            </w:r>
            <w:r w:rsidRPr="00593418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915" w:type="dxa"/>
          </w:tcPr>
          <w:p w14:paraId="1A1DE857" w14:textId="4140B07B" w:rsidR="00F17001" w:rsidRPr="00593418" w:rsidRDefault="00F17001" w:rsidP="00D722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3418">
              <w:rPr>
                <w:rFonts w:asciiTheme="minorHAnsi" w:hAnsiTheme="minorHAnsi" w:cstheme="minorHAnsi"/>
                <w:b/>
              </w:rPr>
              <w:t>2018</w:t>
            </w:r>
            <w:r w:rsidR="004B7D0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15" w:type="dxa"/>
          </w:tcPr>
          <w:p w14:paraId="08670CBA" w14:textId="25BA76D0" w:rsidR="00F17001" w:rsidRPr="00593418" w:rsidRDefault="00F17001" w:rsidP="00D722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3418">
              <w:rPr>
                <w:rFonts w:asciiTheme="minorHAnsi" w:hAnsiTheme="minorHAnsi" w:cstheme="minorHAnsi"/>
                <w:b/>
              </w:rPr>
              <w:t>2024</w:t>
            </w:r>
            <w:r w:rsidR="004B7D0C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F17001" w:rsidRPr="00593418" w14:paraId="1F8336FF" w14:textId="77777777" w:rsidTr="00D722DE">
        <w:trPr>
          <w:jc w:val="center"/>
        </w:trPr>
        <w:tc>
          <w:tcPr>
            <w:tcW w:w="3066" w:type="dxa"/>
          </w:tcPr>
          <w:p w14:paraId="78DFB1C4" w14:textId="402C42C1" w:rsidR="00F17001" w:rsidRPr="00593418" w:rsidRDefault="00F17001" w:rsidP="00D722DE">
            <w:pPr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Učešće ICT-a u BDP-u</w:t>
            </w:r>
          </w:p>
        </w:tc>
        <w:tc>
          <w:tcPr>
            <w:tcW w:w="1915" w:type="dxa"/>
          </w:tcPr>
          <w:p w14:paraId="38B3975A" w14:textId="77777777" w:rsidR="00F17001" w:rsidRPr="00593418" w:rsidRDefault="00F17001" w:rsidP="00D722DE">
            <w:pPr>
              <w:jc w:val="center"/>
              <w:rPr>
                <w:rFonts w:asciiTheme="minorHAnsi" w:hAnsiTheme="minorHAnsi" w:cstheme="minorHAnsi"/>
              </w:rPr>
            </w:pPr>
            <w:r w:rsidRPr="00593418" w:rsidDel="00481996">
              <w:rPr>
                <w:rFonts w:asciiTheme="minorHAnsi" w:hAnsiTheme="minorHAnsi" w:cstheme="minorHAnsi"/>
              </w:rPr>
              <w:t xml:space="preserve"> </w:t>
            </w:r>
            <w:r w:rsidRPr="00593418">
              <w:rPr>
                <w:rFonts w:asciiTheme="minorHAnsi" w:hAnsiTheme="minorHAnsi" w:cstheme="minorHAnsi"/>
              </w:rPr>
              <w:t>4,2%(2016)</w:t>
            </w:r>
          </w:p>
        </w:tc>
        <w:tc>
          <w:tcPr>
            <w:tcW w:w="1915" w:type="dxa"/>
          </w:tcPr>
          <w:p w14:paraId="5CC227F1" w14:textId="77777777" w:rsidR="00F17001" w:rsidRPr="00593418" w:rsidRDefault="00F17001" w:rsidP="00D722DE">
            <w:pPr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11%</w:t>
            </w:r>
          </w:p>
        </w:tc>
      </w:tr>
      <w:tr w:rsidR="00F17001" w:rsidRPr="00593418" w14:paraId="2B03C75E" w14:textId="77777777" w:rsidTr="00F17001">
        <w:trPr>
          <w:trHeight w:val="1034"/>
          <w:jc w:val="center"/>
        </w:trPr>
        <w:tc>
          <w:tcPr>
            <w:tcW w:w="3066" w:type="dxa"/>
          </w:tcPr>
          <w:p w14:paraId="07E1A470" w14:textId="36C34E9B" w:rsidR="00F17001" w:rsidRPr="00593418" w:rsidRDefault="00F17001" w:rsidP="004B7D0C">
            <w:pPr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 xml:space="preserve">Procenat </w:t>
            </w:r>
            <w:r w:rsidR="0086578A">
              <w:rPr>
                <w:rFonts w:asciiTheme="minorHAnsi" w:hAnsiTheme="minorHAnsi" w:cstheme="minorHAnsi"/>
              </w:rPr>
              <w:t>korisnika</w:t>
            </w:r>
            <w:r w:rsidRPr="00593418">
              <w:rPr>
                <w:rFonts w:asciiTheme="minorHAnsi" w:hAnsiTheme="minorHAnsi" w:cstheme="minorHAnsi"/>
              </w:rPr>
              <w:t xml:space="preserve"> sa širokopojasn</w:t>
            </w:r>
            <w:r w:rsidR="004B7D0C">
              <w:rPr>
                <w:rFonts w:asciiTheme="minorHAnsi" w:hAnsiTheme="minorHAnsi" w:cstheme="minorHAnsi"/>
              </w:rPr>
              <w:t>i</w:t>
            </w:r>
            <w:r w:rsidRPr="00593418">
              <w:rPr>
                <w:rFonts w:asciiTheme="minorHAnsi" w:hAnsiTheme="minorHAnsi" w:cstheme="minorHAnsi"/>
              </w:rPr>
              <w:t xml:space="preserve">m pristupom internetu (30Mb/s ili više) </w:t>
            </w:r>
          </w:p>
        </w:tc>
        <w:tc>
          <w:tcPr>
            <w:tcW w:w="1915" w:type="dxa"/>
          </w:tcPr>
          <w:p w14:paraId="1A80F8E4" w14:textId="667351A9" w:rsidR="00F17001" w:rsidRPr="00593418" w:rsidRDefault="0086578A" w:rsidP="0081370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46,13</w:t>
            </w:r>
            <w:r w:rsidR="00F17001" w:rsidRPr="00593418">
              <w:rPr>
                <w:rFonts w:asciiTheme="minorHAnsi" w:hAnsiTheme="minorHAnsi" w:cstheme="minorHAnsi"/>
              </w:rPr>
              <w:t xml:space="preserve">% </w:t>
            </w:r>
            <w:r w:rsidR="00813707">
              <w:rPr>
                <w:rStyle w:val="FootnoteReference"/>
                <w:rFonts w:asciiTheme="minorHAnsi" w:hAnsiTheme="minorHAnsi" w:cstheme="minorHAnsi"/>
              </w:rPr>
              <w:footnoteReference w:id="16"/>
            </w:r>
          </w:p>
        </w:tc>
        <w:tc>
          <w:tcPr>
            <w:tcW w:w="1915" w:type="dxa"/>
          </w:tcPr>
          <w:p w14:paraId="30B8578F" w14:textId="5400F9A6" w:rsidR="00F17001" w:rsidRPr="00593418" w:rsidRDefault="00F17001" w:rsidP="00F17001">
            <w:pPr>
              <w:jc w:val="center"/>
              <w:rPr>
                <w:rFonts w:asciiTheme="minorHAnsi" w:hAnsiTheme="minorHAnsi" w:cstheme="minorHAnsi"/>
              </w:rPr>
            </w:pPr>
            <w:r w:rsidRPr="00593418">
              <w:rPr>
                <w:rFonts w:asciiTheme="minorHAnsi" w:hAnsiTheme="minorHAnsi" w:cstheme="minorHAnsi"/>
              </w:rPr>
              <w:t>70%</w:t>
            </w:r>
          </w:p>
        </w:tc>
      </w:tr>
    </w:tbl>
    <w:p w14:paraId="625FA074" w14:textId="2F2FFBA9" w:rsidR="003D633A" w:rsidRDefault="007533D0" w:rsidP="00F336FB">
      <w:r>
        <w:rPr>
          <w:noProof/>
          <w:lang w:val="en-US"/>
        </w:rPr>
        <w:lastRenderedPageBreak/>
        <w:drawing>
          <wp:inline distT="0" distB="0" distL="0" distR="0" wp14:anchorId="3E455C79" wp14:editId="3499003F">
            <wp:extent cx="5943600" cy="668464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-2 rgb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4" w:name="_Toc526154394"/>
    </w:p>
    <w:p w14:paraId="2C7112C7" w14:textId="59520F1F" w:rsidR="00CC64E7" w:rsidRPr="00593418" w:rsidRDefault="00F203C3" w:rsidP="00A327C7">
      <w:pPr>
        <w:pStyle w:val="Heading1"/>
      </w:pPr>
      <w:bookmarkStart w:id="45" w:name="_Toc526168922"/>
      <w:bookmarkStart w:id="46" w:name="_Toc529890096"/>
      <w:bookmarkStart w:id="47" w:name="_Toc530143291"/>
      <w:bookmarkEnd w:id="44"/>
      <w:r>
        <w:t>VII</w:t>
      </w:r>
      <w:r w:rsidR="00CC64E7" w:rsidRPr="00593418">
        <w:t xml:space="preserve"> KOMBINACIJA RAZVOJNIH POLITIKA</w:t>
      </w:r>
      <w:bookmarkEnd w:id="45"/>
      <w:r w:rsidR="00666D62" w:rsidRPr="00593418">
        <w:t xml:space="preserve"> I FINANSIJSKI OKVIR</w:t>
      </w:r>
      <w:bookmarkEnd w:id="46"/>
      <w:bookmarkEnd w:id="47"/>
    </w:p>
    <w:p w14:paraId="08EA30F7" w14:textId="77777777" w:rsidR="00CC64E7" w:rsidRPr="00593418" w:rsidRDefault="00CC64E7" w:rsidP="00CC64E7"/>
    <w:p w14:paraId="04194D56" w14:textId="4DE331EB" w:rsidR="00563CF3" w:rsidRDefault="00740E7B" w:rsidP="00F17001">
      <w:pPr>
        <w:tabs>
          <w:tab w:val="left" w:pos="0"/>
        </w:tabs>
        <w:spacing w:after="120" w:line="240" w:lineRule="auto"/>
        <w:jc w:val="both"/>
        <w:rPr>
          <w:rFonts w:eastAsia="Times New Roman" w:cs="Calibri"/>
          <w:kern w:val="0"/>
          <w:lang w:eastAsia="en-GB"/>
        </w:rPr>
      </w:pPr>
      <w:r>
        <w:rPr>
          <w:rFonts w:eastAsia="Times New Roman" w:cs="Calibri"/>
          <w:kern w:val="0"/>
          <w:lang w:eastAsia="en-GB"/>
        </w:rPr>
        <w:t>Implementacija</w:t>
      </w:r>
      <w:r w:rsidRPr="00593418">
        <w:rPr>
          <w:rFonts w:eastAsia="Times New Roman" w:cs="Calibri"/>
          <w:kern w:val="0"/>
          <w:lang w:eastAsia="en-GB"/>
        </w:rPr>
        <w:t xml:space="preserve"> </w:t>
      </w:r>
      <w:r w:rsidR="00A02200">
        <w:rPr>
          <w:rFonts w:eastAsia="Times New Roman" w:cs="Calibri"/>
          <w:kern w:val="0"/>
          <w:lang w:eastAsia="en-GB"/>
        </w:rPr>
        <w:t>S3</w:t>
      </w:r>
      <w:r>
        <w:rPr>
          <w:rFonts w:eastAsia="Times New Roman" w:cs="Calibri"/>
          <w:kern w:val="0"/>
          <w:lang w:eastAsia="en-GB"/>
        </w:rPr>
        <w:t xml:space="preserve">, kao i sam proces izrade Strategije, podrazumijeva </w:t>
      </w:r>
      <w:r w:rsidR="00666D62" w:rsidRPr="00593418">
        <w:rPr>
          <w:rFonts w:eastAsia="Times New Roman" w:cs="Calibri"/>
          <w:kern w:val="0"/>
          <w:lang w:eastAsia="en-GB"/>
        </w:rPr>
        <w:t>uključi</w:t>
      </w:r>
      <w:r>
        <w:rPr>
          <w:rFonts w:eastAsia="Times New Roman" w:cs="Calibri"/>
          <w:kern w:val="0"/>
          <w:lang w:eastAsia="en-GB"/>
        </w:rPr>
        <w:t xml:space="preserve">vanje </w:t>
      </w:r>
      <w:r w:rsidR="00666D62" w:rsidRPr="00593418">
        <w:rPr>
          <w:rFonts w:eastAsia="Times New Roman" w:cs="Calibri"/>
          <w:kern w:val="0"/>
          <w:lang w:eastAsia="en-GB"/>
        </w:rPr>
        <w:t>velik</w:t>
      </w:r>
      <w:r>
        <w:rPr>
          <w:rFonts w:eastAsia="Times New Roman" w:cs="Calibri"/>
          <w:kern w:val="0"/>
          <w:lang w:eastAsia="en-GB"/>
        </w:rPr>
        <w:t>og</w:t>
      </w:r>
      <w:r w:rsidR="00666D62" w:rsidRPr="00593418">
        <w:rPr>
          <w:rFonts w:eastAsia="Times New Roman" w:cs="Calibri"/>
          <w:kern w:val="0"/>
          <w:lang w:eastAsia="en-GB"/>
        </w:rPr>
        <w:t xml:space="preserve"> broj</w:t>
      </w:r>
      <w:r>
        <w:rPr>
          <w:rFonts w:eastAsia="Times New Roman" w:cs="Calibri"/>
          <w:kern w:val="0"/>
          <w:lang w:eastAsia="en-GB"/>
        </w:rPr>
        <w:t>a</w:t>
      </w:r>
      <w:r w:rsidR="00666D62" w:rsidRPr="00593418">
        <w:rPr>
          <w:rFonts w:eastAsia="Times New Roman" w:cs="Calibri"/>
          <w:kern w:val="0"/>
          <w:lang w:eastAsia="en-GB"/>
        </w:rPr>
        <w:t xml:space="preserve"> ključnih aktera </w:t>
      </w:r>
      <w:r>
        <w:rPr>
          <w:rFonts w:eastAsia="Times New Roman" w:cs="Calibri"/>
          <w:kern w:val="0"/>
          <w:lang w:eastAsia="en-GB"/>
        </w:rPr>
        <w:t>odgovornih za</w:t>
      </w:r>
      <w:r w:rsidRPr="00593418">
        <w:rPr>
          <w:rFonts w:eastAsia="Times New Roman" w:cs="Calibri"/>
          <w:kern w:val="0"/>
          <w:lang w:eastAsia="en-GB"/>
        </w:rPr>
        <w:t xml:space="preserve"> </w:t>
      </w:r>
      <w:r w:rsidR="00666D62" w:rsidRPr="00593418">
        <w:rPr>
          <w:rFonts w:eastAsia="Times New Roman" w:cs="Calibri"/>
          <w:kern w:val="0"/>
          <w:lang w:eastAsia="en-GB"/>
        </w:rPr>
        <w:t>definisanj</w:t>
      </w:r>
      <w:r w:rsidR="00610E83">
        <w:rPr>
          <w:rFonts w:eastAsia="Times New Roman" w:cs="Calibri"/>
          <w:kern w:val="0"/>
          <w:lang w:eastAsia="en-GB"/>
        </w:rPr>
        <w:t>e</w:t>
      </w:r>
      <w:r w:rsidR="00666D62" w:rsidRPr="00593418">
        <w:rPr>
          <w:rFonts w:eastAsia="Times New Roman" w:cs="Calibri"/>
          <w:kern w:val="0"/>
          <w:lang w:eastAsia="en-GB"/>
        </w:rPr>
        <w:t xml:space="preserve"> </w:t>
      </w:r>
      <w:r w:rsidR="00563CF3">
        <w:rPr>
          <w:rFonts w:eastAsia="Times New Roman" w:cs="Calibri"/>
          <w:kern w:val="0"/>
          <w:lang w:eastAsia="en-GB"/>
        </w:rPr>
        <w:t xml:space="preserve">i sprovođenje </w:t>
      </w:r>
      <w:r w:rsidR="00666D62" w:rsidRPr="00593418">
        <w:rPr>
          <w:rFonts w:eastAsia="Times New Roman" w:cs="Calibri"/>
          <w:kern w:val="0"/>
          <w:lang w:eastAsia="en-GB"/>
        </w:rPr>
        <w:t xml:space="preserve">razvojnih politika koje </w:t>
      </w:r>
      <w:r>
        <w:rPr>
          <w:rFonts w:eastAsia="Times New Roman" w:cs="Calibri"/>
          <w:kern w:val="0"/>
          <w:lang w:eastAsia="en-GB"/>
        </w:rPr>
        <w:t xml:space="preserve">imaju dodira sa </w:t>
      </w:r>
      <w:r w:rsidR="00666D62" w:rsidRPr="00593418">
        <w:rPr>
          <w:rFonts w:eastAsia="Times New Roman" w:cs="Calibri"/>
          <w:kern w:val="0"/>
          <w:lang w:eastAsia="en-GB"/>
        </w:rPr>
        <w:t>istraživa</w:t>
      </w:r>
      <w:r>
        <w:rPr>
          <w:rFonts w:eastAsia="Times New Roman" w:cs="Calibri"/>
          <w:kern w:val="0"/>
          <w:lang w:eastAsia="en-GB"/>
        </w:rPr>
        <w:t xml:space="preserve">čkom i </w:t>
      </w:r>
      <w:r w:rsidR="00666D62" w:rsidRPr="00593418">
        <w:rPr>
          <w:rFonts w:eastAsia="Times New Roman" w:cs="Calibri"/>
          <w:kern w:val="0"/>
          <w:lang w:eastAsia="en-GB"/>
        </w:rPr>
        <w:t>inova</w:t>
      </w:r>
      <w:r>
        <w:rPr>
          <w:rFonts w:eastAsia="Times New Roman" w:cs="Calibri"/>
          <w:kern w:val="0"/>
          <w:lang w:eastAsia="en-GB"/>
        </w:rPr>
        <w:t xml:space="preserve">tivnom djelatnošću.  Među ovim politikama nalaze se </w:t>
      </w:r>
      <w:r w:rsidR="00666D62" w:rsidRPr="00593418">
        <w:rPr>
          <w:rFonts w:eastAsia="Times New Roman" w:cs="Calibri"/>
          <w:kern w:val="0"/>
          <w:lang w:eastAsia="en-GB"/>
        </w:rPr>
        <w:t>industrijsk</w:t>
      </w:r>
      <w:r>
        <w:rPr>
          <w:rFonts w:eastAsia="Times New Roman" w:cs="Calibri"/>
          <w:kern w:val="0"/>
          <w:lang w:eastAsia="en-GB"/>
        </w:rPr>
        <w:t>a</w:t>
      </w:r>
      <w:r w:rsidR="00666D62" w:rsidRPr="00593418">
        <w:rPr>
          <w:rFonts w:eastAsia="Times New Roman" w:cs="Calibri"/>
          <w:kern w:val="0"/>
          <w:lang w:eastAsia="en-GB"/>
        </w:rPr>
        <w:t xml:space="preserve"> politik</w:t>
      </w:r>
      <w:r>
        <w:rPr>
          <w:rFonts w:eastAsia="Times New Roman" w:cs="Calibri"/>
          <w:kern w:val="0"/>
          <w:lang w:eastAsia="en-GB"/>
        </w:rPr>
        <w:t>a</w:t>
      </w:r>
      <w:r w:rsidR="00666D62" w:rsidRPr="00593418">
        <w:rPr>
          <w:rFonts w:eastAsia="Times New Roman" w:cs="Calibri"/>
          <w:kern w:val="0"/>
          <w:lang w:eastAsia="en-GB"/>
        </w:rPr>
        <w:t xml:space="preserve">, </w:t>
      </w:r>
      <w:r>
        <w:rPr>
          <w:rFonts w:eastAsia="Times New Roman" w:cs="Calibri"/>
          <w:kern w:val="0"/>
          <w:lang w:eastAsia="en-GB"/>
        </w:rPr>
        <w:t xml:space="preserve">politika </w:t>
      </w:r>
      <w:r w:rsidR="00666D62" w:rsidRPr="00593418">
        <w:rPr>
          <w:rFonts w:eastAsia="Times New Roman" w:cs="Calibri"/>
          <w:kern w:val="0"/>
          <w:lang w:eastAsia="en-GB"/>
        </w:rPr>
        <w:t>razvoj</w:t>
      </w:r>
      <w:r>
        <w:rPr>
          <w:rFonts w:eastAsia="Times New Roman" w:cs="Calibri"/>
          <w:kern w:val="0"/>
          <w:lang w:eastAsia="en-GB"/>
        </w:rPr>
        <w:t>a</w:t>
      </w:r>
      <w:r w:rsidR="00666D62" w:rsidRPr="00593418">
        <w:rPr>
          <w:rFonts w:eastAsia="Times New Roman" w:cs="Calibri"/>
          <w:kern w:val="0"/>
          <w:lang w:eastAsia="en-GB"/>
        </w:rPr>
        <w:t xml:space="preserve"> ljudskih resursa, </w:t>
      </w:r>
      <w:r>
        <w:rPr>
          <w:rFonts w:eastAsia="Times New Roman" w:cs="Calibri"/>
          <w:kern w:val="0"/>
          <w:lang w:eastAsia="en-GB"/>
        </w:rPr>
        <w:t xml:space="preserve">politika </w:t>
      </w:r>
      <w:r w:rsidR="00666D62" w:rsidRPr="00593418">
        <w:rPr>
          <w:rFonts w:eastAsia="Times New Roman" w:cs="Calibri"/>
          <w:kern w:val="0"/>
          <w:lang w:eastAsia="en-GB"/>
        </w:rPr>
        <w:t xml:space="preserve">promocije preduzetništva, </w:t>
      </w:r>
      <w:r w:rsidRPr="00593418">
        <w:rPr>
          <w:rFonts w:eastAsia="Times New Roman" w:cs="Calibri"/>
          <w:kern w:val="0"/>
          <w:lang w:eastAsia="en-GB"/>
        </w:rPr>
        <w:t>politik</w:t>
      </w:r>
      <w:r>
        <w:rPr>
          <w:rFonts w:eastAsia="Times New Roman" w:cs="Calibri"/>
          <w:kern w:val="0"/>
          <w:lang w:eastAsia="en-GB"/>
        </w:rPr>
        <w:t>a</w:t>
      </w:r>
      <w:r w:rsidRPr="00593418">
        <w:rPr>
          <w:rFonts w:eastAsia="Times New Roman" w:cs="Calibri"/>
          <w:kern w:val="0"/>
          <w:lang w:eastAsia="en-GB"/>
        </w:rPr>
        <w:t xml:space="preserve"> </w:t>
      </w:r>
      <w:r w:rsidR="00666D62" w:rsidRPr="00593418">
        <w:rPr>
          <w:rFonts w:eastAsia="Times New Roman" w:cs="Calibri"/>
          <w:kern w:val="0"/>
          <w:lang w:eastAsia="en-GB"/>
        </w:rPr>
        <w:t xml:space="preserve">digitalizacije, razvoja poljoprivrede, energetike, turizma, zaštite životne sredine i dr. </w:t>
      </w:r>
    </w:p>
    <w:p w14:paraId="78BF6CC0" w14:textId="12AA8C3F" w:rsidR="00666D62" w:rsidRPr="00593418" w:rsidRDefault="00666D62" w:rsidP="00F17001">
      <w:pPr>
        <w:tabs>
          <w:tab w:val="left" w:pos="0"/>
        </w:tabs>
        <w:spacing w:after="120" w:line="240" w:lineRule="auto"/>
        <w:jc w:val="both"/>
        <w:rPr>
          <w:rFonts w:eastAsia="Times New Roman" w:cs="Calibri"/>
          <w:kern w:val="0"/>
          <w:lang w:eastAsia="en-GB"/>
        </w:rPr>
      </w:pPr>
      <w:r w:rsidRPr="00593418">
        <w:rPr>
          <w:rFonts w:eastAsia="Times New Roman" w:cs="Calibri"/>
          <w:kern w:val="0"/>
          <w:lang w:eastAsia="en-GB"/>
        </w:rPr>
        <w:t>Identifikovanim tematskim prioritetima će se obezbijediti finansijsk</w:t>
      </w:r>
      <w:r w:rsidR="0060145E">
        <w:rPr>
          <w:rFonts w:eastAsia="Times New Roman" w:cs="Calibri"/>
          <w:kern w:val="0"/>
          <w:lang w:eastAsia="en-GB"/>
        </w:rPr>
        <w:t>a</w:t>
      </w:r>
      <w:r w:rsidRPr="00593418">
        <w:rPr>
          <w:rFonts w:eastAsia="Times New Roman" w:cs="Calibri"/>
          <w:kern w:val="0"/>
          <w:lang w:eastAsia="en-GB"/>
        </w:rPr>
        <w:t xml:space="preserve"> podrška kako iz državnog budžeta</w:t>
      </w:r>
      <w:r w:rsidR="006C72D7">
        <w:rPr>
          <w:rFonts w:eastAsia="Times New Roman" w:cs="Calibri"/>
          <w:kern w:val="0"/>
          <w:lang w:eastAsia="en-GB"/>
        </w:rPr>
        <w:t>,</w:t>
      </w:r>
      <w:r w:rsidRPr="00593418">
        <w:rPr>
          <w:rFonts w:eastAsia="Times New Roman" w:cs="Calibri"/>
          <w:kern w:val="0"/>
          <w:lang w:eastAsia="en-GB"/>
        </w:rPr>
        <w:t xml:space="preserve"> tako i iz drugih dostupnih fondova. Ulaganjem u istraživanja i inovacije jačaju se postojeći </w:t>
      </w:r>
      <w:r w:rsidRPr="00593418">
        <w:rPr>
          <w:rFonts w:eastAsia="Times New Roman" w:cs="Calibri"/>
          <w:kern w:val="0"/>
          <w:lang w:eastAsia="en-GB"/>
        </w:rPr>
        <w:lastRenderedPageBreak/>
        <w:t>proizvodni i tehnološki kapaciteti i stvaraju brojne mogućnosti u okviru novih pravaca razvoja u privredi, te podstiče konkurentnost i otvaranje visoko kvalifikovanih radnih mjesta. U tom pogledu, naučnoistraživački sistem i sistem inovacija treba da se unapr</w:t>
      </w:r>
      <w:r w:rsidR="006C72D7">
        <w:rPr>
          <w:rFonts w:eastAsia="Times New Roman" w:cs="Calibri"/>
          <w:kern w:val="0"/>
          <w:lang w:eastAsia="en-GB"/>
        </w:rPr>
        <w:t>ij</w:t>
      </w:r>
      <w:r w:rsidRPr="00593418">
        <w:rPr>
          <w:rFonts w:eastAsia="Times New Roman" w:cs="Calibri"/>
          <w:kern w:val="0"/>
          <w:lang w:eastAsia="en-GB"/>
        </w:rPr>
        <w:t>eđuju na način da doprinose ekonomiji zasnovanoj na znanju.</w:t>
      </w:r>
    </w:p>
    <w:p w14:paraId="5F311B94" w14:textId="33D2FBA5" w:rsidR="00666D62" w:rsidRPr="00593418" w:rsidRDefault="00563CF3" w:rsidP="00F17001">
      <w:pPr>
        <w:tabs>
          <w:tab w:val="left" w:pos="0"/>
        </w:tabs>
        <w:spacing w:after="120" w:line="240" w:lineRule="auto"/>
        <w:jc w:val="both"/>
        <w:rPr>
          <w:rFonts w:eastAsia="Times New Roman" w:cs="Calibri"/>
          <w:kern w:val="0"/>
          <w:lang w:eastAsia="en-GB"/>
        </w:rPr>
      </w:pPr>
      <w:r>
        <w:rPr>
          <w:rFonts w:eastAsia="Times New Roman" w:cs="Calibri"/>
          <w:kern w:val="0"/>
          <w:lang w:eastAsia="en-GB"/>
        </w:rPr>
        <w:t>Strategijom S3 se identifikuju o</w:t>
      </w:r>
      <w:r w:rsidR="00666D62" w:rsidRPr="00593418">
        <w:rPr>
          <w:rFonts w:eastAsia="Times New Roman" w:cs="Calibri"/>
          <w:kern w:val="0"/>
          <w:lang w:eastAsia="en-GB"/>
        </w:rPr>
        <w:t xml:space="preserve">snovni </w:t>
      </w:r>
      <w:r>
        <w:rPr>
          <w:rFonts w:eastAsia="Times New Roman" w:cs="Calibri"/>
          <w:kern w:val="0"/>
          <w:lang w:eastAsia="en-GB"/>
        </w:rPr>
        <w:t xml:space="preserve">zajednički </w:t>
      </w:r>
      <w:r w:rsidR="00666D62" w:rsidRPr="00593418">
        <w:rPr>
          <w:rFonts w:eastAsia="Times New Roman" w:cs="Calibri"/>
          <w:kern w:val="0"/>
          <w:lang w:eastAsia="en-GB"/>
        </w:rPr>
        <w:t>ciljevi razvojnih politika</w:t>
      </w:r>
      <w:r>
        <w:rPr>
          <w:rFonts w:eastAsia="Times New Roman" w:cs="Calibri"/>
          <w:kern w:val="0"/>
          <w:lang w:eastAsia="en-GB"/>
        </w:rPr>
        <w:t>, determinisani interesima vezanim za</w:t>
      </w:r>
      <w:r w:rsidRPr="00563CF3">
        <w:rPr>
          <w:rFonts w:eastAsia="Times New Roman" w:cs="Calibri"/>
          <w:kern w:val="0"/>
          <w:lang w:eastAsia="en-GB"/>
        </w:rPr>
        <w:t xml:space="preserve"> </w:t>
      </w:r>
      <w:r w:rsidRPr="00593418">
        <w:rPr>
          <w:rFonts w:eastAsia="Times New Roman" w:cs="Calibri"/>
          <w:kern w:val="0"/>
          <w:lang w:eastAsia="en-GB"/>
        </w:rPr>
        <w:t>istraživa</w:t>
      </w:r>
      <w:r>
        <w:rPr>
          <w:rFonts w:eastAsia="Times New Roman" w:cs="Calibri"/>
          <w:kern w:val="0"/>
          <w:lang w:eastAsia="en-GB"/>
        </w:rPr>
        <w:t xml:space="preserve">čku i </w:t>
      </w:r>
      <w:r w:rsidRPr="00593418">
        <w:rPr>
          <w:rFonts w:eastAsia="Times New Roman" w:cs="Calibri"/>
          <w:kern w:val="0"/>
          <w:lang w:eastAsia="en-GB"/>
        </w:rPr>
        <w:t>inova</w:t>
      </w:r>
      <w:r>
        <w:rPr>
          <w:rFonts w:eastAsia="Times New Roman" w:cs="Calibri"/>
          <w:kern w:val="0"/>
          <w:lang w:eastAsia="en-GB"/>
        </w:rPr>
        <w:t>tivnu djelatnost, i to</w:t>
      </w:r>
      <w:r w:rsidR="00666D62" w:rsidRPr="00593418">
        <w:rPr>
          <w:rFonts w:eastAsia="Times New Roman" w:cs="Calibri"/>
          <w:kern w:val="0"/>
          <w:lang w:eastAsia="en-GB"/>
        </w:rPr>
        <w:t xml:space="preserve"> su:</w:t>
      </w:r>
    </w:p>
    <w:p w14:paraId="79FBED28" w14:textId="74394E57" w:rsidR="00666D62" w:rsidRPr="00593418" w:rsidRDefault="00666D62" w:rsidP="005B5889">
      <w:pPr>
        <w:pStyle w:val="ListParagraph"/>
        <w:numPr>
          <w:ilvl w:val="0"/>
          <w:numId w:val="21"/>
        </w:numPr>
        <w:tabs>
          <w:tab w:val="left" w:pos="0"/>
        </w:tabs>
        <w:rPr>
          <w:rFonts w:eastAsia="Times New Roman" w:cs="Calibri"/>
          <w:lang w:val="sr-Latn-ME" w:eastAsia="en-GB"/>
        </w:rPr>
      </w:pPr>
      <w:r w:rsidRPr="00593418">
        <w:rPr>
          <w:rFonts w:eastAsia="Times New Roman" w:cs="Calibri"/>
          <w:lang w:val="sr-Latn-ME" w:eastAsia="en-GB"/>
        </w:rPr>
        <w:t>Jačanje saradnje akademskog i privrednog sektora</w:t>
      </w:r>
      <w:r w:rsidR="006C72D7">
        <w:rPr>
          <w:rFonts w:eastAsia="Times New Roman" w:cs="Calibri"/>
          <w:lang w:val="sr-Latn-ME" w:eastAsia="en-GB"/>
        </w:rPr>
        <w:t>;</w:t>
      </w:r>
    </w:p>
    <w:p w14:paraId="50C6030D" w14:textId="35C2F9D7" w:rsidR="00666D62" w:rsidRPr="00593418" w:rsidRDefault="00666D62" w:rsidP="005B5889">
      <w:pPr>
        <w:pStyle w:val="ListParagraph"/>
        <w:numPr>
          <w:ilvl w:val="0"/>
          <w:numId w:val="21"/>
        </w:numPr>
        <w:tabs>
          <w:tab w:val="left" w:pos="0"/>
        </w:tabs>
        <w:rPr>
          <w:rFonts w:eastAsia="Times New Roman" w:cs="Calibri"/>
          <w:lang w:val="sr-Latn-ME" w:eastAsia="en-GB"/>
        </w:rPr>
      </w:pPr>
      <w:r w:rsidRPr="00593418">
        <w:rPr>
          <w:rFonts w:eastAsia="Times New Roman" w:cs="Calibri"/>
          <w:lang w:val="sr-Latn-ME" w:eastAsia="en-GB"/>
        </w:rPr>
        <w:t>Un</w:t>
      </w:r>
      <w:r w:rsidR="0060145E">
        <w:rPr>
          <w:rFonts w:eastAsia="Times New Roman" w:cs="Calibri"/>
          <w:lang w:val="sr-Latn-ME" w:eastAsia="en-GB"/>
        </w:rPr>
        <w:t>apr</w:t>
      </w:r>
      <w:r w:rsidRPr="00593418">
        <w:rPr>
          <w:rFonts w:eastAsia="Times New Roman" w:cs="Calibri"/>
          <w:lang w:val="sr-Latn-ME" w:eastAsia="en-GB"/>
        </w:rPr>
        <w:t>eđenje pristupa međunarodnim centrima znanja</w:t>
      </w:r>
      <w:r w:rsidR="006C72D7">
        <w:rPr>
          <w:rFonts w:eastAsia="Times New Roman" w:cs="Calibri"/>
          <w:lang w:val="sr-Latn-ME" w:eastAsia="en-GB"/>
        </w:rPr>
        <w:t>;</w:t>
      </w:r>
    </w:p>
    <w:p w14:paraId="576FFCBD" w14:textId="37336A67" w:rsidR="00666D62" w:rsidRPr="00593418" w:rsidRDefault="00666D62" w:rsidP="005B5889">
      <w:pPr>
        <w:pStyle w:val="ListParagraph"/>
        <w:numPr>
          <w:ilvl w:val="0"/>
          <w:numId w:val="21"/>
        </w:numPr>
        <w:tabs>
          <w:tab w:val="left" w:pos="0"/>
        </w:tabs>
        <w:rPr>
          <w:rFonts w:eastAsia="Times New Roman" w:cs="Calibri"/>
          <w:lang w:val="sr-Latn-ME" w:eastAsia="en-GB"/>
        </w:rPr>
      </w:pPr>
      <w:r w:rsidRPr="00593418">
        <w:rPr>
          <w:rFonts w:eastAsia="Times New Roman" w:cs="Calibri"/>
          <w:lang w:val="sr-Latn-ME" w:eastAsia="en-GB"/>
        </w:rPr>
        <w:t>Jačanje ljudskih resursa u oblasti istraživanja i inovacija</w:t>
      </w:r>
      <w:r w:rsidR="006C72D7">
        <w:rPr>
          <w:rFonts w:eastAsia="Times New Roman" w:cs="Calibri"/>
          <w:lang w:val="sr-Latn-ME" w:eastAsia="en-GB"/>
        </w:rPr>
        <w:t>;</w:t>
      </w:r>
    </w:p>
    <w:p w14:paraId="7E3FB187" w14:textId="1B1CC94A" w:rsidR="00666D62" w:rsidRPr="00593418" w:rsidRDefault="00666D62" w:rsidP="005B5889">
      <w:pPr>
        <w:pStyle w:val="ListParagraph"/>
        <w:numPr>
          <w:ilvl w:val="0"/>
          <w:numId w:val="21"/>
        </w:numPr>
        <w:tabs>
          <w:tab w:val="left" w:pos="0"/>
        </w:tabs>
        <w:rPr>
          <w:rFonts w:eastAsia="Times New Roman" w:cs="Calibri"/>
          <w:lang w:val="sr-Latn-ME" w:eastAsia="en-GB"/>
        </w:rPr>
      </w:pPr>
      <w:r w:rsidRPr="00593418">
        <w:rPr>
          <w:rFonts w:eastAsia="Times New Roman" w:cs="Calibri"/>
          <w:lang w:val="sr-Latn-ME" w:eastAsia="en-GB"/>
        </w:rPr>
        <w:t>Jačanje javnog istraživačkog sistema</w:t>
      </w:r>
      <w:r w:rsidR="006C72D7">
        <w:rPr>
          <w:rFonts w:eastAsia="Times New Roman" w:cs="Calibri"/>
          <w:lang w:val="sr-Latn-ME" w:eastAsia="en-GB"/>
        </w:rPr>
        <w:t>;</w:t>
      </w:r>
    </w:p>
    <w:p w14:paraId="18FE719F" w14:textId="1200DA4E" w:rsidR="00666D62" w:rsidRDefault="00666D62" w:rsidP="00605FAE">
      <w:pPr>
        <w:pStyle w:val="ListParagraph"/>
        <w:numPr>
          <w:ilvl w:val="0"/>
          <w:numId w:val="21"/>
        </w:numPr>
        <w:tabs>
          <w:tab w:val="left" w:pos="0"/>
        </w:tabs>
        <w:rPr>
          <w:rFonts w:eastAsia="Times New Roman" w:cs="Calibri"/>
          <w:lang w:val="sr-Latn-ME" w:eastAsia="en-GB"/>
        </w:rPr>
      </w:pPr>
      <w:r w:rsidRPr="00593418">
        <w:rPr>
          <w:rFonts w:eastAsia="Times New Roman" w:cs="Calibri"/>
          <w:lang w:val="sr-Latn-ME" w:eastAsia="en-GB"/>
        </w:rPr>
        <w:t>Podrška inovativnim aktivnostima u privatnom sektoru</w:t>
      </w:r>
      <w:r w:rsidR="006C72D7">
        <w:rPr>
          <w:rFonts w:eastAsia="Times New Roman" w:cs="Calibri"/>
          <w:lang w:val="sr-Latn-ME" w:eastAsia="en-GB"/>
        </w:rPr>
        <w:t>.</w:t>
      </w:r>
    </w:p>
    <w:p w14:paraId="45C3B01D" w14:textId="77777777" w:rsidR="00DC5740" w:rsidRPr="00DC5740" w:rsidRDefault="00DC5740" w:rsidP="00DC5740">
      <w:pPr>
        <w:pStyle w:val="ListParagraph"/>
        <w:tabs>
          <w:tab w:val="left" w:pos="0"/>
        </w:tabs>
        <w:rPr>
          <w:rFonts w:eastAsia="Times New Roman" w:cs="Calibri"/>
          <w:lang w:val="sr-Latn-ME" w:eastAsia="en-GB"/>
        </w:rPr>
      </w:pPr>
    </w:p>
    <w:p w14:paraId="2B707BA5" w14:textId="6607C13A" w:rsidR="00666D62" w:rsidRPr="00DC5740" w:rsidRDefault="00F203C3" w:rsidP="00DC5740">
      <w:pPr>
        <w:rPr>
          <w:b/>
        </w:rPr>
      </w:pPr>
      <w:bookmarkStart w:id="48" w:name="_Toc526754825"/>
      <w:r>
        <w:rPr>
          <w:b/>
        </w:rPr>
        <w:t>VII</w:t>
      </w:r>
      <w:r w:rsidR="0060145E" w:rsidRPr="00610E83">
        <w:rPr>
          <w:b/>
        </w:rPr>
        <w:t xml:space="preserve"> </w:t>
      </w:r>
      <w:r w:rsidR="00666D62" w:rsidRPr="00610E83">
        <w:rPr>
          <w:b/>
        </w:rPr>
        <w:t>1.</w:t>
      </w:r>
      <w:r w:rsidR="00666D62" w:rsidRPr="00593418">
        <w:rPr>
          <w:b/>
        </w:rPr>
        <w:t xml:space="preserve"> Jačanje saradnje akademskog i privrednog sektora</w:t>
      </w:r>
      <w:bookmarkEnd w:id="48"/>
    </w:p>
    <w:p w14:paraId="15442F4D" w14:textId="4D1087F2" w:rsidR="00666D62" w:rsidRDefault="00666D62" w:rsidP="00666D62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  <w:r w:rsidRPr="00593418">
        <w:rPr>
          <w:rFonts w:eastAsia="Times New Roman" w:cs="Calibri"/>
          <w:kern w:val="0"/>
          <w:lang w:eastAsia="en-GB"/>
        </w:rPr>
        <w:t xml:space="preserve">Javni i privredni sektor treba više da se angažuju na kreiranju ambijenta pogodnog za razvoj istraživanja i inovacija </w:t>
      </w:r>
      <w:r w:rsidR="00563CF3" w:rsidRPr="00593418">
        <w:rPr>
          <w:rFonts w:eastAsia="Times New Roman" w:cs="Calibri"/>
          <w:kern w:val="0"/>
          <w:lang w:eastAsia="en-GB"/>
        </w:rPr>
        <w:t>ko</w:t>
      </w:r>
      <w:r w:rsidR="00563CF3" w:rsidRPr="0060145E">
        <w:rPr>
          <w:rFonts w:eastAsia="Times New Roman" w:cs="Calibri"/>
          <w:kern w:val="0"/>
          <w:lang w:eastAsia="en-GB"/>
        </w:rPr>
        <w:t>j</w:t>
      </w:r>
      <w:r w:rsidR="00563CF3">
        <w:rPr>
          <w:rFonts w:eastAsia="Times New Roman" w:cs="Calibri"/>
          <w:kern w:val="0"/>
          <w:lang w:eastAsia="en-GB"/>
        </w:rPr>
        <w:t>e</w:t>
      </w:r>
      <w:r w:rsidR="00563CF3" w:rsidRPr="00593418">
        <w:rPr>
          <w:rFonts w:eastAsia="Times New Roman" w:cs="Calibri"/>
          <w:kern w:val="0"/>
          <w:lang w:eastAsia="en-GB"/>
        </w:rPr>
        <w:t xml:space="preserve"> </w:t>
      </w:r>
      <w:r w:rsidRPr="00593418">
        <w:rPr>
          <w:rFonts w:eastAsia="Times New Roman" w:cs="Calibri"/>
          <w:kern w:val="0"/>
          <w:lang w:eastAsia="en-GB"/>
        </w:rPr>
        <w:t>korespondiraju njihovim potrebama</w:t>
      </w:r>
      <w:r w:rsidR="00563CF3">
        <w:rPr>
          <w:rFonts w:eastAsia="Times New Roman" w:cs="Calibri"/>
          <w:kern w:val="0"/>
          <w:lang w:eastAsia="en-GB"/>
        </w:rPr>
        <w:t>. Ovo je moguće posti</w:t>
      </w:r>
      <w:r w:rsidR="00C46629">
        <w:rPr>
          <w:rFonts w:eastAsia="Times New Roman" w:cs="Calibri"/>
          <w:kern w:val="0"/>
          <w:lang w:eastAsia="en-GB"/>
        </w:rPr>
        <w:t>ć</w:t>
      </w:r>
      <w:r w:rsidR="00563CF3">
        <w:rPr>
          <w:rFonts w:eastAsia="Times New Roman" w:cs="Calibri"/>
          <w:kern w:val="0"/>
          <w:lang w:eastAsia="en-GB"/>
        </w:rPr>
        <w:t xml:space="preserve">i </w:t>
      </w:r>
      <w:r w:rsidRPr="00593418">
        <w:rPr>
          <w:rFonts w:eastAsia="Times New Roman" w:cs="Calibri"/>
          <w:kern w:val="0"/>
          <w:lang w:eastAsia="en-GB"/>
        </w:rPr>
        <w:t>pruža</w:t>
      </w:r>
      <w:r w:rsidR="00563CF3">
        <w:rPr>
          <w:rFonts w:eastAsia="Times New Roman" w:cs="Calibri"/>
          <w:kern w:val="0"/>
          <w:lang w:eastAsia="en-GB"/>
        </w:rPr>
        <w:t xml:space="preserve">njem </w:t>
      </w:r>
      <w:r w:rsidR="00563CF3" w:rsidRPr="00593418">
        <w:rPr>
          <w:rFonts w:eastAsia="Times New Roman" w:cs="Calibri"/>
          <w:kern w:val="0"/>
          <w:lang w:eastAsia="en-GB"/>
        </w:rPr>
        <w:t>neophodn</w:t>
      </w:r>
      <w:r w:rsidR="00563CF3">
        <w:rPr>
          <w:rFonts w:eastAsia="Times New Roman" w:cs="Calibri"/>
          <w:kern w:val="0"/>
          <w:lang w:eastAsia="en-GB"/>
        </w:rPr>
        <w:t>e</w:t>
      </w:r>
      <w:r w:rsidR="00563CF3" w:rsidRPr="00593418">
        <w:rPr>
          <w:rFonts w:eastAsia="Times New Roman" w:cs="Calibri"/>
          <w:kern w:val="0"/>
          <w:lang w:eastAsia="en-GB"/>
        </w:rPr>
        <w:t xml:space="preserve"> podršk</w:t>
      </w:r>
      <w:r w:rsidR="00563CF3">
        <w:rPr>
          <w:rFonts w:eastAsia="Times New Roman" w:cs="Calibri"/>
          <w:kern w:val="0"/>
          <w:lang w:eastAsia="en-GB"/>
        </w:rPr>
        <w:t>e</w:t>
      </w:r>
      <w:r w:rsidR="00563CF3" w:rsidRPr="00563CF3">
        <w:rPr>
          <w:rFonts w:eastAsia="Times New Roman" w:cs="Calibri"/>
          <w:kern w:val="0"/>
          <w:lang w:eastAsia="en-GB"/>
        </w:rPr>
        <w:t xml:space="preserve"> </w:t>
      </w:r>
      <w:r w:rsidR="00563CF3" w:rsidRPr="00593418">
        <w:rPr>
          <w:rFonts w:eastAsia="Times New Roman" w:cs="Calibri"/>
          <w:kern w:val="0"/>
          <w:lang w:eastAsia="en-GB"/>
        </w:rPr>
        <w:t>istraživa</w:t>
      </w:r>
      <w:r w:rsidR="00563CF3">
        <w:rPr>
          <w:rFonts w:eastAsia="Times New Roman" w:cs="Calibri"/>
          <w:kern w:val="0"/>
          <w:lang w:eastAsia="en-GB"/>
        </w:rPr>
        <w:t>čko-</w:t>
      </w:r>
      <w:r w:rsidR="00563CF3" w:rsidRPr="00593418">
        <w:rPr>
          <w:rFonts w:eastAsia="Times New Roman" w:cs="Calibri"/>
          <w:kern w:val="0"/>
          <w:lang w:eastAsia="en-GB"/>
        </w:rPr>
        <w:t>inova</w:t>
      </w:r>
      <w:r w:rsidR="00563CF3">
        <w:rPr>
          <w:rFonts w:eastAsia="Times New Roman" w:cs="Calibri"/>
          <w:kern w:val="0"/>
          <w:lang w:eastAsia="en-GB"/>
        </w:rPr>
        <w:t>tivnoj djelatnosti i njenom</w:t>
      </w:r>
      <w:r w:rsidRPr="00593418">
        <w:rPr>
          <w:rFonts w:eastAsia="Times New Roman" w:cs="Calibri"/>
          <w:kern w:val="0"/>
          <w:lang w:eastAsia="en-GB"/>
        </w:rPr>
        <w:t xml:space="preserve"> </w:t>
      </w:r>
      <w:r w:rsidR="00563CF3" w:rsidRPr="00593418">
        <w:rPr>
          <w:rFonts w:eastAsia="Times New Roman" w:cs="Calibri"/>
          <w:kern w:val="0"/>
          <w:lang w:eastAsia="en-GB"/>
        </w:rPr>
        <w:t>integr</w:t>
      </w:r>
      <w:r w:rsidR="00563CF3">
        <w:rPr>
          <w:rFonts w:eastAsia="Times New Roman" w:cs="Calibri"/>
          <w:kern w:val="0"/>
          <w:lang w:eastAsia="en-GB"/>
        </w:rPr>
        <w:t>aci</w:t>
      </w:r>
      <w:r w:rsidR="004B5B06">
        <w:rPr>
          <w:rFonts w:eastAsia="Times New Roman" w:cs="Calibri"/>
          <w:kern w:val="0"/>
          <w:lang w:eastAsia="en-GB"/>
        </w:rPr>
        <w:t>j</w:t>
      </w:r>
      <w:r w:rsidR="00563CF3">
        <w:rPr>
          <w:rFonts w:eastAsia="Times New Roman" w:cs="Calibri"/>
          <w:kern w:val="0"/>
          <w:lang w:eastAsia="en-GB"/>
        </w:rPr>
        <w:t xml:space="preserve">om </w:t>
      </w:r>
      <w:r w:rsidRPr="00593418">
        <w:rPr>
          <w:rFonts w:eastAsia="Times New Roman" w:cs="Calibri"/>
          <w:kern w:val="0"/>
          <w:lang w:eastAsia="en-GB"/>
        </w:rPr>
        <w:t xml:space="preserve">u redovno </w:t>
      </w:r>
      <w:r w:rsidR="00C46629">
        <w:rPr>
          <w:rFonts w:eastAsia="Times New Roman" w:cs="Calibri"/>
          <w:kern w:val="0"/>
          <w:lang w:eastAsia="en-GB"/>
        </w:rPr>
        <w:t>poslovanje</w:t>
      </w:r>
      <w:r w:rsidRPr="00593418">
        <w:rPr>
          <w:rFonts w:eastAsia="Times New Roman" w:cs="Calibri"/>
          <w:kern w:val="0"/>
          <w:lang w:eastAsia="en-GB"/>
        </w:rPr>
        <w:t xml:space="preserve">. Kreiranje efikasnog inovativnog ekosistema će </w:t>
      </w:r>
      <w:r w:rsidR="00C46629">
        <w:rPr>
          <w:rFonts w:eastAsia="Times New Roman" w:cs="Calibri"/>
          <w:kern w:val="0"/>
          <w:lang w:eastAsia="en-GB"/>
        </w:rPr>
        <w:t>se realizovati unapređenjem nacionalne</w:t>
      </w:r>
      <w:r w:rsidRPr="00593418">
        <w:rPr>
          <w:rFonts w:eastAsia="Times New Roman" w:cs="Calibri"/>
          <w:kern w:val="0"/>
          <w:lang w:eastAsia="en-GB"/>
        </w:rPr>
        <w:t xml:space="preserve"> istraživačke i inovacione infrastrukture </w:t>
      </w:r>
      <w:r w:rsidR="00C46629">
        <w:rPr>
          <w:rFonts w:eastAsia="Times New Roman" w:cs="Calibri"/>
          <w:kern w:val="0"/>
          <w:lang w:eastAsia="en-GB"/>
        </w:rPr>
        <w:t xml:space="preserve">putem uspostavljanja </w:t>
      </w:r>
      <w:r w:rsidRPr="00923467">
        <w:rPr>
          <w:rFonts w:eastAsia="Times New Roman" w:cs="Calibri"/>
          <w:i/>
          <w:kern w:val="0"/>
          <w:lang w:eastAsia="en-GB"/>
        </w:rPr>
        <w:t>Naučno-tehnološk</w:t>
      </w:r>
      <w:r w:rsidR="00C46629" w:rsidRPr="00923467">
        <w:rPr>
          <w:rFonts w:eastAsia="Times New Roman" w:cs="Calibri"/>
          <w:i/>
          <w:kern w:val="0"/>
          <w:lang w:eastAsia="en-GB"/>
        </w:rPr>
        <w:t>og</w:t>
      </w:r>
      <w:r w:rsidRPr="00923467">
        <w:rPr>
          <w:rFonts w:eastAsia="Times New Roman" w:cs="Calibri"/>
          <w:i/>
          <w:kern w:val="0"/>
          <w:lang w:eastAsia="en-GB"/>
        </w:rPr>
        <w:t xml:space="preserve"> park</w:t>
      </w:r>
      <w:r w:rsidR="00C46629" w:rsidRPr="00923467">
        <w:rPr>
          <w:rFonts w:eastAsia="Times New Roman" w:cs="Calibri"/>
          <w:i/>
          <w:kern w:val="0"/>
          <w:lang w:eastAsia="en-GB"/>
        </w:rPr>
        <w:t>a</w:t>
      </w:r>
      <w:r w:rsidRPr="00593418">
        <w:rPr>
          <w:rFonts w:eastAsia="Times New Roman" w:cs="Calibri"/>
          <w:kern w:val="0"/>
          <w:lang w:eastAsia="en-GB"/>
        </w:rPr>
        <w:t xml:space="preserve"> i </w:t>
      </w:r>
      <w:r w:rsidR="00C46629">
        <w:rPr>
          <w:rFonts w:eastAsia="Times New Roman" w:cs="Calibri"/>
          <w:kern w:val="0"/>
          <w:lang w:eastAsia="en-GB"/>
        </w:rPr>
        <w:t xml:space="preserve">razvoja </w:t>
      </w:r>
      <w:r w:rsidRPr="00923467">
        <w:rPr>
          <w:rFonts w:eastAsia="Times New Roman" w:cs="Calibri"/>
          <w:i/>
          <w:kern w:val="0"/>
          <w:lang w:eastAsia="en-GB"/>
        </w:rPr>
        <w:t>cent</w:t>
      </w:r>
      <w:r w:rsidR="00C46629" w:rsidRPr="00923467">
        <w:rPr>
          <w:rFonts w:eastAsia="Times New Roman" w:cs="Calibri"/>
          <w:i/>
          <w:kern w:val="0"/>
          <w:lang w:eastAsia="en-GB"/>
        </w:rPr>
        <w:t>ara</w:t>
      </w:r>
      <w:r w:rsidRPr="00923467">
        <w:rPr>
          <w:rFonts w:eastAsia="Times New Roman" w:cs="Calibri"/>
          <w:i/>
          <w:kern w:val="0"/>
          <w:lang w:eastAsia="en-GB"/>
        </w:rPr>
        <w:t xml:space="preserve"> izvrsnosti</w:t>
      </w:r>
      <w:r w:rsidR="006C72D7">
        <w:rPr>
          <w:rFonts w:eastAsia="Times New Roman" w:cs="Calibri"/>
          <w:kern w:val="0"/>
          <w:lang w:eastAsia="en-GB"/>
        </w:rPr>
        <w:t>,</w:t>
      </w:r>
      <w:r w:rsidRPr="00593418">
        <w:rPr>
          <w:rFonts w:eastAsia="Times New Roman" w:cs="Calibri"/>
          <w:kern w:val="0"/>
          <w:lang w:eastAsia="en-GB"/>
        </w:rPr>
        <w:t xml:space="preserve"> koji će </w:t>
      </w:r>
      <w:r w:rsidRPr="00593418">
        <w:t>omogućiti stimulisanje inovacija i razvoj novih tehnologija</w:t>
      </w:r>
      <w:r w:rsidRPr="00593418">
        <w:rPr>
          <w:rFonts w:eastAsia="Times New Roman" w:cs="Calibri"/>
          <w:kern w:val="0"/>
          <w:lang w:eastAsia="en-GB"/>
        </w:rPr>
        <w:t>.</w:t>
      </w:r>
    </w:p>
    <w:p w14:paraId="067951D0" w14:textId="77777777" w:rsidR="00C46629" w:rsidRPr="00593418" w:rsidRDefault="00C46629" w:rsidP="00666D62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</w:p>
    <w:p w14:paraId="73D765F3" w14:textId="281C3F80" w:rsidR="00666D62" w:rsidRDefault="00C46629" w:rsidP="00666D62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  <w:r>
        <w:rPr>
          <w:rFonts w:eastAsia="Times New Roman" w:cs="Calibri"/>
          <w:kern w:val="0"/>
          <w:lang w:eastAsia="en-GB"/>
        </w:rPr>
        <w:t>R</w:t>
      </w:r>
      <w:r w:rsidR="00666D62" w:rsidRPr="00593418">
        <w:rPr>
          <w:rFonts w:eastAsia="Times New Roman" w:cs="Calibri"/>
          <w:kern w:val="0"/>
          <w:lang w:eastAsia="en-GB"/>
        </w:rPr>
        <w:t>azmjene znanja između akademskog i privrednog sektora i korišćenje inovativnih rješenja</w:t>
      </w:r>
      <w:r w:rsidR="006C72D7">
        <w:rPr>
          <w:rFonts w:eastAsia="Times New Roman" w:cs="Calibri"/>
          <w:kern w:val="0"/>
          <w:lang w:eastAsia="en-GB"/>
        </w:rPr>
        <w:t>,</w:t>
      </w:r>
      <w:r w:rsidR="00666D62" w:rsidRPr="00593418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eastAsia="en-GB"/>
        </w:rPr>
        <w:t>podstać</w:t>
      </w:r>
      <w:r w:rsidR="004B5B06">
        <w:rPr>
          <w:rFonts w:eastAsia="Times New Roman" w:cs="Calibri"/>
          <w:kern w:val="0"/>
          <w:lang w:eastAsia="en-GB"/>
        </w:rPr>
        <w:t>i ce</w:t>
      </w:r>
      <w:r>
        <w:rPr>
          <w:rFonts w:eastAsia="Times New Roman" w:cs="Calibri"/>
          <w:kern w:val="0"/>
          <w:lang w:eastAsia="en-GB"/>
        </w:rPr>
        <w:t xml:space="preserve"> se </w:t>
      </w:r>
      <w:r w:rsidR="00666D62" w:rsidRPr="00593418">
        <w:rPr>
          <w:rFonts w:eastAsia="Times New Roman" w:cs="Calibri"/>
          <w:kern w:val="0"/>
          <w:lang w:eastAsia="en-GB"/>
        </w:rPr>
        <w:t>osnivanj</w:t>
      </w:r>
      <w:r>
        <w:rPr>
          <w:rFonts w:eastAsia="Times New Roman" w:cs="Calibri"/>
          <w:kern w:val="0"/>
          <w:lang w:eastAsia="en-GB"/>
        </w:rPr>
        <w:t>em</w:t>
      </w:r>
      <w:r w:rsidR="00666D62" w:rsidRPr="00593418">
        <w:rPr>
          <w:rFonts w:eastAsia="Times New Roman" w:cs="Calibri"/>
          <w:kern w:val="0"/>
          <w:lang w:eastAsia="en-GB"/>
        </w:rPr>
        <w:t xml:space="preserve"> </w:t>
      </w:r>
      <w:r w:rsidR="00666D62" w:rsidRPr="00923467">
        <w:rPr>
          <w:rFonts w:eastAsia="Times New Roman" w:cs="Calibri"/>
          <w:i/>
          <w:kern w:val="0"/>
          <w:lang w:eastAsia="en-GB"/>
        </w:rPr>
        <w:t>Centra za transfer tehnologija</w:t>
      </w:r>
      <w:r w:rsidR="00666D62" w:rsidRPr="00593418">
        <w:rPr>
          <w:rFonts w:eastAsia="Times New Roman" w:cs="Calibri"/>
          <w:kern w:val="0"/>
          <w:lang w:eastAsia="en-GB"/>
        </w:rPr>
        <w:t xml:space="preserve"> i prateće platforme</w:t>
      </w:r>
      <w:r w:rsidR="006C72D7">
        <w:rPr>
          <w:rFonts w:eastAsia="Times New Roman" w:cs="Calibri"/>
          <w:kern w:val="0"/>
          <w:lang w:eastAsia="en-GB"/>
        </w:rPr>
        <w:t>,</w:t>
      </w:r>
      <w:r w:rsidR="00666D62" w:rsidRPr="00593418">
        <w:rPr>
          <w:rFonts w:eastAsia="Times New Roman" w:cs="Calibri"/>
          <w:kern w:val="0"/>
          <w:lang w:eastAsia="en-GB"/>
        </w:rPr>
        <w:t xml:space="preserve"> </w:t>
      </w:r>
      <w:r w:rsidR="0060145E">
        <w:rPr>
          <w:rFonts w:eastAsia="Times New Roman" w:cs="Calibri"/>
          <w:kern w:val="0"/>
          <w:lang w:eastAsia="en-GB"/>
        </w:rPr>
        <w:t>radi</w:t>
      </w:r>
      <w:r w:rsidR="00666D62" w:rsidRPr="00593418">
        <w:rPr>
          <w:rFonts w:eastAsia="Times New Roman" w:cs="Calibri"/>
          <w:kern w:val="0"/>
          <w:lang w:eastAsia="en-GB"/>
        </w:rPr>
        <w:t xml:space="preserve"> </w:t>
      </w:r>
      <w:r w:rsidR="00666D62" w:rsidRPr="00593418">
        <w:t>podrške tehnološki orijentisanim preduzećima</w:t>
      </w:r>
      <w:r w:rsidR="00666D62" w:rsidRPr="00593418">
        <w:rPr>
          <w:rFonts w:eastAsia="Times New Roman" w:cs="Calibri"/>
          <w:kern w:val="0"/>
          <w:lang w:eastAsia="en-GB"/>
        </w:rPr>
        <w:t xml:space="preserve"> za primjenu postojećih </w:t>
      </w:r>
      <w:r>
        <w:rPr>
          <w:rFonts w:eastAsia="Times New Roman" w:cs="Calibri"/>
          <w:kern w:val="0"/>
          <w:lang w:eastAsia="en-GB"/>
        </w:rPr>
        <w:t xml:space="preserve">savremenih tehnologija, kao </w:t>
      </w:r>
      <w:r w:rsidR="00666D62" w:rsidRPr="00593418">
        <w:rPr>
          <w:rFonts w:eastAsia="Times New Roman" w:cs="Calibri"/>
          <w:kern w:val="0"/>
          <w:lang w:eastAsia="en-GB"/>
        </w:rPr>
        <w:t xml:space="preserve">i </w:t>
      </w:r>
      <w:r>
        <w:rPr>
          <w:rFonts w:eastAsia="Times New Roman" w:cs="Calibri"/>
          <w:kern w:val="0"/>
          <w:lang w:eastAsia="en-GB"/>
        </w:rPr>
        <w:t xml:space="preserve">za </w:t>
      </w:r>
      <w:r w:rsidR="00666D62" w:rsidRPr="00593418">
        <w:rPr>
          <w:rFonts w:eastAsia="Times New Roman" w:cs="Calibri"/>
          <w:kern w:val="0"/>
          <w:lang w:eastAsia="en-GB"/>
        </w:rPr>
        <w:t>razvoj novih tehnologija i njihovu komercijalizaciju.</w:t>
      </w:r>
    </w:p>
    <w:p w14:paraId="534FA69C" w14:textId="77777777" w:rsidR="00C46629" w:rsidRPr="00593418" w:rsidRDefault="00C46629" w:rsidP="00666D62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</w:p>
    <w:p w14:paraId="296F1856" w14:textId="74EDF434" w:rsidR="00666D62" w:rsidRPr="00593418" w:rsidRDefault="00111E38" w:rsidP="00666D62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  <w:r>
        <w:rPr>
          <w:rFonts w:eastAsia="Times New Roman" w:cs="Calibri"/>
          <w:kern w:val="0"/>
          <w:lang w:eastAsia="en-GB"/>
        </w:rPr>
        <w:t xml:space="preserve">Kada je u pitanju podrška stvaranju </w:t>
      </w:r>
      <w:r w:rsidR="00666D62" w:rsidRPr="00593418">
        <w:rPr>
          <w:rFonts w:eastAsia="Times New Roman" w:cs="Calibri"/>
          <w:kern w:val="0"/>
          <w:lang w:eastAsia="en-GB"/>
        </w:rPr>
        <w:t>konkretn</w:t>
      </w:r>
      <w:r>
        <w:rPr>
          <w:rFonts w:eastAsia="Times New Roman" w:cs="Calibri"/>
          <w:kern w:val="0"/>
          <w:lang w:eastAsia="en-GB"/>
        </w:rPr>
        <w:t>ih</w:t>
      </w:r>
      <w:r w:rsidR="00666D62" w:rsidRPr="00593418">
        <w:rPr>
          <w:rFonts w:eastAsia="Times New Roman" w:cs="Calibri"/>
          <w:kern w:val="0"/>
          <w:lang w:eastAsia="en-GB"/>
        </w:rPr>
        <w:t xml:space="preserve"> inovacija</w:t>
      </w:r>
      <w:r w:rsidR="006C72D7">
        <w:rPr>
          <w:rFonts w:eastAsia="Times New Roman" w:cs="Calibri"/>
          <w:kern w:val="0"/>
          <w:lang w:eastAsia="en-GB"/>
        </w:rPr>
        <w:t>,</w:t>
      </w:r>
      <w:r w:rsidR="00666D62" w:rsidRPr="00593418">
        <w:rPr>
          <w:rFonts w:eastAsia="Times New Roman" w:cs="Calibri"/>
          <w:kern w:val="0"/>
          <w:lang w:eastAsia="en-GB"/>
        </w:rPr>
        <w:t xml:space="preserve"> kroz saradnju akademskog i privrednog </w:t>
      </w:r>
      <w:r w:rsidR="0060145E">
        <w:rPr>
          <w:rFonts w:eastAsia="Times New Roman" w:cs="Calibri"/>
          <w:kern w:val="0"/>
          <w:lang w:eastAsia="en-GB"/>
        </w:rPr>
        <w:t xml:space="preserve">sektora, </w:t>
      </w:r>
      <w:r w:rsidR="00666D62" w:rsidRPr="00593418">
        <w:rPr>
          <w:rFonts w:eastAsia="Times New Roman" w:cs="Calibri"/>
          <w:kern w:val="0"/>
          <w:lang w:eastAsia="en-GB"/>
        </w:rPr>
        <w:t>najveću pažnju potrebno je usmjeriti na implementaciju</w:t>
      </w:r>
      <w:r>
        <w:rPr>
          <w:rFonts w:eastAsia="Times New Roman" w:cs="Calibri"/>
          <w:kern w:val="0"/>
          <w:lang w:eastAsia="en-GB"/>
        </w:rPr>
        <w:t xml:space="preserve">: a) </w:t>
      </w:r>
      <w:r w:rsidR="00666D62" w:rsidRPr="00593418">
        <w:rPr>
          <w:rFonts w:eastAsia="Times New Roman" w:cs="Calibri"/>
          <w:kern w:val="0"/>
          <w:lang w:eastAsia="en-GB"/>
        </w:rPr>
        <w:t>grantova za podršku razvoju inovativnosti u preduzećima</w:t>
      </w:r>
      <w:r>
        <w:rPr>
          <w:rFonts w:eastAsia="Times New Roman" w:cs="Calibri"/>
          <w:kern w:val="0"/>
          <w:lang w:eastAsia="en-GB"/>
        </w:rPr>
        <w:t>, i b)</w:t>
      </w:r>
      <w:r w:rsidR="006C72D7">
        <w:rPr>
          <w:rFonts w:eastAsia="Times New Roman" w:cs="Calibri"/>
          <w:kern w:val="0"/>
          <w:lang w:eastAsia="en-GB"/>
        </w:rPr>
        <w:t xml:space="preserve"> </w:t>
      </w:r>
      <w:r w:rsidR="00666D62" w:rsidRPr="00593418">
        <w:rPr>
          <w:rFonts w:eastAsia="Times New Roman" w:cs="Calibri"/>
          <w:kern w:val="0"/>
          <w:lang w:eastAsia="en-GB"/>
        </w:rPr>
        <w:t xml:space="preserve">krupnih kolaborativnih grantova za inovativne projekte za kreiranje novih proizvoda, usluga i tehnologija. </w:t>
      </w:r>
    </w:p>
    <w:p w14:paraId="64380CAF" w14:textId="145543AE" w:rsidR="00DC5740" w:rsidRDefault="0060145E" w:rsidP="00DC5740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  <w:r>
        <w:rPr>
          <w:rFonts w:eastAsia="Times New Roman" w:cs="Calibri"/>
          <w:kern w:val="0"/>
          <w:lang w:eastAsia="en-GB"/>
        </w:rPr>
        <w:t>Radi</w:t>
      </w:r>
      <w:r w:rsidR="00666D62" w:rsidRPr="00593418">
        <w:rPr>
          <w:rFonts w:eastAsia="Times New Roman" w:cs="Calibri"/>
          <w:kern w:val="0"/>
          <w:lang w:eastAsia="en-GB"/>
        </w:rPr>
        <w:t xml:space="preserve"> bolje zaštite intelektualne svojine</w:t>
      </w:r>
      <w:r w:rsidR="00885CFA">
        <w:rPr>
          <w:rFonts w:eastAsia="Times New Roman" w:cs="Calibri"/>
          <w:kern w:val="0"/>
          <w:lang w:eastAsia="en-GB"/>
        </w:rPr>
        <w:t xml:space="preserve"> i njene ekonomske isplativosti</w:t>
      </w:r>
      <w:r w:rsidR="00666D62" w:rsidRPr="00593418">
        <w:rPr>
          <w:rFonts w:eastAsia="Times New Roman" w:cs="Calibri"/>
          <w:kern w:val="0"/>
          <w:lang w:eastAsia="en-GB"/>
        </w:rPr>
        <w:t>, potrebno je raditi na daljem unapr</w:t>
      </w:r>
      <w:r w:rsidR="00FA4011">
        <w:rPr>
          <w:rFonts w:eastAsia="Times New Roman" w:cs="Calibri"/>
          <w:kern w:val="0"/>
          <w:lang w:eastAsia="en-GB"/>
        </w:rPr>
        <w:t>ij</w:t>
      </w:r>
      <w:r w:rsidR="00666D62" w:rsidRPr="00593418">
        <w:rPr>
          <w:rFonts w:eastAsia="Times New Roman" w:cs="Calibri"/>
          <w:kern w:val="0"/>
          <w:lang w:eastAsia="en-GB"/>
        </w:rPr>
        <w:t>eđenj</w:t>
      </w:r>
      <w:r>
        <w:rPr>
          <w:rFonts w:eastAsia="Times New Roman" w:cs="Calibri"/>
          <w:kern w:val="0"/>
          <w:lang w:eastAsia="en-GB"/>
        </w:rPr>
        <w:t>u</w:t>
      </w:r>
      <w:r w:rsidR="00666D62" w:rsidRPr="00593418">
        <w:rPr>
          <w:rFonts w:eastAsia="Times New Roman" w:cs="Calibri"/>
          <w:kern w:val="0"/>
          <w:lang w:eastAsia="en-GB"/>
        </w:rPr>
        <w:t xml:space="preserve"> </w:t>
      </w:r>
      <w:r w:rsidR="00885CFA">
        <w:rPr>
          <w:rFonts w:eastAsia="Times New Roman" w:cs="Calibri"/>
          <w:kern w:val="0"/>
          <w:lang w:eastAsia="en-GB"/>
        </w:rPr>
        <w:t xml:space="preserve">pravnog i institucionalnog </w:t>
      </w:r>
      <w:r w:rsidR="00666D62" w:rsidRPr="00593418">
        <w:rPr>
          <w:rFonts w:eastAsia="Times New Roman" w:cs="Calibri"/>
          <w:kern w:val="0"/>
          <w:lang w:eastAsia="en-GB"/>
        </w:rPr>
        <w:t xml:space="preserve">okvira </w:t>
      </w:r>
      <w:r w:rsidR="00885CFA">
        <w:rPr>
          <w:rFonts w:eastAsia="Times New Roman" w:cs="Calibri"/>
          <w:kern w:val="0"/>
          <w:lang w:eastAsia="en-GB"/>
        </w:rPr>
        <w:t>vezanog za ovu tematiku</w:t>
      </w:r>
      <w:r w:rsidR="00666D62" w:rsidRPr="00593418">
        <w:rPr>
          <w:rFonts w:eastAsia="Times New Roman" w:cs="Calibri"/>
          <w:kern w:val="0"/>
          <w:lang w:eastAsia="en-GB"/>
        </w:rPr>
        <w:t xml:space="preserve"> i </w:t>
      </w:r>
      <w:r w:rsidR="00885CFA">
        <w:rPr>
          <w:rFonts w:eastAsia="Times New Roman" w:cs="Calibri"/>
          <w:kern w:val="0"/>
          <w:lang w:eastAsia="en-GB"/>
        </w:rPr>
        <w:t xml:space="preserve">obezbijediti odgovarajuće programe podrške </w:t>
      </w:r>
      <w:r w:rsidR="00666D62" w:rsidRPr="00593418">
        <w:rPr>
          <w:rFonts w:eastAsia="Times New Roman" w:cs="Calibri"/>
          <w:kern w:val="0"/>
          <w:lang w:eastAsia="en-GB"/>
        </w:rPr>
        <w:t>zaštit</w:t>
      </w:r>
      <w:r w:rsidR="00885CFA">
        <w:rPr>
          <w:rFonts w:eastAsia="Times New Roman" w:cs="Calibri"/>
          <w:kern w:val="0"/>
          <w:lang w:eastAsia="en-GB"/>
        </w:rPr>
        <w:t>i</w:t>
      </w:r>
      <w:r w:rsidR="00666D62" w:rsidRPr="00593418">
        <w:rPr>
          <w:rFonts w:eastAsia="Times New Roman" w:cs="Calibri"/>
          <w:kern w:val="0"/>
          <w:lang w:eastAsia="en-GB"/>
        </w:rPr>
        <w:t xml:space="preserve"> svih oblika intelektualne svojine, a </w:t>
      </w:r>
      <w:r w:rsidR="00885CFA">
        <w:rPr>
          <w:rFonts w:eastAsia="Times New Roman" w:cs="Calibri"/>
          <w:kern w:val="0"/>
          <w:lang w:eastAsia="en-GB"/>
        </w:rPr>
        <w:t>naročito</w:t>
      </w:r>
      <w:r w:rsidR="00666D62" w:rsidRPr="00593418">
        <w:rPr>
          <w:rFonts w:eastAsia="Times New Roman" w:cs="Calibri"/>
          <w:kern w:val="0"/>
          <w:lang w:eastAsia="en-GB"/>
        </w:rPr>
        <w:t xml:space="preserve"> patenata.</w:t>
      </w:r>
      <w:bookmarkStart w:id="49" w:name="_Toc526754826"/>
    </w:p>
    <w:p w14:paraId="26122D46" w14:textId="4057662D" w:rsidR="00F336FB" w:rsidRDefault="00F336FB" w:rsidP="00DC5740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</w:p>
    <w:p w14:paraId="73F7AE47" w14:textId="77777777" w:rsidR="00F336FB" w:rsidRDefault="00F336FB" w:rsidP="00DC5740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</w:p>
    <w:p w14:paraId="511EE8C1" w14:textId="1C233C74" w:rsidR="00DC5740" w:rsidRDefault="00F203C3" w:rsidP="00DC5740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  <w:r>
        <w:rPr>
          <w:b/>
        </w:rPr>
        <w:t>VI</w:t>
      </w:r>
      <w:r w:rsidR="00666D62" w:rsidRPr="00610E83">
        <w:rPr>
          <w:b/>
        </w:rPr>
        <w:t>I</w:t>
      </w:r>
      <w:r w:rsidR="00826F04">
        <w:rPr>
          <w:b/>
        </w:rPr>
        <w:t xml:space="preserve"> </w:t>
      </w:r>
      <w:r w:rsidR="00666D62" w:rsidRPr="00610E83">
        <w:rPr>
          <w:b/>
        </w:rPr>
        <w:t>2.</w:t>
      </w:r>
      <w:r w:rsidR="0060145E" w:rsidRPr="00610E83">
        <w:rPr>
          <w:b/>
        </w:rPr>
        <w:t xml:space="preserve"> Unapr</w:t>
      </w:r>
      <w:r w:rsidR="00FA4011">
        <w:rPr>
          <w:b/>
        </w:rPr>
        <w:t>ij</w:t>
      </w:r>
      <w:r w:rsidR="00666D62" w:rsidRPr="00610E83">
        <w:rPr>
          <w:b/>
        </w:rPr>
        <w:t>eđenje</w:t>
      </w:r>
      <w:r w:rsidR="00666D62" w:rsidRPr="00593418">
        <w:rPr>
          <w:b/>
        </w:rPr>
        <w:t xml:space="preserve"> pristupa međunarodnim centrima znanja</w:t>
      </w:r>
      <w:bookmarkEnd w:id="49"/>
    </w:p>
    <w:p w14:paraId="0ED2FDB8" w14:textId="77777777" w:rsidR="00F336FB" w:rsidRPr="00DC5740" w:rsidRDefault="00F336FB" w:rsidP="00DC5740">
      <w:pPr>
        <w:tabs>
          <w:tab w:val="left" w:pos="0"/>
        </w:tabs>
        <w:spacing w:after="0"/>
        <w:jc w:val="both"/>
        <w:rPr>
          <w:rFonts w:eastAsia="Times New Roman" w:cs="Calibri"/>
          <w:kern w:val="0"/>
          <w:lang w:eastAsia="en-GB"/>
        </w:rPr>
      </w:pPr>
    </w:p>
    <w:p w14:paraId="248AC4E2" w14:textId="2DC9E6AF" w:rsidR="00666D62" w:rsidRPr="00593418" w:rsidRDefault="00666D62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Podsticanje i usmjeravanje naučnoistraživačke zajednice </w:t>
      </w:r>
      <w:r w:rsidR="004B5B06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ka</w:t>
      </w:r>
      <w:r w:rsidR="00CE5EAE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međunarodn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im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centr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ima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znanja,  </w:t>
      </w:r>
      <w:r w:rsidR="00CE5EAE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istraživačk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im</w:t>
      </w:r>
      <w:r w:rsidR="00CE5EAE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60145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CE5EAE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inovativn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im</w:t>
      </w:r>
      <w:r w:rsidR="00CE5EAE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program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ima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, projekt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ima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 inicijativ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ama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, omogućava se 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sklapanjem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bilateraln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ih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956BD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multilateraln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ih</w:t>
      </w:r>
      <w:r w:rsidR="006924C2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sporazu</w:t>
      </w:r>
      <w:r w:rsidR="00CE5EA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ma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u </w:t>
      </w:r>
      <w:r w:rsidRPr="00610E83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oblasti istraživanja i inovacija. </w:t>
      </w:r>
      <w:r w:rsidR="00E112C5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Saradnju po osnovu ovih sporazuma potrebno je inte</w:t>
      </w:r>
      <w:r w:rsidR="006924C2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n</w:t>
      </w:r>
      <w:r w:rsidR="00E112C5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zivirati i proširiti zaključivanjem sa novim</w:t>
      </w:r>
      <w:r w:rsidR="004B5B06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E112C5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partnerima.</w:t>
      </w:r>
    </w:p>
    <w:p w14:paraId="7AAFCE31" w14:textId="77777777" w:rsidR="00666D62" w:rsidRPr="00593418" w:rsidRDefault="00666D62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45862191" w14:textId="51FCFDF0" w:rsidR="00666D62" w:rsidRPr="00593418" w:rsidRDefault="00B905F5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Članstvom u 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EU fondov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im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a i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niz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u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programa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(COST, H2020, COSME, EUREKA, ERASMUS+)</w:t>
      </w:r>
      <w:r w:rsidR="00CA212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,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podstiče se integrisanje Crne Gore u Evropski istraživački prostor – ERA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 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omogućava saradnja sa međunarodnim naučnim timovima 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izvrsosti, pa država </w:t>
      </w:r>
      <w:r w:rsidR="00111E3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treba 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snažno </w:t>
      </w:r>
      <w:r w:rsidR="00111E3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da 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nastavi da podržava ovu vrstu međunarodne integracije u sferi nauke</w:t>
      </w:r>
      <w:r w:rsidR="006924C2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6924C2" w:rsidRPr="00464720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 tehnologije</w:t>
      </w:r>
      <w:r w:rsidR="00666D62" w:rsidRPr="00464720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.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60145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Takođe, </w:t>
      </w:r>
      <w:r w:rsidR="00111E3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treba razviti ozbiljnije institucionalne programe koji će </w:t>
      </w:r>
      <w:r w:rsidR="00CA212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lastRenderedPageBreak/>
        <w:t xml:space="preserve">omogućiti </w:t>
      </w:r>
      <w:r w:rsidR="0060145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u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ključivanje naučne dijaspore</w:t>
      </w:r>
      <w:r w:rsidR="00111E3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u nacionalni inovativni ekosistem i razvoj privrede u cjelini</w:t>
      </w:r>
      <w:r w:rsidR="00CA212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,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111E3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čime bi se obezbijedilo korištenje 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njihov</w:t>
      </w:r>
      <w:r w:rsidR="00111E3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ih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znanja i iskustva </w:t>
      </w:r>
      <w:r w:rsidR="00111E3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kao dragocjenog nacionalnog resursa</w:t>
      </w:r>
      <w:r w:rsidR="00666D62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.</w:t>
      </w:r>
    </w:p>
    <w:p w14:paraId="45C28394" w14:textId="77777777" w:rsidR="00666D62" w:rsidRPr="00593418" w:rsidRDefault="00666D62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2218B7AE" w14:textId="0F60919F" w:rsidR="006A67B6" w:rsidRPr="00464720" w:rsidRDefault="006A67B6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  <w:r w:rsidRPr="00464720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Potrebno je razviti saradnju okviru EU-JRC platforme za pametnu specijalizaciju radi djelotvornijeg pristupa novim trzistima, uspostavljanjem odgovarajucih nacionalnih institucionalnih mehanizama, po uzoru na zajednice znanja i inovacija </w:t>
      </w:r>
      <w:r w:rsidRPr="00464720">
        <w:rPr>
          <w:rFonts w:ascii="Calibri" w:eastAsia="Times New Roman" w:hAnsi="Calibri" w:cs="Calibri"/>
          <w:i/>
          <w:color w:val="auto"/>
          <w:kern w:val="0"/>
          <w:sz w:val="22"/>
          <w:szCs w:val="22"/>
          <w:lang w:eastAsia="en-GB"/>
        </w:rPr>
        <w:t>Evropskog instituta za inovacije i tehnologiju</w:t>
      </w:r>
      <w:r w:rsidRPr="00464720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. </w:t>
      </w:r>
    </w:p>
    <w:p w14:paraId="5BBCBFD8" w14:textId="77777777" w:rsidR="00E112C5" w:rsidRPr="00464720" w:rsidRDefault="00E112C5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6ACFEAE7" w14:textId="34766801" w:rsidR="00640E25" w:rsidRDefault="00E112C5" w:rsidP="00923467">
      <w:pPr>
        <w:pStyle w:val="Default"/>
        <w:tabs>
          <w:tab w:val="left" w:pos="1605"/>
        </w:tabs>
        <w:jc w:val="both"/>
        <w:rPr>
          <w:rFonts w:asciiTheme="minorHAnsi" w:hAnsiTheme="minorHAnsi"/>
        </w:rPr>
      </w:pPr>
      <w:r w:rsidRPr="00464720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Neovisno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od prethodno pomenutih opredjeljenja vezanih sa unapređenje nacionalnog pristupa međunarodnim centrima znanja, izvanrednu razvojnu šansu po ovom osnovu Crna Gora identifikuje u okviru </w:t>
      </w:r>
      <w:r w:rsidR="00DF38B3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regionalne 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inicijative za uspostavljanje </w:t>
      </w:r>
      <w:r w:rsidR="002508EE" w:rsidRPr="00B8625D">
        <w:rPr>
          <w:rFonts w:ascii="Calibri" w:eastAsia="Times New Roman" w:hAnsi="Calibri" w:cs="Calibri"/>
          <w:i/>
          <w:color w:val="auto"/>
          <w:kern w:val="0"/>
          <w:sz w:val="22"/>
          <w:szCs w:val="22"/>
          <w:lang w:eastAsia="en-GB"/>
        </w:rPr>
        <w:t>M</w:t>
      </w:r>
      <w:r w:rsidRPr="00923467">
        <w:rPr>
          <w:rFonts w:eastAsia="Times New Roman" w:cs="Calibri"/>
          <w:i/>
          <w:kern w:val="0"/>
          <w:lang w:eastAsia="en-GB"/>
        </w:rPr>
        <w:t>e</w:t>
      </w:r>
      <w:r w:rsidR="002508EE" w:rsidRPr="00B8625D">
        <w:rPr>
          <w:rFonts w:ascii="Calibri" w:eastAsia="Times New Roman" w:hAnsi="Calibri" w:cs="Calibri"/>
          <w:i/>
          <w:color w:val="auto"/>
          <w:kern w:val="0"/>
          <w:sz w:val="22"/>
          <w:szCs w:val="22"/>
          <w:lang w:eastAsia="en-GB"/>
        </w:rPr>
        <w:t>đunarodnog i</w:t>
      </w:r>
      <w:r w:rsidRPr="00923467">
        <w:rPr>
          <w:rFonts w:eastAsia="Times New Roman" w:cs="Calibri"/>
          <w:i/>
          <w:kern w:val="0"/>
          <w:lang w:eastAsia="en-GB"/>
        </w:rPr>
        <w:t>nstituta za održive tehnologije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(SEEIIST)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2508EE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na prostoru Jugoistične Evrope</w:t>
      </w:r>
      <w:r w:rsidR="002508E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. SE</w:t>
      </w:r>
      <w:r w:rsidR="006A67B6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E</w:t>
      </w:r>
      <w:r w:rsidR="002508E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IST </w:t>
      </w:r>
      <w:r w:rsidR="002508EE" w:rsidRPr="00610E83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predviđa realizaciju </w:t>
      </w:r>
      <w:r w:rsidR="002508E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najsavremenije </w:t>
      </w:r>
      <w:r w:rsidR="002508EE" w:rsidRPr="00610E83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hadronske</w:t>
      </w:r>
      <w:r w:rsidR="002508EE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kancer terapije </w:t>
      </w:r>
      <w:r w:rsidR="002508E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uporedo </w:t>
      </w:r>
      <w:r w:rsidR="002508EE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sa istraživanjima u biomedicin</w:t>
      </w:r>
      <w:r w:rsidR="002508E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 po čemu će biti jedinstven u svijetu</w:t>
      </w:r>
      <w:r w:rsidR="00640E25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(50:50% korišćenja radnog kapaciteta)</w:t>
      </w:r>
      <w:r w:rsidR="006A67B6">
        <w:rPr>
          <w:sz w:val="22"/>
          <w:szCs w:val="22"/>
          <w:lang w:val="sr-Latn-CS"/>
        </w:rPr>
        <w:t xml:space="preserve">. </w:t>
      </w:r>
      <w:r w:rsidR="006A67B6" w:rsidRPr="004C389C">
        <w:rPr>
          <w:sz w:val="22"/>
          <w:szCs w:val="22"/>
          <w:lang w:val="sr-Latn-CS"/>
        </w:rPr>
        <w:t>Takođe, projektom bi bila omogućena multidisciplinarna istraživanja</w:t>
      </w:r>
      <w:r w:rsidR="006A67B6">
        <w:rPr>
          <w:sz w:val="22"/>
          <w:szCs w:val="22"/>
          <w:lang w:val="sr-Latn-CS"/>
        </w:rPr>
        <w:t xml:space="preserve">, podstakao bi ukljucivanje lokalne privrede, razvoj digitalne infrastrukture, kao i podsticanje razvoja komplementarnih tehnologija.   </w:t>
      </w:r>
      <w:r w:rsidR="006A67B6" w:rsidRPr="004C389C">
        <w:rPr>
          <w:sz w:val="22"/>
          <w:szCs w:val="22"/>
          <w:lang w:val="sr-Latn-CS"/>
        </w:rPr>
        <w:t xml:space="preserve"> </w:t>
      </w:r>
    </w:p>
    <w:p w14:paraId="475A51DA" w14:textId="30E71473" w:rsidR="00666D62" w:rsidRDefault="00666D62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2C085B57" w14:textId="77777777" w:rsidR="00F336FB" w:rsidRPr="00593418" w:rsidRDefault="00F336FB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5C1802B8" w14:textId="3ECE6A3B" w:rsidR="007F10A0" w:rsidRPr="007F10A0" w:rsidRDefault="00F203C3" w:rsidP="00666D62">
      <w:pPr>
        <w:rPr>
          <w:b/>
        </w:rPr>
      </w:pPr>
      <w:bookmarkStart w:id="50" w:name="_Toc526754827"/>
      <w:r>
        <w:rPr>
          <w:b/>
        </w:rPr>
        <w:t>VII</w:t>
      </w:r>
      <w:r w:rsidR="00826F04">
        <w:rPr>
          <w:b/>
        </w:rPr>
        <w:t xml:space="preserve"> </w:t>
      </w:r>
      <w:r w:rsidR="00666D62" w:rsidRPr="00593418">
        <w:rPr>
          <w:b/>
        </w:rPr>
        <w:t>3. Jačanje ljudskih resursa u oblasti istraživanja i inovacija</w:t>
      </w:r>
      <w:bookmarkEnd w:id="50"/>
    </w:p>
    <w:p w14:paraId="5E5CBCD4" w14:textId="71A6CAF5" w:rsidR="00666D62" w:rsidRPr="00593418" w:rsidRDefault="00666D62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Ljudski resursi </w:t>
      </w:r>
      <w:r w:rsidR="00771CC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kao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istraživački </w:t>
      </w:r>
      <w:r w:rsidR="0060145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inovativni kapaciteti su od presudnog značaja za uspješnu implementaciju </w:t>
      </w:r>
      <w:r w:rsidR="00A02200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S3</w:t>
      </w:r>
      <w:r w:rsidR="00CA212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u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Crn</w:t>
      </w:r>
      <w:r w:rsidR="00CA212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oj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Gor</w:t>
      </w:r>
      <w:r w:rsidR="00CA212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, jer predstavljaju pokretač ekonomskog i društvenog razvoja zemlje, pa ih je potrebno osnažiti na pravi način. </w:t>
      </w:r>
    </w:p>
    <w:p w14:paraId="26C4FFB0" w14:textId="77777777" w:rsidR="00666D62" w:rsidRPr="00593418" w:rsidRDefault="00666D62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720418C1" w14:textId="542207E7" w:rsidR="00EB53CB" w:rsidRPr="00923467" w:rsidRDefault="005472CC" w:rsidP="00923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kern w:val="0"/>
          <w:lang w:eastAsia="en-GB"/>
        </w:rPr>
      </w:pPr>
      <w:r>
        <w:rPr>
          <w:rFonts w:eastAsia="Times New Roman" w:cs="Calibri"/>
          <w:kern w:val="0"/>
          <w:lang w:eastAsia="en-GB"/>
        </w:rPr>
        <w:t>J</w:t>
      </w:r>
      <w:r w:rsidR="00666D62" w:rsidRPr="00593418">
        <w:rPr>
          <w:rFonts w:eastAsia="Times New Roman" w:cs="Calibri"/>
          <w:kern w:val="0"/>
          <w:lang w:eastAsia="en-GB"/>
        </w:rPr>
        <w:t>ačanje kapaciteta istraživačke zajednice, prije svega mladih kadrova</w:t>
      </w:r>
      <w:r w:rsidR="0060145E">
        <w:rPr>
          <w:rFonts w:eastAsia="Times New Roman" w:cs="Calibri"/>
          <w:kern w:val="0"/>
          <w:lang w:eastAsia="en-GB"/>
        </w:rPr>
        <w:t>,</w:t>
      </w:r>
      <w:r w:rsidR="00666D62" w:rsidRPr="00593418">
        <w:rPr>
          <w:rFonts w:eastAsia="Times New Roman" w:cs="Calibri"/>
          <w:kern w:val="0"/>
          <w:lang w:eastAsia="en-GB"/>
        </w:rPr>
        <w:t xml:space="preserve"> </w:t>
      </w:r>
      <w:r w:rsidR="00F4701B">
        <w:rPr>
          <w:rFonts w:eastAsia="Times New Roman" w:cs="Calibri"/>
          <w:kern w:val="0"/>
          <w:lang w:eastAsia="en-GB"/>
        </w:rPr>
        <w:t xml:space="preserve">potrebno je postići </w:t>
      </w:r>
      <w:r w:rsidR="00666D62" w:rsidRPr="00593418">
        <w:rPr>
          <w:rFonts w:eastAsia="Times New Roman" w:cs="Calibri"/>
          <w:kern w:val="0"/>
          <w:lang w:eastAsia="en-GB"/>
        </w:rPr>
        <w:t>podsticanj</w:t>
      </w:r>
      <w:r w:rsidR="00F4701B">
        <w:rPr>
          <w:rFonts w:eastAsia="Times New Roman" w:cs="Calibri"/>
          <w:kern w:val="0"/>
          <w:lang w:eastAsia="en-GB"/>
        </w:rPr>
        <w:t>em</w:t>
      </w:r>
      <w:r w:rsidR="00666D62" w:rsidRPr="00593418">
        <w:rPr>
          <w:rFonts w:eastAsia="Times New Roman" w:cs="Calibri"/>
          <w:kern w:val="0"/>
          <w:lang w:eastAsia="en-GB"/>
        </w:rPr>
        <w:t xml:space="preserve"> njihove izvrsnosti kroz stipendije za doktorska istraživanja, zapošljavanje u okviru naučnoistraživačkih projekata</w:t>
      </w:r>
      <w:r w:rsidR="00F4701B">
        <w:rPr>
          <w:rFonts w:eastAsia="Times New Roman" w:cs="Calibri"/>
          <w:kern w:val="0"/>
          <w:lang w:eastAsia="en-GB"/>
        </w:rPr>
        <w:t xml:space="preserve"> i</w:t>
      </w:r>
      <w:r w:rsidR="00F4701B" w:rsidRPr="00593418">
        <w:rPr>
          <w:rFonts w:eastAsia="Times New Roman" w:cs="Calibri"/>
          <w:kern w:val="0"/>
          <w:lang w:eastAsia="en-GB"/>
        </w:rPr>
        <w:t xml:space="preserve"> </w:t>
      </w:r>
      <w:r w:rsidR="000E7601" w:rsidRPr="00593418">
        <w:rPr>
          <w:rFonts w:eastAsia="Times New Roman" w:cs="Calibri"/>
          <w:kern w:val="0"/>
          <w:lang w:eastAsia="en-GB"/>
        </w:rPr>
        <w:t>dodjel</w:t>
      </w:r>
      <w:r w:rsidR="000E7601">
        <w:rPr>
          <w:rFonts w:eastAsia="Times New Roman" w:cs="Calibri"/>
          <w:kern w:val="0"/>
          <w:lang w:eastAsia="en-GB"/>
        </w:rPr>
        <w:t>u</w:t>
      </w:r>
      <w:r w:rsidR="000E7601" w:rsidRPr="00593418">
        <w:rPr>
          <w:rFonts w:eastAsia="Times New Roman" w:cs="Calibri"/>
          <w:kern w:val="0"/>
          <w:lang w:eastAsia="en-GB"/>
        </w:rPr>
        <w:t xml:space="preserve"> </w:t>
      </w:r>
      <w:r w:rsidR="00666D62" w:rsidRPr="00593418">
        <w:rPr>
          <w:rFonts w:eastAsia="Times New Roman" w:cs="Calibri"/>
          <w:kern w:val="0"/>
          <w:lang w:eastAsia="en-GB"/>
        </w:rPr>
        <w:t>naučnih i inovativnih nagrada za izvrsnost.</w:t>
      </w:r>
      <w:r w:rsidR="0057327C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Programima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zapo</w:t>
      </w:r>
      <w:r w:rsidR="00EB53CB" w:rsidRPr="00923467">
        <w:rPr>
          <w:rFonts w:eastAsia="Times New Roman" w:cs="Calibri"/>
          <w:kern w:val="0"/>
          <w:lang w:eastAsia="en-GB"/>
        </w:rPr>
        <w:t>š</w:t>
      </w:r>
      <w:r w:rsidR="00EB53CB">
        <w:rPr>
          <w:rFonts w:eastAsia="Times New Roman" w:cs="Calibri"/>
          <w:kern w:val="0"/>
          <w:lang w:val="en-GB" w:eastAsia="en-GB"/>
        </w:rPr>
        <w:t>ljavanja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doktoranada</w:t>
      </w:r>
      <w:r w:rsidR="00EB53CB" w:rsidRPr="00923467">
        <w:rPr>
          <w:rFonts w:eastAsia="Times New Roman" w:cs="Calibri"/>
          <w:kern w:val="0"/>
          <w:lang w:eastAsia="en-GB"/>
        </w:rPr>
        <w:t xml:space="preserve">, </w:t>
      </w:r>
      <w:r w:rsidR="00EB53CB">
        <w:rPr>
          <w:rFonts w:eastAsia="Times New Roman" w:cs="Calibri"/>
          <w:kern w:val="0"/>
          <w:lang w:val="en-GB" w:eastAsia="en-GB"/>
        </w:rPr>
        <w:t>doktora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nauke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postdoktoranada</w:t>
      </w:r>
      <w:r w:rsidR="00EB53CB" w:rsidRPr="00923467">
        <w:rPr>
          <w:rFonts w:eastAsia="Times New Roman" w:cs="Calibri"/>
          <w:kern w:val="0"/>
          <w:lang w:eastAsia="en-GB"/>
        </w:rPr>
        <w:t xml:space="preserve">, </w:t>
      </w:r>
      <w:r w:rsidR="00EB53CB">
        <w:rPr>
          <w:rFonts w:eastAsia="Times New Roman" w:cs="Calibri"/>
          <w:kern w:val="0"/>
          <w:lang w:val="en-GB" w:eastAsia="en-GB"/>
        </w:rPr>
        <w:t>prije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svega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u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privrednom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sektoru</w:t>
      </w:r>
      <w:r w:rsidR="00EB53CB" w:rsidRPr="00923467">
        <w:rPr>
          <w:rFonts w:eastAsia="Times New Roman" w:cs="Calibri"/>
          <w:kern w:val="0"/>
          <w:lang w:eastAsia="en-GB"/>
        </w:rPr>
        <w:t xml:space="preserve">, </w:t>
      </w:r>
      <w:r w:rsidR="00EB53CB">
        <w:rPr>
          <w:rFonts w:eastAsia="Times New Roman" w:cs="Calibri"/>
          <w:kern w:val="0"/>
          <w:lang w:val="en-GB" w:eastAsia="en-GB"/>
        </w:rPr>
        <w:t>stimulisa</w:t>
      </w:r>
      <w:r w:rsidR="00EB53CB" w:rsidRPr="00923467">
        <w:rPr>
          <w:rFonts w:eastAsia="Times New Roman" w:cs="Calibri"/>
          <w:kern w:val="0"/>
          <w:lang w:eastAsia="en-GB"/>
        </w:rPr>
        <w:t>ć</w:t>
      </w:r>
      <w:r w:rsidR="00EB53CB">
        <w:rPr>
          <w:rFonts w:eastAsia="Times New Roman" w:cs="Calibri"/>
          <w:kern w:val="0"/>
          <w:lang w:val="en-GB" w:eastAsia="en-GB"/>
        </w:rPr>
        <w:t>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se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transfer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znanja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omogu</w:t>
      </w:r>
      <w:r w:rsidR="00EB53CB" w:rsidRPr="00923467">
        <w:rPr>
          <w:rFonts w:eastAsia="Times New Roman" w:cs="Calibri"/>
          <w:kern w:val="0"/>
          <w:lang w:eastAsia="en-GB"/>
        </w:rPr>
        <w:t>ć</w:t>
      </w:r>
      <w:r w:rsidR="00EB53CB">
        <w:rPr>
          <w:rFonts w:eastAsia="Times New Roman" w:cs="Calibri"/>
          <w:kern w:val="0"/>
          <w:lang w:val="en-GB" w:eastAsia="en-GB"/>
        </w:rPr>
        <w:t>iti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sticanje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prakti</w:t>
      </w:r>
      <w:r w:rsidR="00EB53CB" w:rsidRPr="00923467">
        <w:rPr>
          <w:rFonts w:eastAsia="Times New Roman" w:cs="Calibri"/>
          <w:kern w:val="0"/>
          <w:lang w:eastAsia="en-GB"/>
        </w:rPr>
        <w:t>č</w:t>
      </w:r>
      <w:r w:rsidR="00EB53CB">
        <w:rPr>
          <w:rFonts w:eastAsia="Times New Roman" w:cs="Calibri"/>
          <w:kern w:val="0"/>
          <w:lang w:val="en-GB" w:eastAsia="en-GB"/>
        </w:rPr>
        <w:t>nih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znanja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koj</w:t>
      </w:r>
      <w:r w:rsidR="00F4701B">
        <w:rPr>
          <w:rFonts w:eastAsia="Times New Roman" w:cs="Calibri"/>
          <w:kern w:val="0"/>
          <w:lang w:val="en-GB" w:eastAsia="en-GB"/>
        </w:rPr>
        <w:t>a</w:t>
      </w:r>
      <w:r w:rsidR="00EB53CB" w:rsidRPr="00923467">
        <w:rPr>
          <w:rFonts w:eastAsia="Times New Roman" w:cs="Calibri"/>
          <w:kern w:val="0"/>
          <w:lang w:eastAsia="en-GB"/>
        </w:rPr>
        <w:t xml:space="preserve"> ć</w:t>
      </w:r>
      <w:r w:rsidR="00EB53CB">
        <w:rPr>
          <w:rFonts w:eastAsia="Times New Roman" w:cs="Calibri"/>
          <w:kern w:val="0"/>
          <w:lang w:val="en-GB" w:eastAsia="en-GB"/>
        </w:rPr>
        <w:t>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oja</w:t>
      </w:r>
      <w:r w:rsidR="00EB53CB" w:rsidRPr="00923467">
        <w:rPr>
          <w:rFonts w:eastAsia="Times New Roman" w:cs="Calibri"/>
          <w:kern w:val="0"/>
          <w:lang w:eastAsia="en-GB"/>
        </w:rPr>
        <w:t>č</w:t>
      </w:r>
      <w:r w:rsidR="00EB53CB">
        <w:rPr>
          <w:rFonts w:eastAsia="Times New Roman" w:cs="Calibri"/>
          <w:kern w:val="0"/>
          <w:lang w:val="en-GB" w:eastAsia="en-GB"/>
        </w:rPr>
        <w:t>ati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inovacione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kapacitete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kompanija</w:t>
      </w:r>
      <w:r w:rsidR="00EB53CB" w:rsidRPr="00923467">
        <w:rPr>
          <w:rFonts w:eastAsia="Times New Roman" w:cs="Calibri"/>
          <w:kern w:val="0"/>
          <w:lang w:eastAsia="en-GB"/>
        </w:rPr>
        <w:t xml:space="preserve">. </w:t>
      </w:r>
      <w:r w:rsidR="00EB53CB">
        <w:rPr>
          <w:rFonts w:eastAsia="Times New Roman" w:cs="Calibri"/>
          <w:kern w:val="0"/>
          <w:lang w:val="en-GB" w:eastAsia="en-GB"/>
        </w:rPr>
        <w:t>Na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ovaj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na</w:t>
      </w:r>
      <w:r w:rsidR="00EB53CB" w:rsidRPr="00923467">
        <w:rPr>
          <w:rFonts w:eastAsia="Times New Roman" w:cs="Calibri"/>
          <w:kern w:val="0"/>
          <w:lang w:eastAsia="en-GB"/>
        </w:rPr>
        <w:t>č</w:t>
      </w:r>
      <w:r w:rsidR="00EB53CB">
        <w:rPr>
          <w:rFonts w:eastAsia="Times New Roman" w:cs="Calibri"/>
          <w:kern w:val="0"/>
          <w:lang w:val="en-GB" w:eastAsia="en-GB"/>
        </w:rPr>
        <w:t>in</w:t>
      </w:r>
      <w:r w:rsidR="00EB53CB" w:rsidRPr="00923467">
        <w:rPr>
          <w:rFonts w:eastAsia="Times New Roman" w:cs="Calibri"/>
          <w:kern w:val="0"/>
          <w:lang w:eastAsia="en-GB"/>
        </w:rPr>
        <w:t xml:space="preserve"> ć</w:t>
      </w:r>
      <w:r w:rsidR="00EB53CB">
        <w:rPr>
          <w:rFonts w:eastAsia="Times New Roman" w:cs="Calibri"/>
          <w:kern w:val="0"/>
          <w:lang w:val="en-GB" w:eastAsia="en-GB"/>
        </w:rPr>
        <w:t>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se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pospje</w:t>
      </w:r>
      <w:r w:rsidR="00EB53CB" w:rsidRPr="00923467">
        <w:rPr>
          <w:rFonts w:eastAsia="Times New Roman" w:cs="Calibri"/>
          <w:kern w:val="0"/>
          <w:lang w:eastAsia="en-GB"/>
        </w:rPr>
        <w:t>š</w:t>
      </w:r>
      <w:r w:rsidR="00EB53CB">
        <w:rPr>
          <w:rFonts w:eastAsia="Times New Roman" w:cs="Calibri"/>
          <w:kern w:val="0"/>
          <w:lang w:val="en-GB" w:eastAsia="en-GB"/>
        </w:rPr>
        <w:t>iti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razvoj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istra</w:t>
      </w:r>
      <w:r w:rsidR="00EB53CB" w:rsidRPr="00923467">
        <w:rPr>
          <w:rFonts w:eastAsia="Times New Roman" w:cs="Calibri"/>
          <w:kern w:val="0"/>
          <w:lang w:eastAsia="en-GB"/>
        </w:rPr>
        <w:t>ž</w:t>
      </w:r>
      <w:r w:rsidR="00EB53CB">
        <w:rPr>
          <w:rFonts w:eastAsia="Times New Roman" w:cs="Calibri"/>
          <w:kern w:val="0"/>
          <w:lang w:val="en-GB" w:eastAsia="en-GB"/>
        </w:rPr>
        <w:t>ivanja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F4701B">
        <w:rPr>
          <w:rFonts w:eastAsia="Times New Roman" w:cs="Calibri"/>
          <w:kern w:val="0"/>
          <w:lang w:val="en-GB" w:eastAsia="en-GB"/>
        </w:rPr>
        <w:t>u</w:t>
      </w:r>
      <w:r w:rsidR="00F4701B" w:rsidRPr="00923467">
        <w:rPr>
          <w:rFonts w:eastAsia="Times New Roman" w:cs="Calibri"/>
          <w:kern w:val="0"/>
          <w:lang w:eastAsia="en-GB"/>
        </w:rPr>
        <w:t xml:space="preserve"> </w:t>
      </w:r>
      <w:r w:rsidR="00F4701B">
        <w:rPr>
          <w:rFonts w:eastAsia="Times New Roman" w:cs="Calibri"/>
          <w:kern w:val="0"/>
          <w:lang w:val="en-GB" w:eastAsia="en-GB"/>
        </w:rPr>
        <w:t>privrednom</w:t>
      </w:r>
      <w:r w:rsidR="00F4701B" w:rsidRPr="00923467">
        <w:rPr>
          <w:rFonts w:eastAsia="Times New Roman" w:cs="Calibri"/>
          <w:kern w:val="0"/>
          <w:lang w:eastAsia="en-GB"/>
        </w:rPr>
        <w:t xml:space="preserve"> </w:t>
      </w:r>
      <w:r w:rsidR="00F4701B">
        <w:rPr>
          <w:rFonts w:eastAsia="Times New Roman" w:cs="Calibri"/>
          <w:kern w:val="0"/>
          <w:lang w:val="en-GB" w:eastAsia="en-GB"/>
        </w:rPr>
        <w:t>sektoru</w:t>
      </w:r>
      <w:r w:rsidR="00F4701B" w:rsidRPr="00923467">
        <w:rPr>
          <w:rFonts w:eastAsia="Times New Roman" w:cs="Calibri"/>
          <w:kern w:val="0"/>
          <w:lang w:eastAsia="en-GB"/>
        </w:rPr>
        <w:t xml:space="preserve">, </w:t>
      </w:r>
      <w:r w:rsidR="00EB53CB" w:rsidRPr="00923467">
        <w:rPr>
          <w:rFonts w:eastAsia="Times New Roman" w:cs="Calibri"/>
          <w:kern w:val="0"/>
          <w:lang w:eastAsia="en-GB"/>
        </w:rPr>
        <w:t>š</w:t>
      </w:r>
      <w:r w:rsidR="00EB53CB">
        <w:rPr>
          <w:rFonts w:eastAsia="Times New Roman" w:cs="Calibri"/>
          <w:kern w:val="0"/>
          <w:lang w:val="en-GB" w:eastAsia="en-GB"/>
        </w:rPr>
        <w:t>to</w:t>
      </w:r>
      <w:r w:rsidR="00EB53CB" w:rsidRPr="00923467">
        <w:rPr>
          <w:rFonts w:eastAsia="Times New Roman" w:cs="Calibri"/>
          <w:kern w:val="0"/>
          <w:lang w:eastAsia="en-GB"/>
        </w:rPr>
        <w:t xml:space="preserve"> ć</w:t>
      </w:r>
      <w:r w:rsidR="00EB53CB">
        <w:rPr>
          <w:rFonts w:eastAsia="Times New Roman" w:cs="Calibri"/>
          <w:kern w:val="0"/>
          <w:lang w:val="en-GB" w:eastAsia="en-GB"/>
        </w:rPr>
        <w:t>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doprinijeti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dinami</w:t>
      </w:r>
      <w:r w:rsidR="00EB53CB" w:rsidRPr="00923467">
        <w:rPr>
          <w:rFonts w:eastAsia="Times New Roman" w:cs="Calibri"/>
          <w:kern w:val="0"/>
          <w:lang w:eastAsia="en-GB"/>
        </w:rPr>
        <w:t>č</w:t>
      </w:r>
      <w:r w:rsidR="00EB53CB">
        <w:rPr>
          <w:rFonts w:eastAsia="Times New Roman" w:cs="Calibri"/>
          <w:kern w:val="0"/>
          <w:lang w:val="en-GB" w:eastAsia="en-GB"/>
        </w:rPr>
        <w:t>nijem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razvoju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ekonomije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zasnovan</w:t>
      </w:r>
      <w:r w:rsidR="0038683F">
        <w:rPr>
          <w:rFonts w:eastAsia="Times New Roman" w:cs="Calibri"/>
          <w:kern w:val="0"/>
          <w:lang w:val="en-GB" w:eastAsia="en-GB"/>
        </w:rPr>
        <w:t>e</w:t>
      </w:r>
      <w:r w:rsidR="0038683F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na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znanju</w:t>
      </w:r>
      <w:r w:rsidR="00EB53CB" w:rsidRPr="00923467">
        <w:rPr>
          <w:rFonts w:eastAsia="Times New Roman" w:cs="Calibri"/>
          <w:kern w:val="0"/>
          <w:lang w:eastAsia="en-GB"/>
        </w:rPr>
        <w:t>.</w:t>
      </w:r>
    </w:p>
    <w:p w14:paraId="223687FF" w14:textId="77777777" w:rsidR="00EB53CB" w:rsidRPr="00923467" w:rsidRDefault="00EB53CB" w:rsidP="00923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kern w:val="0"/>
          <w:lang w:eastAsia="en-GB"/>
        </w:rPr>
      </w:pPr>
    </w:p>
    <w:p w14:paraId="210BFA0F" w14:textId="1A7543FC" w:rsidR="00EB53CB" w:rsidRPr="00923467" w:rsidRDefault="00EA1574" w:rsidP="00923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kern w:val="0"/>
          <w:lang w:eastAsia="en-GB"/>
        </w:rPr>
      </w:pPr>
      <w:r>
        <w:rPr>
          <w:rFonts w:eastAsia="Times New Roman" w:cs="Calibri"/>
          <w:kern w:val="0"/>
          <w:lang w:val="en-GB" w:eastAsia="en-GB"/>
        </w:rPr>
        <w:t>Pristup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internacionalnim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centrima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znanja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i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velikim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istra</w:t>
      </w:r>
      <w:r w:rsidRPr="00437959">
        <w:rPr>
          <w:rFonts w:eastAsia="Times New Roman" w:cs="Calibri"/>
          <w:kern w:val="0"/>
          <w:lang w:eastAsia="en-GB"/>
        </w:rPr>
        <w:t>ž</w:t>
      </w:r>
      <w:r>
        <w:rPr>
          <w:rFonts w:eastAsia="Times New Roman" w:cs="Calibri"/>
          <w:kern w:val="0"/>
          <w:lang w:val="en-GB" w:eastAsia="en-GB"/>
        </w:rPr>
        <w:t>iva</w:t>
      </w:r>
      <w:r w:rsidRPr="00437959">
        <w:rPr>
          <w:rFonts w:eastAsia="Times New Roman" w:cs="Calibri"/>
          <w:kern w:val="0"/>
          <w:lang w:eastAsia="en-GB"/>
        </w:rPr>
        <w:t>č</w:t>
      </w:r>
      <w:r>
        <w:rPr>
          <w:rFonts w:eastAsia="Times New Roman" w:cs="Calibri"/>
          <w:kern w:val="0"/>
          <w:lang w:val="en-GB" w:eastAsia="en-GB"/>
        </w:rPr>
        <w:t>kim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infrastrukturama</w:t>
      </w:r>
      <w:r w:rsidRPr="00923467">
        <w:rPr>
          <w:rFonts w:eastAsia="Times New Roman" w:cs="Calibri"/>
          <w:kern w:val="0"/>
          <w:lang w:eastAsia="en-GB"/>
        </w:rPr>
        <w:t xml:space="preserve"> </w:t>
      </w:r>
      <w:r w:rsidRPr="00437959">
        <w:rPr>
          <w:rFonts w:eastAsia="Times New Roman" w:cs="Calibri"/>
          <w:kern w:val="0"/>
          <w:lang w:eastAsia="en-GB"/>
        </w:rPr>
        <w:t>(</w:t>
      </w:r>
      <w:r>
        <w:rPr>
          <w:rFonts w:eastAsia="Times New Roman" w:cs="Calibri"/>
          <w:kern w:val="0"/>
          <w:lang w:val="en-GB" w:eastAsia="en-GB"/>
        </w:rPr>
        <w:t>CERN</w:t>
      </w:r>
      <w:r w:rsidRPr="00437959">
        <w:rPr>
          <w:rFonts w:eastAsia="Times New Roman" w:cs="Calibri"/>
          <w:kern w:val="0"/>
          <w:lang w:eastAsia="en-GB"/>
        </w:rPr>
        <w:t xml:space="preserve">, </w:t>
      </w:r>
      <w:r>
        <w:rPr>
          <w:rFonts w:eastAsia="Times New Roman" w:cs="Calibri"/>
          <w:kern w:val="0"/>
          <w:lang w:val="en-GB" w:eastAsia="en-GB"/>
        </w:rPr>
        <w:t>EMBL</w:t>
      </w:r>
      <w:r w:rsidRPr="00437959">
        <w:rPr>
          <w:rFonts w:eastAsia="Times New Roman" w:cs="Calibri"/>
          <w:kern w:val="0"/>
          <w:lang w:eastAsia="en-GB"/>
        </w:rPr>
        <w:t xml:space="preserve">, </w:t>
      </w:r>
      <w:r>
        <w:rPr>
          <w:rFonts w:eastAsia="Times New Roman" w:cs="Calibri"/>
          <w:kern w:val="0"/>
          <w:lang w:val="en-GB" w:eastAsia="en-GB"/>
        </w:rPr>
        <w:t>EMBO</w:t>
      </w:r>
      <w:r w:rsidRPr="00437959">
        <w:rPr>
          <w:rFonts w:eastAsia="Times New Roman" w:cs="Calibri"/>
          <w:kern w:val="0"/>
          <w:lang w:eastAsia="en-GB"/>
        </w:rPr>
        <w:t xml:space="preserve">, </w:t>
      </w:r>
      <w:r>
        <w:rPr>
          <w:rFonts w:eastAsia="Times New Roman" w:cs="Calibri"/>
          <w:kern w:val="0"/>
          <w:lang w:val="en-GB" w:eastAsia="en-GB"/>
        </w:rPr>
        <w:t>ICGEB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itd</w:t>
      </w:r>
      <w:r w:rsidRPr="00437959">
        <w:rPr>
          <w:rFonts w:eastAsia="Times New Roman" w:cs="Calibri"/>
          <w:kern w:val="0"/>
          <w:lang w:eastAsia="en-GB"/>
        </w:rPr>
        <w:t xml:space="preserve">.) </w:t>
      </w:r>
      <w:r>
        <w:rPr>
          <w:rFonts w:eastAsia="Times New Roman" w:cs="Calibri"/>
          <w:kern w:val="0"/>
          <w:lang w:eastAsia="en-GB"/>
        </w:rPr>
        <w:t xml:space="preserve">koji je do sada obezbijeđen </w:t>
      </w:r>
      <w:r>
        <w:rPr>
          <w:rFonts w:eastAsia="Times New Roman" w:cs="Calibri"/>
          <w:kern w:val="0"/>
          <w:lang w:val="en-GB" w:eastAsia="en-GB"/>
        </w:rPr>
        <w:t>mladim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istra</w:t>
      </w:r>
      <w:r w:rsidRPr="00437959">
        <w:rPr>
          <w:rFonts w:eastAsia="Times New Roman" w:cs="Calibri"/>
          <w:kern w:val="0"/>
          <w:lang w:eastAsia="en-GB"/>
        </w:rPr>
        <w:t>ž</w:t>
      </w:r>
      <w:r>
        <w:rPr>
          <w:rFonts w:eastAsia="Times New Roman" w:cs="Calibri"/>
          <w:kern w:val="0"/>
          <w:lang w:val="en-GB" w:eastAsia="en-GB"/>
        </w:rPr>
        <w:t>iva</w:t>
      </w:r>
      <w:r w:rsidRPr="00437959">
        <w:rPr>
          <w:rFonts w:eastAsia="Times New Roman" w:cs="Calibri"/>
          <w:kern w:val="0"/>
          <w:lang w:eastAsia="en-GB"/>
        </w:rPr>
        <w:t>č</w:t>
      </w:r>
      <w:r>
        <w:rPr>
          <w:rFonts w:eastAsia="Times New Roman" w:cs="Calibri"/>
          <w:kern w:val="0"/>
          <w:lang w:val="en-GB" w:eastAsia="en-GB"/>
        </w:rPr>
        <w:t>ima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 w:rsidR="00771CCC">
        <w:rPr>
          <w:rFonts w:eastAsia="Times New Roman" w:cs="Calibri"/>
          <w:kern w:val="0"/>
          <w:lang w:val="en-GB" w:eastAsia="en-GB"/>
        </w:rPr>
        <w:t>na</w:t>
      </w:r>
      <w:r w:rsidR="00771CCC" w:rsidRPr="00923467">
        <w:rPr>
          <w:rFonts w:eastAsia="Times New Roman" w:cs="Calibri"/>
          <w:kern w:val="0"/>
          <w:lang w:eastAsia="en-GB"/>
        </w:rPr>
        <w:t xml:space="preserve"> </w:t>
      </w:r>
      <w:r w:rsidR="00771CCC">
        <w:rPr>
          <w:rFonts w:eastAsia="Times New Roman" w:cs="Calibri"/>
          <w:kern w:val="0"/>
          <w:lang w:val="en-GB" w:eastAsia="en-GB"/>
        </w:rPr>
        <w:t>osnovu</w:t>
      </w:r>
      <w:r w:rsidR="00771CCC" w:rsidRPr="00923467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bilateralnih</w:t>
      </w:r>
      <w:r w:rsidRPr="00923467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eastAsia="en-GB"/>
        </w:rPr>
        <w:t>i</w:t>
      </w:r>
      <w:r w:rsidRPr="00923467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multilateralnih</w:t>
      </w:r>
      <w:r w:rsidRPr="00923467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sporazuma</w:t>
      </w:r>
      <w:r w:rsidRPr="00923467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eastAsia="en-GB"/>
        </w:rPr>
        <w:t xml:space="preserve">i </w:t>
      </w:r>
      <w:r w:rsidRPr="00437959">
        <w:rPr>
          <w:rFonts w:eastAsia="Times New Roman" w:cs="Calibri"/>
          <w:kern w:val="0"/>
          <w:lang w:eastAsia="en-GB"/>
        </w:rPr>
        <w:t>č</w:t>
      </w:r>
      <w:r>
        <w:rPr>
          <w:rFonts w:eastAsia="Times New Roman" w:cs="Calibri"/>
          <w:kern w:val="0"/>
          <w:lang w:val="en-GB" w:eastAsia="en-GB"/>
        </w:rPr>
        <w:t>lanstva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u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me</w:t>
      </w:r>
      <w:r w:rsidRPr="00437959">
        <w:rPr>
          <w:rFonts w:eastAsia="Times New Roman" w:cs="Calibri"/>
          <w:kern w:val="0"/>
          <w:lang w:eastAsia="en-GB"/>
        </w:rPr>
        <w:t>đ</w:t>
      </w:r>
      <w:r>
        <w:rPr>
          <w:rFonts w:eastAsia="Times New Roman" w:cs="Calibri"/>
          <w:kern w:val="0"/>
          <w:lang w:val="en-GB" w:eastAsia="en-GB"/>
        </w:rPr>
        <w:t>unarodnim</w:t>
      </w:r>
      <w:r w:rsidRPr="00437959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val="en-GB" w:eastAsia="en-GB"/>
        </w:rPr>
        <w:t>organizacijama</w:t>
      </w:r>
      <w:r w:rsidRPr="00923467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eastAsia="en-GB"/>
        </w:rPr>
        <w:t xml:space="preserve">treba podržavati, </w:t>
      </w:r>
      <w:r w:rsidR="005F1F96">
        <w:rPr>
          <w:rFonts w:eastAsia="Times New Roman" w:cs="Calibri"/>
          <w:kern w:val="0"/>
          <w:lang w:eastAsia="en-GB"/>
        </w:rPr>
        <w:t>inte</w:t>
      </w:r>
      <w:r w:rsidR="006A67B6">
        <w:rPr>
          <w:rFonts w:eastAsia="Times New Roman" w:cs="Calibri"/>
          <w:kern w:val="0"/>
          <w:lang w:eastAsia="en-GB"/>
        </w:rPr>
        <w:t>n</w:t>
      </w:r>
      <w:r w:rsidR="005F1F96">
        <w:rPr>
          <w:rFonts w:eastAsia="Times New Roman" w:cs="Calibri"/>
          <w:kern w:val="0"/>
          <w:lang w:eastAsia="en-GB"/>
        </w:rPr>
        <w:t>zivirati</w:t>
      </w:r>
      <w:r>
        <w:rPr>
          <w:rFonts w:eastAsia="Times New Roman" w:cs="Calibri"/>
          <w:kern w:val="0"/>
          <w:lang w:eastAsia="en-GB"/>
        </w:rPr>
        <w:t xml:space="preserve"> i proširiti realizaciom novih aranžmana koji omogućavaju dalju internacionalizaciju i </w:t>
      </w:r>
      <w:r w:rsidR="00771CCC">
        <w:rPr>
          <w:rFonts w:eastAsia="Times New Roman" w:cs="Calibri"/>
          <w:kern w:val="0"/>
          <w:lang w:eastAsia="en-GB"/>
        </w:rPr>
        <w:t>umre</w:t>
      </w:r>
      <w:r w:rsidR="005F1F96">
        <w:rPr>
          <w:rFonts w:eastAsia="Times New Roman" w:cs="Calibri"/>
          <w:kern w:val="0"/>
          <w:lang w:eastAsia="en-GB"/>
        </w:rPr>
        <w:t>ž</w:t>
      </w:r>
      <w:r w:rsidR="00771CCC">
        <w:rPr>
          <w:rFonts w:eastAsia="Times New Roman" w:cs="Calibri"/>
          <w:kern w:val="0"/>
          <w:lang w:eastAsia="en-GB"/>
        </w:rPr>
        <w:t>avanje</w:t>
      </w:r>
      <w:r>
        <w:rPr>
          <w:rFonts w:eastAsia="Times New Roman" w:cs="Calibri"/>
          <w:kern w:val="0"/>
          <w:lang w:eastAsia="en-GB"/>
        </w:rPr>
        <w:t>. U ovom kontekstu, p</w:t>
      </w:r>
      <w:r w:rsidR="00EB53CB">
        <w:rPr>
          <w:rFonts w:eastAsia="Times New Roman" w:cs="Calibri"/>
          <w:kern w:val="0"/>
          <w:lang w:val="en-GB" w:eastAsia="en-GB"/>
        </w:rPr>
        <w:t>osebna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pa</w:t>
      </w:r>
      <w:r w:rsidR="00EB53CB" w:rsidRPr="00923467">
        <w:rPr>
          <w:rFonts w:eastAsia="Times New Roman" w:cs="Calibri"/>
          <w:kern w:val="0"/>
          <w:lang w:eastAsia="en-GB"/>
        </w:rPr>
        <w:t>ž</w:t>
      </w:r>
      <w:r w:rsidR="00EB53CB">
        <w:rPr>
          <w:rFonts w:eastAsia="Times New Roman" w:cs="Calibri"/>
          <w:kern w:val="0"/>
          <w:lang w:val="en-GB" w:eastAsia="en-GB"/>
        </w:rPr>
        <w:t>nja</w:t>
      </w:r>
      <w:r w:rsidR="00EB53CB" w:rsidRPr="00923467">
        <w:rPr>
          <w:rFonts w:eastAsia="Times New Roman" w:cs="Calibri"/>
          <w:kern w:val="0"/>
          <w:lang w:eastAsia="en-GB"/>
        </w:rPr>
        <w:t xml:space="preserve"> ć</w:t>
      </w:r>
      <w:r w:rsidR="00EB53CB">
        <w:rPr>
          <w:rFonts w:eastAsia="Times New Roman" w:cs="Calibri"/>
          <w:kern w:val="0"/>
          <w:lang w:val="en-GB" w:eastAsia="en-GB"/>
        </w:rPr>
        <w:t>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biti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posve</w:t>
      </w:r>
      <w:r w:rsidR="00EB53CB" w:rsidRPr="00923467">
        <w:rPr>
          <w:rFonts w:eastAsia="Times New Roman" w:cs="Calibri"/>
          <w:kern w:val="0"/>
          <w:lang w:eastAsia="en-GB"/>
        </w:rPr>
        <w:t>ć</w:t>
      </w:r>
      <w:r w:rsidR="00EB53CB">
        <w:rPr>
          <w:rFonts w:eastAsia="Times New Roman" w:cs="Calibri"/>
          <w:kern w:val="0"/>
          <w:lang w:val="en-GB" w:eastAsia="en-GB"/>
        </w:rPr>
        <w:t>ena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mladim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istra</w:t>
      </w:r>
      <w:r w:rsidR="00EB53CB" w:rsidRPr="00923467">
        <w:rPr>
          <w:rFonts w:eastAsia="Times New Roman" w:cs="Calibri"/>
          <w:kern w:val="0"/>
          <w:lang w:eastAsia="en-GB"/>
        </w:rPr>
        <w:t>ž</w:t>
      </w:r>
      <w:r w:rsidR="00EB53CB">
        <w:rPr>
          <w:rFonts w:eastAsia="Times New Roman" w:cs="Calibri"/>
          <w:kern w:val="0"/>
          <w:lang w:val="en-GB" w:eastAsia="en-GB"/>
        </w:rPr>
        <w:t>iva</w:t>
      </w:r>
      <w:r w:rsidR="00EB53CB" w:rsidRPr="00923467">
        <w:rPr>
          <w:rFonts w:eastAsia="Times New Roman" w:cs="Calibri"/>
          <w:kern w:val="0"/>
          <w:lang w:eastAsia="en-GB"/>
        </w:rPr>
        <w:t>č</w:t>
      </w:r>
      <w:r w:rsidR="00EB53CB">
        <w:rPr>
          <w:rFonts w:eastAsia="Times New Roman" w:cs="Calibri"/>
          <w:kern w:val="0"/>
          <w:lang w:val="en-GB" w:eastAsia="en-GB"/>
        </w:rPr>
        <w:t>ima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koji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se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vra</w:t>
      </w:r>
      <w:r w:rsidR="00EB53CB" w:rsidRPr="00923467">
        <w:rPr>
          <w:rFonts w:eastAsia="Times New Roman" w:cs="Calibri"/>
          <w:kern w:val="0"/>
          <w:lang w:eastAsia="en-GB"/>
        </w:rPr>
        <w:t>ć</w:t>
      </w:r>
      <w:r w:rsidR="00EB53CB">
        <w:rPr>
          <w:rFonts w:eastAsia="Times New Roman" w:cs="Calibri"/>
          <w:kern w:val="0"/>
          <w:lang w:val="en-GB" w:eastAsia="en-GB"/>
        </w:rPr>
        <w:t>aju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u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zemlju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nakon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eastAsia="en-GB"/>
        </w:rPr>
        <w:t>internacio</w:t>
      </w:r>
      <w:r w:rsidR="006A67B6">
        <w:rPr>
          <w:rFonts w:eastAsia="Times New Roman" w:cs="Calibri"/>
          <w:kern w:val="0"/>
          <w:lang w:eastAsia="en-GB"/>
        </w:rPr>
        <w:t>nal</w:t>
      </w:r>
      <w:r>
        <w:rPr>
          <w:rFonts w:eastAsia="Times New Roman" w:cs="Calibri"/>
          <w:kern w:val="0"/>
          <w:lang w:eastAsia="en-GB"/>
        </w:rPr>
        <w:t xml:space="preserve">izacije, odnosno </w:t>
      </w:r>
      <w:r w:rsidR="00EB53CB" w:rsidRPr="00923467">
        <w:rPr>
          <w:rFonts w:eastAsia="Times New Roman" w:cs="Calibri"/>
          <w:kern w:val="0"/>
          <w:lang w:eastAsia="en-GB"/>
        </w:rPr>
        <w:t>š</w:t>
      </w:r>
      <w:r w:rsidR="00EB53CB">
        <w:rPr>
          <w:rFonts w:eastAsia="Times New Roman" w:cs="Calibri"/>
          <w:kern w:val="0"/>
          <w:lang w:val="en-GB" w:eastAsia="en-GB"/>
        </w:rPr>
        <w:t>kolovanja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ili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rada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u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presti</w:t>
      </w:r>
      <w:r w:rsidR="00EB53CB" w:rsidRPr="00923467">
        <w:rPr>
          <w:rFonts w:eastAsia="Times New Roman" w:cs="Calibri"/>
          <w:kern w:val="0"/>
          <w:lang w:eastAsia="en-GB"/>
        </w:rPr>
        <w:t>ž</w:t>
      </w:r>
      <w:r w:rsidR="00EB53CB">
        <w:rPr>
          <w:rFonts w:eastAsia="Times New Roman" w:cs="Calibri"/>
          <w:kern w:val="0"/>
          <w:lang w:val="en-GB" w:eastAsia="en-GB"/>
        </w:rPr>
        <w:t>nim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svjetskim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centrima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>
        <w:rPr>
          <w:rFonts w:eastAsia="Times New Roman" w:cs="Calibri"/>
          <w:kern w:val="0"/>
          <w:lang w:eastAsia="en-GB"/>
        </w:rPr>
        <w:t xml:space="preserve">nauke i inovacija, </w:t>
      </w:r>
      <w:r w:rsidR="00EB53CB">
        <w:rPr>
          <w:rFonts w:eastAsia="Times New Roman" w:cs="Calibri"/>
          <w:kern w:val="0"/>
          <w:lang w:val="en-GB" w:eastAsia="en-GB"/>
        </w:rPr>
        <w:t>kako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bi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se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njihova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znanja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iskustva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prenijela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u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EB53CB">
        <w:rPr>
          <w:rFonts w:eastAsia="Times New Roman" w:cs="Calibri"/>
          <w:kern w:val="0"/>
          <w:lang w:val="en-GB" w:eastAsia="en-GB"/>
        </w:rPr>
        <w:t>nacionalni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0E7601">
        <w:rPr>
          <w:rFonts w:eastAsia="Times New Roman" w:cs="Calibri"/>
          <w:kern w:val="0"/>
          <w:lang w:val="en-GB" w:eastAsia="en-GB"/>
        </w:rPr>
        <w:t>inovacioni</w:t>
      </w:r>
      <w:r w:rsidR="00EB53CB" w:rsidRPr="00923467">
        <w:rPr>
          <w:rFonts w:eastAsia="Times New Roman" w:cs="Calibri"/>
          <w:kern w:val="0"/>
          <w:lang w:eastAsia="en-GB"/>
        </w:rPr>
        <w:t xml:space="preserve"> </w:t>
      </w:r>
      <w:r w:rsidR="00C326F2">
        <w:rPr>
          <w:rFonts w:eastAsia="Times New Roman" w:cs="Calibri"/>
          <w:kern w:val="0"/>
          <w:lang w:val="en-GB" w:eastAsia="en-GB"/>
        </w:rPr>
        <w:t>s</w:t>
      </w:r>
      <w:r w:rsidR="006A67B6">
        <w:rPr>
          <w:rFonts w:eastAsia="Times New Roman" w:cs="Calibri"/>
          <w:kern w:val="0"/>
          <w:lang w:val="en-GB" w:eastAsia="en-GB"/>
        </w:rPr>
        <w:t>is</w:t>
      </w:r>
      <w:r w:rsidR="00C326F2">
        <w:rPr>
          <w:rFonts w:eastAsia="Times New Roman" w:cs="Calibri"/>
          <w:kern w:val="0"/>
          <w:lang w:val="en-GB" w:eastAsia="en-GB"/>
        </w:rPr>
        <w:t>tem</w:t>
      </w:r>
      <w:r w:rsidR="00C326F2" w:rsidRPr="00923467">
        <w:rPr>
          <w:rFonts w:eastAsia="Times New Roman" w:cs="Calibri"/>
          <w:kern w:val="0"/>
          <w:lang w:eastAsia="en-GB"/>
        </w:rPr>
        <w:t>.</w:t>
      </w:r>
      <w:r w:rsidR="00C326F2">
        <w:rPr>
          <w:rFonts w:eastAsia="Times New Roman" w:cs="Calibri"/>
          <w:kern w:val="0"/>
          <w:lang w:eastAsia="en-GB"/>
        </w:rPr>
        <w:t xml:space="preserve"> Navedenu namjeru je potrebno realizovati</w:t>
      </w:r>
      <w:r w:rsidR="00C326F2" w:rsidRPr="00923467">
        <w:rPr>
          <w:rFonts w:eastAsia="Times New Roman" w:cs="Calibri"/>
          <w:kern w:val="0"/>
          <w:lang w:eastAsia="en-GB"/>
        </w:rPr>
        <w:t xml:space="preserve"> </w:t>
      </w:r>
      <w:r w:rsidR="00134BAB" w:rsidRPr="00923467">
        <w:rPr>
          <w:rFonts w:eastAsia="Times New Roman" w:cs="Calibri"/>
          <w:kern w:val="0"/>
          <w:lang w:eastAsia="en-GB"/>
        </w:rPr>
        <w:t xml:space="preserve"> </w:t>
      </w:r>
      <w:r w:rsidR="00134BAB">
        <w:rPr>
          <w:rFonts w:eastAsia="Times New Roman" w:cs="Calibri"/>
          <w:kern w:val="0"/>
          <w:lang w:val="en-GB" w:eastAsia="en-GB"/>
        </w:rPr>
        <w:t>kreiranjem</w:t>
      </w:r>
      <w:r w:rsidR="00134BAB" w:rsidRPr="00923467">
        <w:rPr>
          <w:rFonts w:eastAsia="Times New Roman" w:cs="Calibri"/>
          <w:kern w:val="0"/>
          <w:lang w:eastAsia="en-GB"/>
        </w:rPr>
        <w:t xml:space="preserve"> </w:t>
      </w:r>
      <w:r w:rsidR="00134BAB">
        <w:rPr>
          <w:rFonts w:eastAsia="Times New Roman" w:cs="Calibri"/>
          <w:kern w:val="0"/>
          <w:lang w:eastAsia="en-GB"/>
        </w:rPr>
        <w:t>prilika za angažovanje ovog visokostručnog kadra</w:t>
      </w:r>
      <w:r w:rsidR="00C326F2">
        <w:rPr>
          <w:rFonts w:eastAsia="Times New Roman" w:cs="Calibri"/>
          <w:kern w:val="0"/>
          <w:lang w:eastAsia="en-GB"/>
        </w:rPr>
        <w:t xml:space="preserve">, prije svega u okviru  </w:t>
      </w:r>
      <w:r w:rsidR="00B8625D" w:rsidRPr="00923467">
        <w:rPr>
          <w:rFonts w:eastAsia="Times New Roman" w:cs="Calibri"/>
          <w:i/>
          <w:kern w:val="0"/>
          <w:lang w:eastAsia="en-GB"/>
        </w:rPr>
        <w:t>centara izvrsnosti</w:t>
      </w:r>
      <w:r w:rsidR="00B8625D">
        <w:rPr>
          <w:rFonts w:eastAsia="Times New Roman" w:cs="Calibri"/>
          <w:kern w:val="0"/>
          <w:lang w:eastAsia="en-GB"/>
        </w:rPr>
        <w:t xml:space="preserve"> </w:t>
      </w:r>
      <w:r w:rsidR="00C326F2">
        <w:rPr>
          <w:rFonts w:eastAsia="Times New Roman" w:cs="Calibri"/>
          <w:kern w:val="0"/>
          <w:lang w:eastAsia="en-GB"/>
        </w:rPr>
        <w:t>koji mogu</w:t>
      </w:r>
      <w:r w:rsidR="00B8625D">
        <w:rPr>
          <w:rFonts w:eastAsia="Times New Roman" w:cs="Calibri"/>
          <w:kern w:val="0"/>
          <w:lang w:eastAsia="en-GB"/>
        </w:rPr>
        <w:t xml:space="preserve"> </w:t>
      </w:r>
      <w:r w:rsidR="00B8625D">
        <w:rPr>
          <w:rFonts w:eastAsia="Times New Roman" w:cs="Calibri"/>
          <w:kern w:val="0"/>
          <w:lang w:val="en-GB" w:eastAsia="en-GB"/>
        </w:rPr>
        <w:t>doprinijeti</w:t>
      </w:r>
      <w:r w:rsidR="00B8625D" w:rsidRPr="00D90486">
        <w:rPr>
          <w:rFonts w:eastAsia="Times New Roman" w:cs="Calibri"/>
          <w:kern w:val="0"/>
          <w:lang w:eastAsia="en-GB"/>
        </w:rPr>
        <w:t xml:space="preserve"> </w:t>
      </w:r>
      <w:r w:rsidR="00B8625D">
        <w:rPr>
          <w:rFonts w:eastAsia="Times New Roman" w:cs="Calibri"/>
          <w:kern w:val="0"/>
          <w:lang w:val="en-GB" w:eastAsia="en-GB"/>
        </w:rPr>
        <w:t>me</w:t>
      </w:r>
      <w:r w:rsidR="00B8625D" w:rsidRPr="00D90486">
        <w:rPr>
          <w:rFonts w:eastAsia="Times New Roman" w:cs="Calibri"/>
          <w:kern w:val="0"/>
          <w:lang w:eastAsia="en-GB"/>
        </w:rPr>
        <w:t>đ</w:t>
      </w:r>
      <w:r w:rsidR="00B8625D">
        <w:rPr>
          <w:rFonts w:eastAsia="Times New Roman" w:cs="Calibri"/>
          <w:kern w:val="0"/>
          <w:lang w:val="en-GB" w:eastAsia="en-GB"/>
        </w:rPr>
        <w:t>unarodnoj</w:t>
      </w:r>
      <w:r w:rsidR="00B8625D" w:rsidRPr="00D90486">
        <w:rPr>
          <w:rFonts w:eastAsia="Times New Roman" w:cs="Calibri"/>
          <w:kern w:val="0"/>
          <w:lang w:eastAsia="en-GB"/>
        </w:rPr>
        <w:t xml:space="preserve"> </w:t>
      </w:r>
      <w:r w:rsidR="00B8625D">
        <w:rPr>
          <w:rFonts w:eastAsia="Times New Roman" w:cs="Calibri"/>
          <w:kern w:val="0"/>
          <w:lang w:val="en-GB" w:eastAsia="en-GB"/>
        </w:rPr>
        <w:t>prepoznatljivosti</w:t>
      </w:r>
      <w:r w:rsidR="00B8625D" w:rsidRPr="00D90486">
        <w:rPr>
          <w:rFonts w:eastAsia="Times New Roman" w:cs="Calibri"/>
          <w:kern w:val="0"/>
          <w:lang w:eastAsia="en-GB"/>
        </w:rPr>
        <w:t xml:space="preserve"> </w:t>
      </w:r>
      <w:r w:rsidR="00C326F2">
        <w:rPr>
          <w:rFonts w:eastAsia="Times New Roman" w:cs="Calibri"/>
          <w:kern w:val="0"/>
          <w:lang w:eastAsia="en-GB"/>
        </w:rPr>
        <w:t xml:space="preserve">nacionalnih </w:t>
      </w:r>
      <w:r w:rsidR="00B8625D">
        <w:rPr>
          <w:rFonts w:eastAsia="Times New Roman" w:cs="Calibri"/>
          <w:kern w:val="0"/>
          <w:lang w:val="en-GB" w:eastAsia="en-GB"/>
        </w:rPr>
        <w:t>istra</w:t>
      </w:r>
      <w:r w:rsidR="00B8625D" w:rsidRPr="00D90486">
        <w:rPr>
          <w:rFonts w:eastAsia="Times New Roman" w:cs="Calibri"/>
          <w:kern w:val="0"/>
          <w:lang w:eastAsia="en-GB"/>
        </w:rPr>
        <w:t>ž</w:t>
      </w:r>
      <w:r w:rsidR="00B8625D">
        <w:rPr>
          <w:rFonts w:eastAsia="Times New Roman" w:cs="Calibri"/>
          <w:kern w:val="0"/>
          <w:lang w:val="en-GB" w:eastAsia="en-GB"/>
        </w:rPr>
        <w:t>iva</w:t>
      </w:r>
      <w:r w:rsidR="00B8625D" w:rsidRPr="00D90486">
        <w:rPr>
          <w:rFonts w:eastAsia="Times New Roman" w:cs="Calibri"/>
          <w:kern w:val="0"/>
          <w:lang w:eastAsia="en-GB"/>
        </w:rPr>
        <w:t>č</w:t>
      </w:r>
      <w:r w:rsidR="00B8625D">
        <w:rPr>
          <w:rFonts w:eastAsia="Times New Roman" w:cs="Calibri"/>
          <w:kern w:val="0"/>
          <w:lang w:val="en-GB" w:eastAsia="en-GB"/>
        </w:rPr>
        <w:t>kih</w:t>
      </w:r>
      <w:r w:rsidR="00B8625D" w:rsidRPr="00D90486">
        <w:rPr>
          <w:rFonts w:eastAsia="Times New Roman" w:cs="Calibri"/>
          <w:kern w:val="0"/>
          <w:lang w:eastAsia="en-GB"/>
        </w:rPr>
        <w:t xml:space="preserve"> </w:t>
      </w:r>
      <w:r w:rsidR="00C326F2">
        <w:rPr>
          <w:rFonts w:eastAsia="Times New Roman" w:cs="Calibri"/>
          <w:kern w:val="0"/>
          <w:lang w:val="en-GB" w:eastAsia="en-GB"/>
        </w:rPr>
        <w:t>kapaciteta</w:t>
      </w:r>
      <w:r w:rsidR="00C326F2" w:rsidRPr="00923467">
        <w:rPr>
          <w:rFonts w:eastAsia="Times New Roman" w:cs="Calibri"/>
          <w:kern w:val="0"/>
          <w:lang w:eastAsia="en-GB"/>
        </w:rPr>
        <w:t xml:space="preserve"> </w:t>
      </w:r>
      <w:r w:rsidR="00B8625D">
        <w:rPr>
          <w:rFonts w:eastAsia="Times New Roman" w:cs="Calibri"/>
          <w:kern w:val="0"/>
          <w:lang w:val="en-GB" w:eastAsia="en-GB"/>
        </w:rPr>
        <w:t>u</w:t>
      </w:r>
      <w:r w:rsidR="00B8625D" w:rsidRPr="00D90486">
        <w:rPr>
          <w:rFonts w:eastAsia="Times New Roman" w:cs="Calibri"/>
          <w:kern w:val="0"/>
          <w:lang w:eastAsia="en-GB"/>
        </w:rPr>
        <w:t xml:space="preserve"> </w:t>
      </w:r>
      <w:r w:rsidR="00B8625D">
        <w:rPr>
          <w:rFonts w:eastAsia="Times New Roman" w:cs="Calibri"/>
          <w:kern w:val="0"/>
          <w:lang w:val="en-GB" w:eastAsia="en-GB"/>
        </w:rPr>
        <w:t>prioritetnim</w:t>
      </w:r>
      <w:r w:rsidR="00B8625D" w:rsidRPr="00D90486">
        <w:rPr>
          <w:rFonts w:eastAsia="Times New Roman" w:cs="Calibri"/>
          <w:kern w:val="0"/>
          <w:lang w:eastAsia="en-GB"/>
        </w:rPr>
        <w:t xml:space="preserve"> </w:t>
      </w:r>
      <w:r w:rsidR="00B8625D">
        <w:rPr>
          <w:rFonts w:eastAsia="Times New Roman" w:cs="Calibri"/>
          <w:kern w:val="0"/>
          <w:lang w:val="en-GB" w:eastAsia="en-GB"/>
        </w:rPr>
        <w:t>oblastima</w:t>
      </w:r>
      <w:r w:rsidR="00C326F2" w:rsidRPr="00923467">
        <w:rPr>
          <w:rFonts w:eastAsia="Times New Roman" w:cs="Calibri"/>
          <w:kern w:val="0"/>
          <w:lang w:eastAsia="en-GB"/>
        </w:rPr>
        <w:t xml:space="preserve"> </w:t>
      </w:r>
      <w:r w:rsidR="00C326F2">
        <w:rPr>
          <w:rFonts w:eastAsia="Times New Roman" w:cs="Calibri"/>
          <w:kern w:val="0"/>
          <w:lang w:val="en-GB" w:eastAsia="en-GB"/>
        </w:rPr>
        <w:t>S</w:t>
      </w:r>
      <w:r w:rsidR="00C326F2" w:rsidRPr="00923467">
        <w:rPr>
          <w:rFonts w:eastAsia="Times New Roman" w:cs="Calibri"/>
          <w:kern w:val="0"/>
          <w:lang w:eastAsia="en-GB"/>
        </w:rPr>
        <w:t>3.</w:t>
      </w:r>
    </w:p>
    <w:p w14:paraId="6384E2AB" w14:textId="77777777" w:rsidR="00EB53CB" w:rsidRPr="00593418" w:rsidRDefault="00EB53CB" w:rsidP="000E7601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7BF8B66C" w14:textId="239E8722" w:rsidR="00EB53CB" w:rsidRPr="00593418" w:rsidRDefault="00771CCC" w:rsidP="00EB53CB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Pored navedenih mjera insistiraće se na konstantnom promovisanju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profesije istraživača i njen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om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afirm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isanju u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društvu</w:t>
      </w:r>
      <w:r w:rsidR="0067265D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,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kako bi se u pravcu ove profesije privukao što veći broj talenata</w:t>
      </w:r>
      <w:r w:rsidR="0067265D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, vratilo povjerenje privrede u domaću pamet i privukle investicije iz ovog sektora. Svim pomenutim 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mjerama omogućiće se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stvaranje kritične mase </w:t>
      </w:r>
      <w:r w:rsidR="0067265D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domaćih istraživača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koja je sposobna da se integriše u internacionalne, inovativne i k</w:t>
      </w:r>
      <w:r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omercijalne istraživačke tokove. </w:t>
      </w:r>
    </w:p>
    <w:p w14:paraId="5866E77B" w14:textId="77777777" w:rsidR="003A31F8" w:rsidRDefault="003A31F8" w:rsidP="0057327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0"/>
          <w:lang w:eastAsia="en-GB"/>
        </w:rPr>
      </w:pPr>
    </w:p>
    <w:p w14:paraId="625B7C47" w14:textId="2B2ACDD5" w:rsidR="00CF1D5B" w:rsidRDefault="00B8625D" w:rsidP="00923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eastAsia="Times New Roman" w:cs="Calibri"/>
          <w:kern w:val="0"/>
          <w:lang w:eastAsia="en-GB"/>
        </w:rPr>
        <w:t xml:space="preserve">Posebnu </w:t>
      </w:r>
      <w:r w:rsidR="002443D8">
        <w:rPr>
          <w:rFonts w:eastAsia="Times New Roman" w:cs="Calibri"/>
          <w:kern w:val="0"/>
          <w:lang w:eastAsia="en-GB"/>
        </w:rPr>
        <w:t xml:space="preserve">priliku </w:t>
      </w:r>
      <w:r>
        <w:rPr>
          <w:rFonts w:eastAsia="Times New Roman" w:cs="Calibri"/>
          <w:kern w:val="0"/>
          <w:lang w:eastAsia="en-GB"/>
        </w:rPr>
        <w:t>za p</w:t>
      </w:r>
      <w:r w:rsidR="0057327C">
        <w:rPr>
          <w:rFonts w:eastAsia="Times New Roman" w:cs="Calibri"/>
          <w:kern w:val="0"/>
          <w:lang w:eastAsia="en-GB"/>
        </w:rPr>
        <w:t xml:space="preserve">odsticanje izvrsnosti </w:t>
      </w:r>
      <w:r>
        <w:rPr>
          <w:rFonts w:eastAsia="Times New Roman" w:cs="Calibri"/>
          <w:kern w:val="0"/>
          <w:lang w:eastAsia="en-GB"/>
        </w:rPr>
        <w:t xml:space="preserve">i jačanje ljudskih resursa </w:t>
      </w:r>
      <w:r w:rsidR="002443D8">
        <w:rPr>
          <w:rFonts w:eastAsia="Times New Roman" w:cs="Calibri"/>
          <w:kern w:val="0"/>
          <w:lang w:eastAsia="en-GB"/>
        </w:rPr>
        <w:t>Crna Gora vezuje za SE</w:t>
      </w:r>
      <w:r w:rsidR="006A67B6">
        <w:rPr>
          <w:rFonts w:eastAsia="Times New Roman" w:cs="Calibri"/>
          <w:kern w:val="0"/>
          <w:lang w:eastAsia="en-GB"/>
        </w:rPr>
        <w:t>E</w:t>
      </w:r>
      <w:r w:rsidR="006376A5">
        <w:rPr>
          <w:rFonts w:eastAsia="Times New Roman" w:cs="Calibri"/>
          <w:kern w:val="0"/>
          <w:lang w:eastAsia="en-GB"/>
        </w:rPr>
        <w:t>I</w:t>
      </w:r>
      <w:r w:rsidR="002443D8">
        <w:rPr>
          <w:rFonts w:eastAsia="Times New Roman" w:cs="Calibri"/>
          <w:kern w:val="0"/>
          <w:lang w:eastAsia="en-GB"/>
        </w:rPr>
        <w:t>IST inicijativ</w:t>
      </w:r>
      <w:r w:rsidR="006376A5">
        <w:rPr>
          <w:rFonts w:eastAsia="Times New Roman" w:cs="Calibri"/>
          <w:kern w:val="0"/>
          <w:lang w:eastAsia="en-GB"/>
        </w:rPr>
        <w:t xml:space="preserve">u. </w:t>
      </w:r>
      <w:r w:rsidR="0008760F" w:rsidRPr="00C3231D">
        <w:rPr>
          <w:rFonts w:asciiTheme="minorHAnsi" w:hAnsiTheme="minorHAnsi"/>
        </w:rPr>
        <w:t>„</w:t>
      </w:r>
      <w:r w:rsidR="006376A5">
        <w:rPr>
          <w:rFonts w:asciiTheme="minorHAnsi" w:hAnsiTheme="minorHAnsi"/>
        </w:rPr>
        <w:t>O</w:t>
      </w:r>
      <w:r w:rsidR="0008760F" w:rsidRPr="00C3231D">
        <w:rPr>
          <w:rFonts w:asciiTheme="minorHAnsi" w:hAnsiTheme="minorHAnsi"/>
        </w:rPr>
        <w:t xml:space="preserve">dliva </w:t>
      </w:r>
      <w:r w:rsidR="0008760F">
        <w:rPr>
          <w:rFonts w:asciiTheme="minorHAnsi" w:hAnsiTheme="minorHAnsi"/>
        </w:rPr>
        <w:t>talenata“</w:t>
      </w:r>
      <w:r w:rsidR="0008760F" w:rsidRPr="00C3231D">
        <w:rPr>
          <w:rFonts w:asciiTheme="minorHAnsi" w:hAnsiTheme="minorHAnsi"/>
        </w:rPr>
        <w:t xml:space="preserve"> je jedan od najvećih </w:t>
      </w:r>
      <w:r w:rsidR="006376A5">
        <w:rPr>
          <w:rFonts w:asciiTheme="minorHAnsi" w:hAnsiTheme="minorHAnsi"/>
        </w:rPr>
        <w:t xml:space="preserve">problema </w:t>
      </w:r>
      <w:r w:rsidR="0008760F">
        <w:rPr>
          <w:rFonts w:asciiTheme="minorHAnsi" w:hAnsiTheme="minorHAnsi"/>
        </w:rPr>
        <w:t>u</w:t>
      </w:r>
      <w:r w:rsidR="0008760F" w:rsidRPr="00C3231D">
        <w:rPr>
          <w:rFonts w:asciiTheme="minorHAnsi" w:hAnsiTheme="minorHAnsi"/>
        </w:rPr>
        <w:t xml:space="preserve"> region</w:t>
      </w:r>
      <w:r w:rsidR="0008760F">
        <w:rPr>
          <w:rFonts w:asciiTheme="minorHAnsi" w:hAnsiTheme="minorHAnsi"/>
        </w:rPr>
        <w:t>u</w:t>
      </w:r>
      <w:r w:rsidR="00D639B9">
        <w:rPr>
          <w:rFonts w:asciiTheme="minorHAnsi" w:hAnsiTheme="minorHAnsi"/>
        </w:rPr>
        <w:t xml:space="preserve"> čijem rešenju SE</w:t>
      </w:r>
      <w:r w:rsidR="006A67B6">
        <w:rPr>
          <w:rFonts w:asciiTheme="minorHAnsi" w:hAnsiTheme="minorHAnsi"/>
        </w:rPr>
        <w:t>EI</w:t>
      </w:r>
      <w:r w:rsidR="006376A5">
        <w:rPr>
          <w:rFonts w:asciiTheme="minorHAnsi" w:hAnsiTheme="minorHAnsi"/>
        </w:rPr>
        <w:t>I</w:t>
      </w:r>
      <w:r w:rsidR="00D639B9">
        <w:rPr>
          <w:rFonts w:asciiTheme="minorHAnsi" w:hAnsiTheme="minorHAnsi"/>
        </w:rPr>
        <w:t xml:space="preserve">ST može doprinijeti </w:t>
      </w:r>
      <w:r w:rsidR="00F665C7">
        <w:rPr>
          <w:rFonts w:asciiTheme="minorHAnsi" w:hAnsiTheme="minorHAnsi"/>
        </w:rPr>
        <w:t>edukaci</w:t>
      </w:r>
      <w:r w:rsidR="006A67B6">
        <w:rPr>
          <w:rFonts w:asciiTheme="minorHAnsi" w:hAnsiTheme="minorHAnsi"/>
        </w:rPr>
        <w:t>j</w:t>
      </w:r>
      <w:r w:rsidR="00F665C7">
        <w:rPr>
          <w:rFonts w:asciiTheme="minorHAnsi" w:hAnsiTheme="minorHAnsi"/>
        </w:rPr>
        <w:t xml:space="preserve">om i usavršavanjem </w:t>
      </w:r>
      <w:r w:rsidR="00D639B9" w:rsidRPr="00C3231D">
        <w:rPr>
          <w:rFonts w:asciiTheme="minorHAnsi" w:hAnsiTheme="minorHAnsi"/>
        </w:rPr>
        <w:t>mladih naučnika i inženjera</w:t>
      </w:r>
      <w:r w:rsidR="00D639B9">
        <w:rPr>
          <w:rFonts w:asciiTheme="minorHAnsi" w:hAnsiTheme="minorHAnsi"/>
        </w:rPr>
        <w:t xml:space="preserve"> u</w:t>
      </w:r>
      <w:r w:rsidR="00F665C7">
        <w:rPr>
          <w:rFonts w:asciiTheme="minorHAnsi" w:hAnsiTheme="minorHAnsi"/>
        </w:rPr>
        <w:t xml:space="preserve">z korišćenje najsavremenije </w:t>
      </w:r>
      <w:r w:rsidR="00F665C7">
        <w:rPr>
          <w:rFonts w:asciiTheme="minorHAnsi" w:hAnsiTheme="minorHAnsi"/>
        </w:rPr>
        <w:lastRenderedPageBreak/>
        <w:t>labaratorijske opreme i razmjenu iskustva sa renomiranim ekspertima koj</w:t>
      </w:r>
      <w:r w:rsidR="00C64C6E">
        <w:rPr>
          <w:rFonts w:asciiTheme="minorHAnsi" w:hAnsiTheme="minorHAnsi"/>
        </w:rPr>
        <w:t>e</w:t>
      </w:r>
      <w:r w:rsidR="00F665C7">
        <w:rPr>
          <w:rFonts w:asciiTheme="minorHAnsi" w:hAnsiTheme="minorHAnsi"/>
        </w:rPr>
        <w:t xml:space="preserve"> će Institut</w:t>
      </w:r>
      <w:r w:rsidR="00C64C6E">
        <w:rPr>
          <w:rFonts w:asciiTheme="minorHAnsi" w:hAnsiTheme="minorHAnsi"/>
        </w:rPr>
        <w:t xml:space="preserve"> angažovati.</w:t>
      </w:r>
      <w:r w:rsidR="00F665C7">
        <w:rPr>
          <w:rFonts w:asciiTheme="minorHAnsi" w:hAnsiTheme="minorHAnsi"/>
        </w:rPr>
        <w:t xml:space="preserve"> Insitutut će generaln</w:t>
      </w:r>
      <w:r w:rsidR="006376A5">
        <w:rPr>
          <w:rFonts w:asciiTheme="minorHAnsi" w:hAnsiTheme="minorHAnsi"/>
        </w:rPr>
        <w:t xml:space="preserve">o pruziti priliku za istrazivanje  za oko </w:t>
      </w:r>
      <w:r w:rsidR="00F665C7">
        <w:rPr>
          <w:rFonts w:asciiTheme="minorHAnsi" w:hAnsiTheme="minorHAnsi"/>
        </w:rPr>
        <w:t>10</w:t>
      </w:r>
      <w:r w:rsidR="006376A5">
        <w:rPr>
          <w:rFonts w:asciiTheme="minorHAnsi" w:hAnsiTheme="minorHAnsi"/>
        </w:rPr>
        <w:t>00 korisnika.  Predvidjen je kapacitet za</w:t>
      </w:r>
      <w:r w:rsidR="00187077">
        <w:rPr>
          <w:rFonts w:asciiTheme="minorHAnsi" w:hAnsiTheme="minorHAnsi"/>
        </w:rPr>
        <w:t xml:space="preserve"> liječenje oko 500 pacijenata godišnje, polovinu radnog kapaciteta (vremena) posvetiti istraživanjima, naročito iz biomedicine, čime će dati </w:t>
      </w:r>
      <w:r w:rsidR="00F665C7">
        <w:rPr>
          <w:rFonts w:asciiTheme="minorHAnsi" w:hAnsiTheme="minorHAnsi"/>
        </w:rPr>
        <w:t xml:space="preserve"> </w:t>
      </w:r>
      <w:r w:rsidR="00187077">
        <w:rPr>
          <w:rFonts w:asciiTheme="minorHAnsi" w:hAnsiTheme="minorHAnsi"/>
        </w:rPr>
        <w:t xml:space="preserve">nemjerljiv doprinos unapređenju zdravstvene zaštite u Regionu. </w:t>
      </w:r>
    </w:p>
    <w:p w14:paraId="62490BB5" w14:textId="77777777" w:rsidR="00CF1D5B" w:rsidRPr="00923467" w:rsidRDefault="00CF1D5B" w:rsidP="00E11756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0"/>
          <w:lang w:eastAsia="en-GB"/>
        </w:rPr>
      </w:pPr>
    </w:p>
    <w:p w14:paraId="7E68F4FA" w14:textId="77777777" w:rsidR="007F10A0" w:rsidRPr="00593418" w:rsidRDefault="007F10A0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277BE2C7" w14:textId="72E5895E" w:rsidR="00666D62" w:rsidRPr="00593418" w:rsidRDefault="00F203C3" w:rsidP="00666D62">
      <w:pPr>
        <w:rPr>
          <w:b/>
        </w:rPr>
      </w:pPr>
      <w:bookmarkStart w:id="51" w:name="_Toc526754828"/>
      <w:r>
        <w:rPr>
          <w:b/>
        </w:rPr>
        <w:t>VII</w:t>
      </w:r>
      <w:r w:rsidR="00826F04">
        <w:rPr>
          <w:b/>
        </w:rPr>
        <w:t xml:space="preserve"> </w:t>
      </w:r>
      <w:r w:rsidR="00666D62" w:rsidRPr="00593418">
        <w:rPr>
          <w:b/>
        </w:rPr>
        <w:t>4. Jačanje javnog istraživačkog sistema</w:t>
      </w:r>
      <w:bookmarkEnd w:id="51"/>
    </w:p>
    <w:p w14:paraId="56B7A65D" w14:textId="574BC1F1" w:rsidR="00666D62" w:rsidRPr="00593418" w:rsidRDefault="00666D62" w:rsidP="00923467">
      <w:pPr>
        <w:spacing w:line="240" w:lineRule="auto"/>
        <w:jc w:val="both"/>
        <w:rPr>
          <w:lang w:eastAsia="en-GB"/>
        </w:rPr>
      </w:pPr>
      <w:r w:rsidRPr="00593418">
        <w:rPr>
          <w:lang w:eastAsia="en-GB"/>
        </w:rPr>
        <w:t xml:space="preserve">Kako bi se naučnoistraživački i inovativni kapaciteti </w:t>
      </w:r>
      <w:r w:rsidR="0067265D">
        <w:rPr>
          <w:lang w:eastAsia="en-GB"/>
        </w:rPr>
        <w:t xml:space="preserve">podigli i </w:t>
      </w:r>
      <w:r w:rsidRPr="00593418">
        <w:rPr>
          <w:lang w:eastAsia="en-GB"/>
        </w:rPr>
        <w:t xml:space="preserve">iskoristili na pravi način, neophodno je definisati </w:t>
      </w:r>
      <w:r w:rsidR="0067265D">
        <w:rPr>
          <w:lang w:eastAsia="en-GB"/>
        </w:rPr>
        <w:t xml:space="preserve">i implementirati </w:t>
      </w:r>
      <w:r w:rsidRPr="00593418">
        <w:rPr>
          <w:lang w:eastAsia="en-GB"/>
        </w:rPr>
        <w:t xml:space="preserve">model za poboljšanje </w:t>
      </w:r>
      <w:r w:rsidR="0067265D">
        <w:rPr>
          <w:lang w:eastAsia="en-GB"/>
        </w:rPr>
        <w:t xml:space="preserve">nacionalne </w:t>
      </w:r>
      <w:r w:rsidRPr="00593418">
        <w:rPr>
          <w:lang w:eastAsia="en-GB"/>
        </w:rPr>
        <w:t xml:space="preserve">istraživačke infrastrukture i otvoren pristup </w:t>
      </w:r>
      <w:r w:rsidR="0067265D">
        <w:rPr>
          <w:lang w:eastAsia="en-GB"/>
        </w:rPr>
        <w:t xml:space="preserve">istoj. </w:t>
      </w:r>
      <w:r w:rsidRPr="00593418">
        <w:rPr>
          <w:lang w:eastAsia="en-GB"/>
        </w:rPr>
        <w:t xml:space="preserve">U </w:t>
      </w:r>
      <w:r w:rsidR="0067265D">
        <w:rPr>
          <w:lang w:eastAsia="en-GB"/>
        </w:rPr>
        <w:t>ovom</w:t>
      </w:r>
      <w:r w:rsidR="0067265D" w:rsidRPr="00593418">
        <w:rPr>
          <w:lang w:eastAsia="en-GB"/>
        </w:rPr>
        <w:t xml:space="preserve"> </w:t>
      </w:r>
      <w:r w:rsidRPr="00593418">
        <w:rPr>
          <w:lang w:eastAsia="en-GB"/>
        </w:rPr>
        <w:t xml:space="preserve">kontekstu, </w:t>
      </w:r>
      <w:r w:rsidR="0067265D">
        <w:rPr>
          <w:lang w:eastAsia="en-GB"/>
        </w:rPr>
        <w:t>potrebno je realizovati</w:t>
      </w:r>
      <w:r w:rsidRPr="00593418">
        <w:rPr>
          <w:lang w:eastAsia="en-GB"/>
        </w:rPr>
        <w:t xml:space="preserve"> ulaganja u postojeće i stvaranje novih laboratorija, kao i </w:t>
      </w:r>
      <w:r w:rsidR="00093C0D" w:rsidRPr="00593418">
        <w:rPr>
          <w:lang w:eastAsia="en-GB"/>
        </w:rPr>
        <w:t>nabavk</w:t>
      </w:r>
      <w:r w:rsidR="00667EA5">
        <w:rPr>
          <w:lang w:eastAsia="en-GB"/>
        </w:rPr>
        <w:t>u</w:t>
      </w:r>
      <w:r w:rsidR="00093C0D" w:rsidRPr="00593418">
        <w:rPr>
          <w:lang w:eastAsia="en-GB"/>
        </w:rPr>
        <w:t xml:space="preserve"> </w:t>
      </w:r>
      <w:r w:rsidR="0067265D">
        <w:rPr>
          <w:lang w:eastAsia="en-GB"/>
        </w:rPr>
        <w:t>nedostajuće</w:t>
      </w:r>
      <w:r w:rsidR="0067265D" w:rsidRPr="00593418">
        <w:rPr>
          <w:lang w:eastAsia="en-GB"/>
        </w:rPr>
        <w:t xml:space="preserve"> </w:t>
      </w:r>
      <w:r w:rsidRPr="00593418">
        <w:rPr>
          <w:lang w:eastAsia="en-GB"/>
        </w:rPr>
        <w:t xml:space="preserve">opreme </w:t>
      </w:r>
      <w:r w:rsidR="0067265D">
        <w:rPr>
          <w:lang w:eastAsia="en-GB"/>
        </w:rPr>
        <w:t>koja zadovoljava najsavremenije tehnološke standarde</w:t>
      </w:r>
      <w:r w:rsidRPr="00593418">
        <w:rPr>
          <w:lang w:eastAsia="en-GB"/>
        </w:rPr>
        <w:t xml:space="preserve">. </w:t>
      </w:r>
      <w:r w:rsidR="00667EA5">
        <w:rPr>
          <w:lang w:eastAsia="en-GB"/>
        </w:rPr>
        <w:t xml:space="preserve">Istovremeno, naučnoistraživačkoj opremi koja se nalazi u posjedu javnih institucija </w:t>
      </w:r>
      <w:r w:rsidR="00A15F4C">
        <w:rPr>
          <w:lang w:eastAsia="en-GB"/>
        </w:rPr>
        <w:t xml:space="preserve">neophodno je </w:t>
      </w:r>
      <w:r w:rsidR="00667EA5">
        <w:rPr>
          <w:lang w:eastAsia="en-GB"/>
        </w:rPr>
        <w:t xml:space="preserve">omogućiti otvoren pristup od strane zainteresovanih istraživača po jasno utvrđenim pravilima struke i politike (programa) otvorenog pristupa koju je neophodno definisati.  Ovom politikom istraživačima </w:t>
      </w:r>
      <w:r w:rsidR="00A15F4C">
        <w:rPr>
          <w:lang w:eastAsia="en-GB"/>
        </w:rPr>
        <w:t>takođe</w:t>
      </w:r>
      <w:r w:rsidR="00667EA5">
        <w:rPr>
          <w:lang w:eastAsia="en-GB"/>
        </w:rPr>
        <w:t xml:space="preserve"> treba omogućiti p</w:t>
      </w:r>
      <w:r w:rsidRPr="00593418">
        <w:rPr>
          <w:lang w:eastAsia="en-GB"/>
        </w:rPr>
        <w:t>ristup</w:t>
      </w:r>
      <w:r w:rsidRPr="00593418">
        <w:t xml:space="preserve"> </w:t>
      </w:r>
      <w:r w:rsidRPr="00593418">
        <w:rPr>
          <w:lang w:eastAsia="en-GB"/>
        </w:rPr>
        <w:t>naučnoistraživačkoj literaturi, međunarodnim publikacijama, bazama naučnih podataka</w:t>
      </w:r>
      <w:r w:rsidR="00667EA5">
        <w:rPr>
          <w:lang w:eastAsia="en-GB"/>
        </w:rPr>
        <w:t xml:space="preserve"> i </w:t>
      </w:r>
      <w:r w:rsidRPr="00593418">
        <w:rPr>
          <w:lang w:eastAsia="en-GB"/>
        </w:rPr>
        <w:t>istraživačko-akademskim mrežam</w:t>
      </w:r>
      <w:r w:rsidR="00667EA5">
        <w:rPr>
          <w:lang w:eastAsia="en-GB"/>
        </w:rPr>
        <w:t xml:space="preserve">a, da bi mogli </w:t>
      </w:r>
      <w:r w:rsidRPr="00593418">
        <w:rPr>
          <w:lang w:eastAsia="en-GB"/>
        </w:rPr>
        <w:t xml:space="preserve"> kvalitetno </w:t>
      </w:r>
      <w:r w:rsidR="00667EA5">
        <w:rPr>
          <w:lang w:eastAsia="en-GB"/>
        </w:rPr>
        <w:t xml:space="preserve">da </w:t>
      </w:r>
      <w:r w:rsidRPr="00593418">
        <w:rPr>
          <w:lang w:eastAsia="en-GB"/>
        </w:rPr>
        <w:t>kori</w:t>
      </w:r>
      <w:r w:rsidR="0060145E">
        <w:rPr>
          <w:lang w:eastAsia="en-GB"/>
        </w:rPr>
        <w:t>ste</w:t>
      </w:r>
      <w:r w:rsidRPr="00593418">
        <w:rPr>
          <w:lang w:eastAsia="en-GB"/>
        </w:rPr>
        <w:t xml:space="preserve"> </w:t>
      </w:r>
      <w:r w:rsidR="00667EA5">
        <w:rPr>
          <w:lang w:eastAsia="en-GB"/>
        </w:rPr>
        <w:t xml:space="preserve">najnoviju svjetsku stručnu </w:t>
      </w:r>
      <w:r w:rsidRPr="00593418">
        <w:rPr>
          <w:lang w:eastAsia="en-GB"/>
        </w:rPr>
        <w:t>literatur</w:t>
      </w:r>
      <w:r w:rsidR="0060145E">
        <w:rPr>
          <w:lang w:eastAsia="en-GB"/>
        </w:rPr>
        <w:t>u</w:t>
      </w:r>
      <w:r w:rsidR="00667EA5">
        <w:rPr>
          <w:lang w:eastAsia="en-GB"/>
        </w:rPr>
        <w:t xml:space="preserve"> i prate </w:t>
      </w:r>
      <w:r w:rsidRPr="00593418">
        <w:rPr>
          <w:lang w:eastAsia="en-GB"/>
        </w:rPr>
        <w:t>trendov</w:t>
      </w:r>
      <w:r w:rsidR="00667EA5">
        <w:rPr>
          <w:lang w:eastAsia="en-GB"/>
        </w:rPr>
        <w:t>e</w:t>
      </w:r>
      <w:r w:rsidRPr="00593418">
        <w:rPr>
          <w:lang w:eastAsia="en-GB"/>
        </w:rPr>
        <w:t xml:space="preserve"> u nauci.</w:t>
      </w:r>
    </w:p>
    <w:p w14:paraId="5E760EDB" w14:textId="77777777" w:rsidR="00666D62" w:rsidRPr="00593418" w:rsidRDefault="00666D62" w:rsidP="00666D62">
      <w:pPr>
        <w:spacing w:after="0"/>
        <w:ind w:left="2160"/>
        <w:rPr>
          <w:lang w:eastAsia="en-GB"/>
        </w:rPr>
      </w:pPr>
    </w:p>
    <w:p w14:paraId="3AA4E970" w14:textId="369B8762" w:rsidR="00666D62" w:rsidRPr="005D0C15" w:rsidRDefault="00F203C3" w:rsidP="00666D62">
      <w:pPr>
        <w:rPr>
          <w:b/>
        </w:rPr>
      </w:pPr>
      <w:bookmarkStart w:id="52" w:name="_Toc526754829"/>
      <w:r>
        <w:rPr>
          <w:b/>
        </w:rPr>
        <w:t>VII</w:t>
      </w:r>
      <w:r w:rsidR="00826F04">
        <w:rPr>
          <w:b/>
        </w:rPr>
        <w:t xml:space="preserve"> </w:t>
      </w:r>
      <w:r w:rsidR="00666D62" w:rsidRPr="00593418">
        <w:rPr>
          <w:b/>
        </w:rPr>
        <w:t>5. Podrška inovativnim aktivnostima u privatnom sektoru</w:t>
      </w:r>
      <w:bookmarkEnd w:id="52"/>
    </w:p>
    <w:p w14:paraId="0A2FD44B" w14:textId="5254636E" w:rsidR="00666D62" w:rsidRPr="00593418" w:rsidRDefault="00666D62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U društvu zasnovanom na znanju i inovacijama, važno mjesto imaju inovativna preduzeća, koja predstavljaju najdinamičniji i najznačajniji razvojni potencijal savremene privrede. Podsticanjem inovacija u privrednom sektoru, kroz razvoj novih proizvoda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uvođenje novih i poboljšanih tehnologija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</w:t>
      </w:r>
      <w:r w:rsidR="00A15F4C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modela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organizacij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e procesa rada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, obezbjeđuje se bolja efikasnost poslovanja i konkure</w:t>
      </w:r>
      <w:r w:rsidR="0060145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n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tnost na nacionalnom i međunarodnom tržištu. Realizacijom programa finansijske podrške</w:t>
      </w:r>
      <w:r w:rsidR="0060145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kroz dodjelu grantova za unapr</w:t>
      </w:r>
      <w:r w:rsidR="00CA2124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ij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eđenje inovativnosti</w:t>
      </w:r>
      <w:r w:rsidR="0060145E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,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neophodno je doprinijeti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A15F4C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jačanj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u</w:t>
      </w:r>
      <w:r w:rsidR="00A15F4C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inovativnog potencijala preduzeća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="00A15F4C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stimuli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sati</w:t>
      </w:r>
      <w:r w:rsidR="00A15F4C"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primjen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u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inovativnih ideja i tehnologija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. Na ovaj način istovremeno se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podstič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u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ulaganja privrednog sektora 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u 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 istraživanja i 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razvoj zasnovan na </w:t>
      </w:r>
      <w:r w:rsidR="00F13759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 xml:space="preserve">sopstvenim </w:t>
      </w:r>
      <w:r w:rsidR="00A15F4C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inovacijama</w:t>
      </w:r>
      <w:r w:rsidRPr="00593418"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  <w:t>.</w:t>
      </w:r>
    </w:p>
    <w:p w14:paraId="67F00A00" w14:textId="77777777" w:rsidR="00666D62" w:rsidRPr="00593418" w:rsidRDefault="00666D62" w:rsidP="00666D62">
      <w:pPr>
        <w:pStyle w:val="Default"/>
        <w:tabs>
          <w:tab w:val="left" w:pos="1605"/>
        </w:tabs>
        <w:jc w:val="both"/>
        <w:rPr>
          <w:rFonts w:ascii="Calibri" w:eastAsia="Times New Roman" w:hAnsi="Calibri" w:cs="Calibri"/>
          <w:color w:val="auto"/>
          <w:kern w:val="0"/>
          <w:sz w:val="22"/>
          <w:szCs w:val="22"/>
          <w:lang w:eastAsia="en-GB"/>
        </w:rPr>
      </w:pPr>
    </w:p>
    <w:p w14:paraId="7EBC8A26" w14:textId="31D8E843" w:rsidR="00666D62" w:rsidRPr="00593418" w:rsidRDefault="00666D62" w:rsidP="00923467">
      <w:pPr>
        <w:spacing w:after="0" w:line="240" w:lineRule="auto"/>
        <w:jc w:val="both"/>
      </w:pPr>
      <w:r w:rsidRPr="00593418">
        <w:rPr>
          <w:lang w:eastAsia="en-GB"/>
        </w:rPr>
        <w:t xml:space="preserve">Posebna podrška biće usmjerena </w:t>
      </w:r>
      <w:r w:rsidR="004A7B90" w:rsidRPr="00593418">
        <w:rPr>
          <w:lang w:eastAsia="en-GB"/>
        </w:rPr>
        <w:t>ka razvoju</w:t>
      </w:r>
      <w:r w:rsidRPr="00593418">
        <w:rPr>
          <w:lang w:eastAsia="en-GB"/>
        </w:rPr>
        <w:t xml:space="preserve"> inkubatora i akceleratora</w:t>
      </w:r>
      <w:r w:rsidR="0060145E">
        <w:rPr>
          <w:lang w:eastAsia="en-GB"/>
        </w:rPr>
        <w:t>,</w:t>
      </w:r>
      <w:r w:rsidRPr="00593418">
        <w:rPr>
          <w:lang w:eastAsia="en-GB"/>
        </w:rPr>
        <w:t xml:space="preserve"> kako bi se omogućilo lakše </w:t>
      </w:r>
      <w:r w:rsidR="0042152F">
        <w:rPr>
          <w:lang w:eastAsia="en-GB"/>
        </w:rPr>
        <w:t xml:space="preserve"> </w:t>
      </w:r>
      <w:r w:rsidRPr="00593418">
        <w:rPr>
          <w:lang w:eastAsia="en-GB"/>
        </w:rPr>
        <w:t>osnivanje start-up i spin-off preduzeća</w:t>
      </w:r>
      <w:r w:rsidR="00F13759">
        <w:rPr>
          <w:lang w:eastAsia="en-GB"/>
        </w:rPr>
        <w:t xml:space="preserve">. U ovom kontekstu organizovaće se programi </w:t>
      </w:r>
      <w:r w:rsidRPr="00593418">
        <w:rPr>
          <w:lang w:eastAsia="en-GB"/>
        </w:rPr>
        <w:t>pružanj</w:t>
      </w:r>
      <w:r w:rsidR="00F13759">
        <w:rPr>
          <w:lang w:eastAsia="en-GB"/>
        </w:rPr>
        <w:t>a</w:t>
      </w:r>
      <w:r w:rsidRPr="00593418">
        <w:rPr>
          <w:lang w:eastAsia="en-GB"/>
        </w:rPr>
        <w:t xml:space="preserve"> savjetodavnih usluga </w:t>
      </w:r>
      <w:r w:rsidR="00F13759">
        <w:rPr>
          <w:lang w:eastAsia="en-GB"/>
        </w:rPr>
        <w:t>i</w:t>
      </w:r>
      <w:r w:rsidRPr="00593418">
        <w:rPr>
          <w:lang w:eastAsia="en-GB"/>
        </w:rPr>
        <w:t xml:space="preserve"> treninga </w:t>
      </w:r>
      <w:r w:rsidR="00F13759">
        <w:rPr>
          <w:lang w:eastAsia="en-GB"/>
        </w:rPr>
        <w:t>usmjerenih na</w:t>
      </w:r>
      <w:r w:rsidRPr="00593418">
        <w:rPr>
          <w:lang w:eastAsia="en-GB"/>
        </w:rPr>
        <w:t xml:space="preserve"> podršku </w:t>
      </w:r>
      <w:r w:rsidR="00F13759">
        <w:rPr>
          <w:lang w:eastAsia="en-GB"/>
        </w:rPr>
        <w:t xml:space="preserve">inovativnom </w:t>
      </w:r>
      <w:r w:rsidRPr="00593418">
        <w:rPr>
          <w:lang w:eastAsia="en-GB"/>
        </w:rPr>
        <w:t xml:space="preserve">preduzetništvu. </w:t>
      </w:r>
      <w:r w:rsidR="00F13759">
        <w:rPr>
          <w:lang w:eastAsia="en-GB"/>
        </w:rPr>
        <w:t xml:space="preserve">Takođe će biti implementirani programi za privlačenje investicija iz finansijskog i privatnog sektora u vidu tzv. </w:t>
      </w:r>
      <w:r w:rsidR="00F13759" w:rsidRPr="00593418">
        <w:rPr>
          <w:lang w:eastAsia="en-GB"/>
        </w:rPr>
        <w:t>rizičnog (</w:t>
      </w:r>
      <w:r w:rsidR="00F13759">
        <w:t>venture) kapitala u start-up</w:t>
      </w:r>
      <w:r w:rsidR="00F13759" w:rsidRPr="00593418">
        <w:t xml:space="preserve"> i </w:t>
      </w:r>
      <w:r w:rsidR="00F13759">
        <w:t xml:space="preserve">druga </w:t>
      </w:r>
      <w:r w:rsidR="00F13759" w:rsidRPr="00593418">
        <w:t>inovativna preduzeća</w:t>
      </w:r>
      <w:r w:rsidR="00F13759">
        <w:t xml:space="preserve">. </w:t>
      </w:r>
      <w:r w:rsidR="008C1B56">
        <w:rPr>
          <w:lang w:eastAsia="en-GB"/>
        </w:rPr>
        <w:t>Atraktivni</w:t>
      </w:r>
      <w:r w:rsidR="00F13759">
        <w:rPr>
          <w:lang w:eastAsia="en-GB"/>
        </w:rPr>
        <w:t xml:space="preserve"> ambijent inovativnom preduzetništvu generalno, obezbijediće inovirana fiskalna politika </w:t>
      </w:r>
      <w:r w:rsidR="00B65D42">
        <w:rPr>
          <w:lang w:eastAsia="en-GB"/>
        </w:rPr>
        <w:t xml:space="preserve">poreskim olakšicama za ulaganje </w:t>
      </w:r>
      <w:r w:rsidR="00B65D42" w:rsidRPr="00464720">
        <w:rPr>
          <w:lang w:eastAsia="en-GB"/>
        </w:rPr>
        <w:t xml:space="preserve">u </w:t>
      </w:r>
      <w:r w:rsidR="008C1B56" w:rsidRPr="00464720">
        <w:rPr>
          <w:lang w:eastAsia="en-GB"/>
        </w:rPr>
        <w:t>istrazivanje</w:t>
      </w:r>
      <w:r w:rsidR="008C1B56">
        <w:rPr>
          <w:lang w:eastAsia="en-GB"/>
        </w:rPr>
        <w:t xml:space="preserve"> i </w:t>
      </w:r>
      <w:r w:rsidR="00B65D42">
        <w:rPr>
          <w:lang w:eastAsia="en-GB"/>
        </w:rPr>
        <w:t>inovacije i povoljan carinski tretman opreme i materijala namijenjenih istraživanju.</w:t>
      </w:r>
    </w:p>
    <w:p w14:paraId="77FCC445" w14:textId="77777777" w:rsidR="007F10A0" w:rsidRDefault="007F10A0" w:rsidP="00666D62"/>
    <w:p w14:paraId="55A5EBAB" w14:textId="5A1B3632" w:rsidR="00666D62" w:rsidRPr="005D0C15" w:rsidRDefault="00F203C3" w:rsidP="005D0C15">
      <w:pPr>
        <w:rPr>
          <w:b/>
        </w:rPr>
      </w:pPr>
      <w:r>
        <w:rPr>
          <w:b/>
        </w:rPr>
        <w:t>VII</w:t>
      </w:r>
      <w:r w:rsidR="00A76681">
        <w:rPr>
          <w:b/>
        </w:rPr>
        <w:t xml:space="preserve"> </w:t>
      </w:r>
      <w:r w:rsidR="005D0C15">
        <w:rPr>
          <w:b/>
        </w:rPr>
        <w:t>6. Finansijski okvir</w:t>
      </w:r>
    </w:p>
    <w:p w14:paraId="422258D0" w14:textId="2176229C" w:rsidR="00666D62" w:rsidRPr="00593418" w:rsidRDefault="00666D62" w:rsidP="00977A82">
      <w:pPr>
        <w:suppressAutoHyphens w:val="0"/>
        <w:spacing w:after="0" w:line="240" w:lineRule="auto"/>
        <w:jc w:val="both"/>
        <w:rPr>
          <w:rFonts w:eastAsia="Times New Roman" w:cs="Calibri"/>
          <w:kern w:val="0"/>
          <w:lang w:eastAsia="en-GB"/>
        </w:rPr>
      </w:pPr>
      <w:r w:rsidRPr="00464720">
        <w:rPr>
          <w:rFonts w:eastAsia="Times New Roman" w:cs="Calibri"/>
          <w:kern w:val="0"/>
          <w:lang w:eastAsia="en-GB"/>
        </w:rPr>
        <w:t xml:space="preserve">Za period </w:t>
      </w:r>
      <w:r w:rsidR="0070474A">
        <w:rPr>
          <w:rFonts w:eastAsia="Times New Roman" w:cs="Calibri"/>
          <w:kern w:val="0"/>
          <w:lang w:eastAsia="en-GB"/>
        </w:rPr>
        <w:t>od 2018</w:t>
      </w:r>
      <w:r w:rsidR="0060145E" w:rsidRPr="00464720">
        <w:rPr>
          <w:rFonts w:eastAsia="Times New Roman" w:cs="Calibri"/>
          <w:kern w:val="0"/>
          <w:lang w:eastAsia="en-GB"/>
        </w:rPr>
        <w:t>.</w:t>
      </w:r>
      <w:r w:rsidRPr="00464720">
        <w:rPr>
          <w:rFonts w:eastAsia="Times New Roman" w:cs="Calibri"/>
          <w:kern w:val="0"/>
          <w:lang w:eastAsia="en-GB"/>
        </w:rPr>
        <w:t xml:space="preserve"> do 2024</w:t>
      </w:r>
      <w:r w:rsidR="0060145E" w:rsidRPr="00464720">
        <w:rPr>
          <w:rFonts w:eastAsia="Times New Roman" w:cs="Calibri"/>
          <w:kern w:val="0"/>
          <w:lang w:eastAsia="en-GB"/>
        </w:rPr>
        <w:t>.</w:t>
      </w:r>
      <w:r w:rsidRPr="00464720">
        <w:rPr>
          <w:rFonts w:eastAsia="Times New Roman" w:cs="Calibri"/>
          <w:kern w:val="0"/>
          <w:lang w:eastAsia="en-GB"/>
        </w:rPr>
        <w:t xml:space="preserve"> </w:t>
      </w:r>
      <w:r w:rsidR="0042152F" w:rsidRPr="00464720">
        <w:rPr>
          <w:rFonts w:eastAsia="Times New Roman" w:cs="Calibri"/>
          <w:kern w:val="0"/>
          <w:lang w:eastAsia="en-GB"/>
        </w:rPr>
        <w:t xml:space="preserve">Strategija pametne specijalizacije </w:t>
      </w:r>
      <w:r w:rsidR="00A02200" w:rsidRPr="00464720">
        <w:rPr>
          <w:rFonts w:eastAsia="Times New Roman" w:cs="Calibri"/>
          <w:kern w:val="0"/>
          <w:lang w:eastAsia="en-GB"/>
        </w:rPr>
        <w:t>S3</w:t>
      </w:r>
      <w:r w:rsidRPr="00464720">
        <w:rPr>
          <w:rFonts w:eastAsia="Times New Roman" w:cs="Calibri"/>
          <w:kern w:val="0"/>
          <w:lang w:eastAsia="en-GB"/>
        </w:rPr>
        <w:t xml:space="preserve"> će služiti kao osnova za </w:t>
      </w:r>
      <w:r w:rsidR="009C0499" w:rsidRPr="00464720">
        <w:rPr>
          <w:rFonts w:eastAsia="Times New Roman" w:cs="Calibri"/>
          <w:kern w:val="0"/>
          <w:lang w:eastAsia="en-GB"/>
        </w:rPr>
        <w:t xml:space="preserve">tematski fokusirano </w:t>
      </w:r>
      <w:r w:rsidRPr="00464720">
        <w:rPr>
          <w:rFonts w:eastAsia="Times New Roman" w:cs="Calibri"/>
          <w:kern w:val="0"/>
          <w:lang w:eastAsia="en-GB"/>
        </w:rPr>
        <w:t>ulaganje u istraživanja, inovacije i razvoj</w:t>
      </w:r>
      <w:r w:rsidR="00E4408E" w:rsidRPr="00464720">
        <w:rPr>
          <w:rFonts w:eastAsia="Times New Roman" w:cs="Calibri"/>
          <w:kern w:val="0"/>
          <w:lang w:eastAsia="en-GB"/>
        </w:rPr>
        <w:t xml:space="preserve"> </w:t>
      </w:r>
      <w:r w:rsidR="009C0499" w:rsidRPr="00464720">
        <w:rPr>
          <w:rFonts w:eastAsia="Times New Roman" w:cs="Calibri"/>
          <w:kern w:val="0"/>
          <w:lang w:eastAsia="en-GB"/>
        </w:rPr>
        <w:t xml:space="preserve"> </w:t>
      </w:r>
      <w:r w:rsidR="00E4408E" w:rsidRPr="00464720">
        <w:rPr>
          <w:rFonts w:eastAsia="Times New Roman" w:cs="Calibri"/>
          <w:kern w:val="0"/>
          <w:lang w:eastAsia="en-GB"/>
        </w:rPr>
        <w:t>(Tabela 7</w:t>
      </w:r>
      <w:r w:rsidR="0053137D" w:rsidRPr="00464720">
        <w:rPr>
          <w:rFonts w:eastAsia="Times New Roman" w:cs="Calibri"/>
          <w:kern w:val="0"/>
          <w:lang w:eastAsia="en-GB"/>
        </w:rPr>
        <w:t>.)</w:t>
      </w:r>
      <w:r w:rsidRPr="00464720">
        <w:rPr>
          <w:rFonts w:eastAsia="Times New Roman" w:cs="Calibri"/>
          <w:kern w:val="0"/>
          <w:lang w:eastAsia="en-GB"/>
        </w:rPr>
        <w:t xml:space="preserve">. U ovom periodu planirane su investicije u vrijednosti od </w:t>
      </w:r>
      <w:r w:rsidR="00C30B3F" w:rsidRPr="00464720">
        <w:rPr>
          <w:rFonts w:eastAsia="Times New Roman" w:cs="Calibri"/>
          <w:kern w:val="0"/>
          <w:lang w:eastAsia="en-GB"/>
        </w:rPr>
        <w:t>114</w:t>
      </w:r>
      <w:r w:rsidRPr="00464720">
        <w:rPr>
          <w:rFonts w:eastAsia="Times New Roman" w:cs="Calibri"/>
          <w:kern w:val="0"/>
          <w:lang w:eastAsia="en-GB"/>
        </w:rPr>
        <w:t>.5 miliona eura. Od ukupno planiranih f</w:t>
      </w:r>
      <w:r w:rsidR="00977A82" w:rsidRPr="00464720">
        <w:rPr>
          <w:rFonts w:eastAsia="Times New Roman" w:cs="Calibri"/>
          <w:kern w:val="0"/>
          <w:lang w:eastAsia="en-GB"/>
        </w:rPr>
        <w:t xml:space="preserve">inansijskih sredstava iz </w:t>
      </w:r>
      <w:r w:rsidRPr="00464720">
        <w:rPr>
          <w:rFonts w:eastAsia="Times New Roman" w:cs="Calibri"/>
          <w:kern w:val="0"/>
          <w:lang w:eastAsia="en-GB"/>
        </w:rPr>
        <w:t xml:space="preserve">budžeta biće obezbijeđeno </w:t>
      </w:r>
      <w:r w:rsidR="00C30B3F" w:rsidRPr="00464720">
        <w:rPr>
          <w:rFonts w:eastAsia="Times New Roman" w:cs="Calibri"/>
          <w:kern w:val="0"/>
          <w:lang w:eastAsia="en-GB"/>
        </w:rPr>
        <w:t>75.3</w:t>
      </w:r>
      <w:r w:rsidRPr="00464720">
        <w:rPr>
          <w:rFonts w:eastAsia="Times New Roman" w:cs="Calibri"/>
          <w:kern w:val="0"/>
          <w:lang w:eastAsia="en-GB"/>
        </w:rPr>
        <w:t xml:space="preserve"> miliona eura</w:t>
      </w:r>
      <w:r w:rsidR="0060145E" w:rsidRPr="00464720">
        <w:rPr>
          <w:rFonts w:eastAsia="Times New Roman" w:cs="Calibri"/>
          <w:kern w:val="0"/>
          <w:lang w:eastAsia="en-GB"/>
        </w:rPr>
        <w:t>,</w:t>
      </w:r>
      <w:r w:rsidRPr="00464720">
        <w:rPr>
          <w:rFonts w:eastAsia="Times New Roman" w:cs="Calibri"/>
          <w:kern w:val="0"/>
          <w:lang w:eastAsia="en-GB"/>
        </w:rPr>
        <w:t xml:space="preserve"> dok </w:t>
      </w:r>
      <w:r w:rsidR="0060145E" w:rsidRPr="00464720">
        <w:rPr>
          <w:rFonts w:eastAsia="Times New Roman" w:cs="Calibri"/>
          <w:kern w:val="0"/>
          <w:lang w:eastAsia="en-GB"/>
        </w:rPr>
        <w:t xml:space="preserve">se </w:t>
      </w:r>
      <w:r w:rsidR="00B65D42" w:rsidRPr="00464720">
        <w:rPr>
          <w:rFonts w:eastAsia="Times New Roman" w:cs="Calibri"/>
          <w:kern w:val="0"/>
          <w:lang w:eastAsia="en-GB"/>
        </w:rPr>
        <w:t xml:space="preserve">ulaganja </w:t>
      </w:r>
      <w:r w:rsidRPr="00464720">
        <w:rPr>
          <w:rFonts w:eastAsia="Times New Roman" w:cs="Calibri"/>
          <w:kern w:val="0"/>
          <w:lang w:eastAsia="en-GB"/>
        </w:rPr>
        <w:t xml:space="preserve">iz privatnog sektora </w:t>
      </w:r>
      <w:r w:rsidR="00B65D42" w:rsidRPr="00464720">
        <w:rPr>
          <w:rFonts w:eastAsia="Times New Roman" w:cs="Calibri"/>
          <w:kern w:val="0"/>
          <w:lang w:eastAsia="en-GB"/>
        </w:rPr>
        <w:t xml:space="preserve">projektuju na </w:t>
      </w:r>
      <w:r w:rsidR="00C30B3F" w:rsidRPr="00464720">
        <w:rPr>
          <w:rFonts w:eastAsia="Times New Roman" w:cs="Calibri"/>
          <w:kern w:val="0"/>
          <w:lang w:eastAsia="en-GB"/>
        </w:rPr>
        <w:t>25</w:t>
      </w:r>
      <w:r w:rsidRPr="00464720">
        <w:rPr>
          <w:rFonts w:eastAsia="Times New Roman" w:cs="Calibri"/>
          <w:kern w:val="0"/>
          <w:lang w:eastAsia="en-GB"/>
        </w:rPr>
        <w:t xml:space="preserve"> miliona eura</w:t>
      </w:r>
      <w:r w:rsidR="00B65D42" w:rsidRPr="00464720">
        <w:rPr>
          <w:rFonts w:eastAsia="Times New Roman" w:cs="Calibri"/>
          <w:kern w:val="0"/>
          <w:lang w:eastAsia="en-GB"/>
        </w:rPr>
        <w:t xml:space="preserve">. </w:t>
      </w:r>
      <w:r w:rsidR="00B65D42" w:rsidRPr="00464720">
        <w:t>I</w:t>
      </w:r>
      <w:r w:rsidR="00977A82" w:rsidRPr="00464720">
        <w:t xml:space="preserve">z </w:t>
      </w:r>
      <w:r w:rsidR="00977A82" w:rsidRPr="00464720">
        <w:rPr>
          <w:rFonts w:eastAsia="Times New Roman" w:cs="Calibri"/>
          <w:kern w:val="0"/>
          <w:lang w:eastAsia="en-GB"/>
        </w:rPr>
        <w:t xml:space="preserve">EU fondova </w:t>
      </w:r>
      <w:r w:rsidR="00B65D42" w:rsidRPr="00464720">
        <w:rPr>
          <w:rFonts w:eastAsia="Times New Roman" w:cs="Calibri"/>
          <w:kern w:val="0"/>
          <w:lang w:eastAsia="en-GB"/>
        </w:rPr>
        <w:t>očekuju se sredstva od</w:t>
      </w:r>
      <w:r w:rsidR="00977A82" w:rsidRPr="00464720">
        <w:rPr>
          <w:rFonts w:eastAsia="Times New Roman" w:cs="Calibri"/>
          <w:kern w:val="0"/>
          <w:lang w:eastAsia="en-GB"/>
        </w:rPr>
        <w:t xml:space="preserve"> oko 12 miliona</w:t>
      </w:r>
      <w:r w:rsidR="00B65D42" w:rsidRPr="00464720">
        <w:rPr>
          <w:rFonts w:eastAsia="Times New Roman" w:cs="Calibri"/>
          <w:kern w:val="0"/>
          <w:lang w:eastAsia="en-GB"/>
        </w:rPr>
        <w:t xml:space="preserve"> eura,</w:t>
      </w:r>
      <w:r w:rsidR="00977A82" w:rsidRPr="00464720">
        <w:rPr>
          <w:rFonts w:eastAsia="Times New Roman" w:cs="Calibri"/>
          <w:kern w:val="0"/>
          <w:lang w:eastAsia="en-GB"/>
        </w:rPr>
        <w:t xml:space="preserve"> </w:t>
      </w:r>
      <w:r w:rsidR="0060145E" w:rsidRPr="00464720">
        <w:rPr>
          <w:rFonts w:eastAsia="Times New Roman" w:cs="Calibri"/>
          <w:kern w:val="0"/>
          <w:lang w:eastAsia="en-GB"/>
        </w:rPr>
        <w:t>a</w:t>
      </w:r>
      <w:r w:rsidR="00977A82" w:rsidRPr="00464720">
        <w:rPr>
          <w:rFonts w:eastAsia="Times New Roman" w:cs="Calibri"/>
          <w:kern w:val="0"/>
          <w:lang w:eastAsia="en-GB"/>
        </w:rPr>
        <w:t xml:space="preserve"> od ostalih međunarodnih organizacija </w:t>
      </w:r>
      <w:r w:rsidR="009542A2" w:rsidRPr="00464720">
        <w:rPr>
          <w:rFonts w:eastAsia="Times New Roman" w:cs="Calibri"/>
          <w:kern w:val="0"/>
          <w:lang w:eastAsia="en-GB"/>
        </w:rPr>
        <w:t>i</w:t>
      </w:r>
      <w:r w:rsidR="00977A82" w:rsidRPr="00464720">
        <w:rPr>
          <w:rFonts w:eastAsia="Times New Roman" w:cs="Calibri"/>
          <w:kern w:val="0"/>
          <w:lang w:eastAsia="en-GB"/>
        </w:rPr>
        <w:t xml:space="preserve"> programa </w:t>
      </w:r>
      <w:r w:rsidR="00B65D42" w:rsidRPr="00464720">
        <w:rPr>
          <w:rFonts w:eastAsia="Times New Roman" w:cs="Calibri"/>
          <w:kern w:val="0"/>
          <w:lang w:eastAsia="en-GB"/>
        </w:rPr>
        <w:t xml:space="preserve">sredstva od </w:t>
      </w:r>
      <w:r w:rsidR="00977A82" w:rsidRPr="00464720">
        <w:rPr>
          <w:rFonts w:eastAsia="Times New Roman" w:cs="Calibri"/>
          <w:kern w:val="0"/>
          <w:lang w:eastAsia="en-GB"/>
        </w:rPr>
        <w:t>oko 2 milona</w:t>
      </w:r>
      <w:r w:rsidR="00B65D42" w:rsidRPr="00464720">
        <w:rPr>
          <w:rFonts w:eastAsia="Times New Roman" w:cs="Calibri"/>
          <w:kern w:val="0"/>
          <w:lang w:eastAsia="en-GB"/>
        </w:rPr>
        <w:t xml:space="preserve"> eura</w:t>
      </w:r>
      <w:r w:rsidR="00977A82" w:rsidRPr="00464720">
        <w:rPr>
          <w:rFonts w:eastAsia="Times New Roman" w:cs="Calibri"/>
          <w:kern w:val="0"/>
          <w:lang w:eastAsia="en-GB"/>
        </w:rPr>
        <w:t xml:space="preserve">. </w:t>
      </w:r>
      <w:r w:rsidR="00B65D42" w:rsidRPr="00464720">
        <w:rPr>
          <w:rFonts w:eastAsia="Times New Roman" w:cs="Calibri"/>
          <w:kern w:val="0"/>
          <w:lang w:eastAsia="en-GB"/>
        </w:rPr>
        <w:t xml:space="preserve">Planira se da se pretežni dio navedenih </w:t>
      </w:r>
      <w:r w:rsidR="00977A82" w:rsidRPr="00464720">
        <w:rPr>
          <w:rFonts w:eastAsia="Times New Roman" w:cs="Calibri"/>
          <w:kern w:val="0"/>
          <w:lang w:eastAsia="en-GB"/>
        </w:rPr>
        <w:t xml:space="preserve">sredstva </w:t>
      </w:r>
      <w:r w:rsidR="00B65D42" w:rsidRPr="00464720">
        <w:rPr>
          <w:rFonts w:eastAsia="Times New Roman" w:cs="Calibri"/>
          <w:kern w:val="0"/>
          <w:lang w:eastAsia="en-GB"/>
        </w:rPr>
        <w:t>usmjeri na</w:t>
      </w:r>
      <w:r w:rsidR="00977A82" w:rsidRPr="00464720">
        <w:rPr>
          <w:rFonts w:eastAsia="Times New Roman" w:cs="Calibri"/>
          <w:kern w:val="0"/>
          <w:lang w:eastAsia="en-GB"/>
        </w:rPr>
        <w:t xml:space="preserve"> </w:t>
      </w:r>
      <w:r w:rsidRPr="00464720">
        <w:rPr>
          <w:rFonts w:eastAsia="Times New Roman" w:cs="Calibri"/>
          <w:kern w:val="0"/>
          <w:lang w:eastAsia="en-GB"/>
        </w:rPr>
        <w:t xml:space="preserve">razvoj </w:t>
      </w:r>
      <w:r w:rsidR="00B65D42" w:rsidRPr="00464720">
        <w:rPr>
          <w:rFonts w:eastAsia="Times New Roman" w:cs="Calibri"/>
          <w:kern w:val="0"/>
          <w:lang w:eastAsia="en-GB"/>
        </w:rPr>
        <w:t xml:space="preserve">i istraživačko-inovativne projekte  </w:t>
      </w:r>
      <w:r w:rsidR="00977A82" w:rsidRPr="00464720">
        <w:rPr>
          <w:rFonts w:eastAsia="Times New Roman" w:cs="Calibri"/>
          <w:kern w:val="0"/>
          <w:lang w:eastAsia="en-GB"/>
        </w:rPr>
        <w:t>id</w:t>
      </w:r>
      <w:r w:rsidRPr="00464720">
        <w:rPr>
          <w:rFonts w:eastAsia="Times New Roman" w:cs="Calibri"/>
          <w:kern w:val="0"/>
          <w:lang w:eastAsia="en-GB"/>
        </w:rPr>
        <w:t>entifikovanih prioritetnih oblasti</w:t>
      </w:r>
      <w:r w:rsidR="00B65D42" w:rsidRPr="00464720">
        <w:rPr>
          <w:rFonts w:eastAsia="Times New Roman" w:cs="Calibri"/>
          <w:kern w:val="0"/>
          <w:lang w:eastAsia="en-GB"/>
        </w:rPr>
        <w:t xml:space="preserve"> S3</w:t>
      </w:r>
      <w:r w:rsidRPr="00464720">
        <w:rPr>
          <w:rFonts w:eastAsia="Times New Roman" w:cs="Calibri"/>
          <w:kern w:val="0"/>
          <w:lang w:eastAsia="en-GB"/>
        </w:rPr>
        <w:t>.</w:t>
      </w:r>
      <w:r w:rsidRPr="00593418">
        <w:rPr>
          <w:rFonts w:eastAsia="Times New Roman" w:cs="Calibri"/>
          <w:kern w:val="0"/>
          <w:lang w:eastAsia="en-GB"/>
        </w:rPr>
        <w:t xml:space="preserve"> </w:t>
      </w:r>
    </w:p>
    <w:p w14:paraId="2B976981" w14:textId="12193E5C" w:rsidR="00F336FB" w:rsidRDefault="00F336FB" w:rsidP="00F336FB">
      <w:pPr>
        <w:suppressAutoHyphens w:val="0"/>
        <w:spacing w:after="0" w:line="240" w:lineRule="auto"/>
        <w:rPr>
          <w:rFonts w:eastAsia="Times New Roman" w:cs="Calibri"/>
          <w:b/>
          <w:kern w:val="0"/>
          <w:lang w:eastAsia="en-GB"/>
        </w:rPr>
      </w:pPr>
    </w:p>
    <w:p w14:paraId="6D79FB2D" w14:textId="77777777" w:rsidR="000A265A" w:rsidRDefault="000A265A" w:rsidP="00F336FB">
      <w:pPr>
        <w:suppressAutoHyphens w:val="0"/>
        <w:spacing w:after="0" w:line="240" w:lineRule="auto"/>
        <w:rPr>
          <w:rFonts w:eastAsia="Times New Roman" w:cs="Calibri"/>
          <w:b/>
          <w:kern w:val="0"/>
          <w:lang w:eastAsia="en-GB"/>
        </w:rPr>
      </w:pPr>
    </w:p>
    <w:p w14:paraId="3F2DA9AD" w14:textId="77777777" w:rsidR="0096244C" w:rsidRDefault="0096244C" w:rsidP="005D0C15">
      <w:pPr>
        <w:suppressAutoHyphens w:val="0"/>
        <w:spacing w:after="0" w:line="240" w:lineRule="auto"/>
        <w:jc w:val="center"/>
        <w:rPr>
          <w:rFonts w:eastAsia="Times New Roman" w:cs="Calibri"/>
          <w:b/>
          <w:kern w:val="0"/>
          <w:lang w:eastAsia="en-GB"/>
        </w:rPr>
      </w:pPr>
    </w:p>
    <w:p w14:paraId="2936678F" w14:textId="61601C61" w:rsidR="00A76681" w:rsidRPr="00F336FB" w:rsidRDefault="00F336FB" w:rsidP="005D0C15">
      <w:pPr>
        <w:suppressAutoHyphens w:val="0"/>
        <w:spacing w:after="0" w:line="240" w:lineRule="auto"/>
        <w:jc w:val="center"/>
        <w:rPr>
          <w:rFonts w:eastAsia="Times New Roman" w:cs="Calibri"/>
          <w:b/>
          <w:kern w:val="0"/>
          <w:lang w:eastAsia="en-GB"/>
        </w:rPr>
      </w:pPr>
      <w:r>
        <w:rPr>
          <w:rFonts w:eastAsia="Times New Roman" w:cs="Calibri"/>
          <w:b/>
          <w:kern w:val="0"/>
          <w:lang w:eastAsia="en-GB"/>
        </w:rPr>
        <w:lastRenderedPageBreak/>
        <w:t>T</w:t>
      </w:r>
      <w:r w:rsidR="00E4408E" w:rsidRPr="00F336FB">
        <w:rPr>
          <w:rFonts w:eastAsia="Times New Roman" w:cs="Calibri"/>
          <w:b/>
          <w:kern w:val="0"/>
          <w:lang w:eastAsia="en-GB"/>
        </w:rPr>
        <w:t>abela 7</w:t>
      </w:r>
      <w:r w:rsidR="0070474A" w:rsidRPr="00F336FB">
        <w:rPr>
          <w:rFonts w:eastAsia="Times New Roman" w:cs="Calibri"/>
          <w:b/>
          <w:kern w:val="0"/>
          <w:lang w:eastAsia="en-GB"/>
        </w:rPr>
        <w:t>. Finansijski okvir za S3 (2018</w:t>
      </w:r>
      <w:r w:rsidR="00A76681" w:rsidRPr="00F336FB">
        <w:rPr>
          <w:rFonts w:eastAsia="Times New Roman" w:cs="Calibri"/>
          <w:b/>
          <w:kern w:val="0"/>
          <w:lang w:eastAsia="en-GB"/>
        </w:rPr>
        <w:t>-2024)</w:t>
      </w:r>
    </w:p>
    <w:tbl>
      <w:tblPr>
        <w:tblpPr w:leftFromText="180" w:rightFromText="180" w:horzAnchor="margin" w:tblpXSpec="center" w:tblpY="599"/>
        <w:tblW w:w="5000" w:type="pct"/>
        <w:tblLook w:val="04A0" w:firstRow="1" w:lastRow="0" w:firstColumn="1" w:lastColumn="0" w:noHBand="0" w:noVBand="1"/>
      </w:tblPr>
      <w:tblGrid>
        <w:gridCol w:w="2588"/>
        <w:gridCol w:w="1533"/>
        <w:gridCol w:w="1764"/>
        <w:gridCol w:w="1553"/>
        <w:gridCol w:w="1568"/>
      </w:tblGrid>
      <w:tr w:rsidR="005D0C15" w:rsidRPr="00C30B3F" w14:paraId="4470AE03" w14:textId="77777777" w:rsidTr="005D0C15">
        <w:trPr>
          <w:trHeight w:val="300"/>
        </w:trPr>
        <w:tc>
          <w:tcPr>
            <w:tcW w:w="14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923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bookmarkStart w:id="53" w:name="RANGE!A85"/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 xml:space="preserve">Razvojne politike </w:t>
            </w:r>
            <w:bookmarkEnd w:id="53"/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5AB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Izvor sredstava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2AF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Institucije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5C0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 xml:space="preserve">Period </w:t>
            </w:r>
          </w:p>
        </w:tc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AD8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Prosječno godišnje</w:t>
            </w:r>
          </w:p>
        </w:tc>
      </w:tr>
      <w:tr w:rsidR="005D0C15" w:rsidRPr="00C30B3F" w14:paraId="219C8FF1" w14:textId="77777777" w:rsidTr="005D0C15">
        <w:trPr>
          <w:trHeight w:val="315"/>
        </w:trPr>
        <w:tc>
          <w:tcPr>
            <w:tcW w:w="14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090DE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7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25E14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FFF67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FFF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2018</w:t>
            </w: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-2024</w:t>
            </w:r>
          </w:p>
        </w:tc>
        <w:tc>
          <w:tcPr>
            <w:tcW w:w="8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96FA3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</w:tr>
      <w:tr w:rsidR="005D0C15" w:rsidRPr="00C30B3F" w14:paraId="7A9E1EC2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CE3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00A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E28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235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F939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63CC27C0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F1F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489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MNE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E933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MNA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3EA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8,520,000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EFD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43B543C3" w14:textId="77777777" w:rsidTr="005D0C15">
        <w:trPr>
          <w:trHeight w:val="6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D049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en-GB"/>
              </w:rPr>
            </w:pP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Ja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>č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anje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saradnje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akademskog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i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privrednog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sektora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C4AB3" w14:textId="77777777" w:rsidR="005D0C15" w:rsidRPr="00923467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882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MEK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F7F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2,520,000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650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0302C472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6C9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24D7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1E3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Ostala ministarstva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73E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4,000,000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5672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5371751F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37004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1E2B0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223F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Kapitalni budžet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DD7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8,450,000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58E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4,528,333</w:t>
            </w:r>
          </w:p>
        </w:tc>
      </w:tr>
      <w:tr w:rsidR="005D0C15" w:rsidRPr="00C30B3F" w14:paraId="3A7A8D46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707B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E9E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EU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042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IPA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80C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680,000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BA9B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1CD2A178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8A8E53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2BC1B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02E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EU okvirni programi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CFA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3,000,000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A05E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6AC50B39" w14:textId="77777777" w:rsidTr="00F336FB">
        <w:trPr>
          <w:trHeight w:val="315"/>
        </w:trPr>
        <w:tc>
          <w:tcPr>
            <w:tcW w:w="14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9293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452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B92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403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27,170,000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8F6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5013AD44" w14:textId="77777777" w:rsidTr="005D0C15">
        <w:trPr>
          <w:trHeight w:val="300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7023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ADE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MNE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6F4D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MNA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994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8E3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3BA2910B" w14:textId="77777777" w:rsidTr="005D0C15">
        <w:trPr>
          <w:trHeight w:val="9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DDC6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it-IT" w:eastAsia="en-GB"/>
              </w:rPr>
            </w:pPr>
            <w:r w:rsidRPr="00923467">
              <w:rPr>
                <w:rFonts w:eastAsia="Times New Roman" w:cs="Times New Roman"/>
                <w:color w:val="000000"/>
                <w:kern w:val="0"/>
                <w:lang w:val="it-IT" w:eastAsia="en-GB"/>
              </w:rPr>
              <w:t>Unprijeđenje pristupa međunarodnim centrima znanja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AC720" w14:textId="77777777" w:rsidR="005D0C15" w:rsidRPr="00923467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it-IT" w:eastAsia="en-GB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5FA6F" w14:textId="77777777" w:rsidR="005D0C15" w:rsidRPr="00923467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it-IT" w:eastAsia="en-GB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25B3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17,910,000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38C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3,685,000</w:t>
            </w:r>
          </w:p>
        </w:tc>
      </w:tr>
      <w:tr w:rsidR="005D0C15" w:rsidRPr="00C30B3F" w14:paraId="33432252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24A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8D83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A8D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25AD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503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250BF0B3" w14:textId="77777777" w:rsidTr="005D0C15">
        <w:trPr>
          <w:trHeight w:val="300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88784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445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EU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AF0C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IPA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395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3,900,000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52EAF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002C9140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1DD20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351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E30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ERASMUS+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08E8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300,000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38F57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27A4B1AD" w14:textId="77777777" w:rsidTr="005D0C15">
        <w:trPr>
          <w:trHeight w:val="315"/>
        </w:trPr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CCE34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7AF8C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822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C20C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22,110,000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022D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5A93DFB2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F62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8B8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MNE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F92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MNA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AE3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6,213,000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99D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10DD1700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7C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ACE84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3CB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Min. Prosvjete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5E5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2,000,000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93E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7FB92130" w14:textId="77777777" w:rsidTr="005D0C15">
        <w:trPr>
          <w:trHeight w:val="6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22EF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en-GB"/>
              </w:rPr>
            </w:pP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Ja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>č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anje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ljudskih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resursa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u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oblasti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istra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>ž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ivanja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i</w:t>
            </w:r>
            <w:r w:rsidRPr="00923467">
              <w:rPr>
                <w:rFonts w:eastAsia="Times New Roman" w:cs="Times New Roman"/>
                <w:color w:val="000000"/>
                <w:kern w:val="0"/>
                <w:lang w:eastAsia="en-GB"/>
              </w:rPr>
              <w:t xml:space="preserve"> </w:t>
            </w:r>
            <w:r w:rsidRPr="00923467">
              <w:rPr>
                <w:rFonts w:eastAsia="Times New Roman" w:cs="Times New Roman"/>
                <w:color w:val="000000"/>
                <w:kern w:val="0"/>
                <w:lang w:val="pt-BR" w:eastAsia="en-GB"/>
              </w:rPr>
              <w:t>inovacija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ECA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EU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E8D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IPA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5B7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1,117,000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A1C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1,688,333</w:t>
            </w:r>
          </w:p>
        </w:tc>
      </w:tr>
      <w:tr w:rsidR="005D0C15" w:rsidRPr="00C30B3F" w14:paraId="1D24E4B2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1CB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A1A2A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63D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EU okvirni programi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443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500,000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CE4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6069FE18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452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9D6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F65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ERASMUS+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7E5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300,000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54D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695CA392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C2D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E5E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B32D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7A2C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10,130,000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C60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4BBBD16E" w14:textId="77777777" w:rsidTr="005D0C15">
        <w:trPr>
          <w:trHeight w:val="300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136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FC9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MNE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78A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MNA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C7A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5,420,000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5C6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217DE5F9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460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11E95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F2234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00A32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E9D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1,403,333</w:t>
            </w:r>
          </w:p>
        </w:tc>
      </w:tr>
      <w:tr w:rsidR="005D0C15" w:rsidRPr="00C30B3F" w14:paraId="63F28F65" w14:textId="77777777" w:rsidTr="005D0C15">
        <w:trPr>
          <w:trHeight w:val="6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3C4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Jačanje javnog istraživačkog sistema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39D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EU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18D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IPA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B02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1,000,000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37F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370DEA6F" w14:textId="77777777" w:rsidTr="005D0C15">
        <w:trPr>
          <w:trHeight w:val="9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EF3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869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Međunarodne organizacije i programi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5F3D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A83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2,000,000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0B2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09FBB78A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76E6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3E1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C0D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B7D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8,420,000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897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55DD58CB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D9E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A30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0B4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MNA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235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13,200,000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E4C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46AC28D9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4DEC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18F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D1D1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MEK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EBBD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1,086,000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569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3,597,667</w:t>
            </w:r>
          </w:p>
        </w:tc>
      </w:tr>
      <w:tr w:rsidR="005D0C15" w:rsidRPr="00C30B3F" w14:paraId="7A133217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EAC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3F0C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MNE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65E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IRF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4581D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6,000,000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1A6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37A566A9" w14:textId="77777777" w:rsidTr="005D0C15">
        <w:trPr>
          <w:trHeight w:val="9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9789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it-IT" w:eastAsia="en-GB"/>
              </w:rPr>
            </w:pPr>
            <w:r w:rsidRPr="00923467">
              <w:rPr>
                <w:rFonts w:eastAsia="Times New Roman" w:cs="Times New Roman"/>
                <w:color w:val="000000"/>
                <w:kern w:val="0"/>
                <w:lang w:val="it-IT" w:eastAsia="en-GB"/>
              </w:rPr>
              <w:lastRenderedPageBreak/>
              <w:t>Podrška inovativnim aktivnostima u privatnom sektoru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544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EU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557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IPA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04C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300,000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9E4AB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19C118EA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37DC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BE44B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1BDE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EU okvirni programi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2AA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1,000,000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3F31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24040C35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589E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FB9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E0A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9E5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21,586,000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6AFC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276C4152" w14:textId="77777777" w:rsidTr="005D0C15">
        <w:trPr>
          <w:trHeight w:val="300"/>
        </w:trPr>
        <w:tc>
          <w:tcPr>
            <w:tcW w:w="1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0BB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649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MNE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FC9F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it-IT" w:eastAsia="en-GB"/>
              </w:rPr>
            </w:pPr>
            <w:r w:rsidRPr="00923467">
              <w:rPr>
                <w:rFonts w:eastAsia="Times New Roman" w:cs="Times New Roman"/>
                <w:color w:val="000000"/>
                <w:kern w:val="0"/>
                <w:lang w:val="it-IT" w:eastAsia="en-GB"/>
              </w:rPr>
              <w:t>25% od ukupnih investicija u istraživanje i inovacije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650E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it-IT" w:eastAsia="en-GB"/>
              </w:rPr>
            </w:pPr>
            <w:r w:rsidRPr="00923467">
              <w:rPr>
                <w:rFonts w:eastAsia="Times New Roman" w:cs="Times New Roman"/>
                <w:b/>
                <w:bCs/>
                <w:color w:val="000000"/>
                <w:kern w:val="0"/>
                <w:lang w:val="it-IT"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0CFAF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it-IT" w:eastAsia="en-GB"/>
              </w:rPr>
            </w:pPr>
            <w:r w:rsidRPr="00923467">
              <w:rPr>
                <w:rFonts w:eastAsia="Times New Roman" w:cs="Times New Roman"/>
                <w:b/>
                <w:bCs/>
                <w:color w:val="000000"/>
                <w:kern w:val="0"/>
                <w:lang w:val="it-IT" w:eastAsia="en-GB"/>
              </w:rPr>
              <w:t> </w:t>
            </w:r>
          </w:p>
        </w:tc>
      </w:tr>
      <w:tr w:rsidR="005D0C15" w:rsidRPr="00C30B3F" w14:paraId="5D774E4C" w14:textId="77777777" w:rsidTr="005D0C15">
        <w:trPr>
          <w:trHeight w:val="85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AAF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Ukupne investicije iz privatnog sektora</w:t>
            </w:r>
          </w:p>
        </w:tc>
        <w:tc>
          <w:tcPr>
            <w:tcW w:w="7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5F78A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61DF5" w14:textId="77777777" w:rsidR="005D0C15" w:rsidRPr="00C30B3F" w:rsidRDefault="005D0C15" w:rsidP="00A327C7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1C0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25,106,333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A16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4,184,389</w:t>
            </w:r>
          </w:p>
        </w:tc>
      </w:tr>
      <w:tr w:rsidR="005D0C15" w:rsidRPr="00C30B3F" w14:paraId="791F4D67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92B3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B5B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C1643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D2D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A8AE6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 </w:t>
            </w:r>
          </w:p>
        </w:tc>
      </w:tr>
      <w:tr w:rsidR="005D0C15" w:rsidRPr="00C30B3F" w14:paraId="41A8A62B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0E95CE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  <w:t>UKUPNO</w:t>
            </w:r>
            <w:r w:rsidRPr="00C30B3F">
              <w:rPr>
                <w:rFonts w:eastAsia="Times New Roman" w:cs="Times New Roman"/>
                <w:color w:val="000000"/>
                <w:kern w:val="0"/>
                <w:u w:val="single"/>
                <w:lang w:val="en-GB" w:eastAsia="en-GB"/>
              </w:rPr>
              <w:t xml:space="preserve"> MNE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39F01A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6106DA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F4B08F8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  <w:t>75,319,000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CA3C42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12,553,167</w:t>
            </w:r>
          </w:p>
        </w:tc>
      </w:tr>
      <w:tr w:rsidR="005D0C15" w:rsidRPr="00C30B3F" w14:paraId="4979EB0C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DFB9A9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  <w:t>UKUPNO</w:t>
            </w:r>
            <w:r w:rsidRPr="00C30B3F">
              <w:rPr>
                <w:rFonts w:eastAsia="Times New Roman" w:cs="Times New Roman"/>
                <w:color w:val="000000"/>
                <w:kern w:val="0"/>
                <w:u w:val="single"/>
                <w:lang w:val="en-GB" w:eastAsia="en-GB"/>
              </w:rPr>
              <w:t xml:space="preserve"> EU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866339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43D65CF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1B8FDD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  <w:t>12,097,000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0EE1A7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2,016,167</w:t>
            </w:r>
          </w:p>
        </w:tc>
      </w:tr>
      <w:tr w:rsidR="005D0C15" w:rsidRPr="00C30B3F" w14:paraId="6AA8768F" w14:textId="77777777" w:rsidTr="005D0C15">
        <w:trPr>
          <w:trHeight w:val="6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653AFE74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it-IT" w:eastAsia="en-GB"/>
              </w:rPr>
            </w:pPr>
            <w:r w:rsidRPr="00923467">
              <w:rPr>
                <w:rFonts w:eastAsia="Times New Roman" w:cs="Times New Roman"/>
                <w:b/>
                <w:bCs/>
                <w:color w:val="000000"/>
                <w:kern w:val="0"/>
                <w:lang w:val="it-IT" w:eastAsia="en-GB"/>
              </w:rPr>
              <w:t xml:space="preserve">UKUPNO </w:t>
            </w:r>
            <w:r w:rsidRPr="00923467">
              <w:rPr>
                <w:rFonts w:eastAsia="Times New Roman" w:cs="Times New Roman"/>
                <w:color w:val="000000"/>
                <w:kern w:val="0"/>
                <w:lang w:val="it-IT" w:eastAsia="en-GB"/>
              </w:rPr>
              <w:t>Međunarodne organizacije i programi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3409E4E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it-IT" w:eastAsia="en-GB"/>
              </w:rPr>
            </w:pPr>
            <w:r w:rsidRPr="00923467">
              <w:rPr>
                <w:rFonts w:eastAsia="Times New Roman" w:cs="Times New Roman"/>
                <w:color w:val="000000"/>
                <w:kern w:val="0"/>
                <w:lang w:val="it-IT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105DAF9" w14:textId="77777777" w:rsidR="005D0C15" w:rsidRPr="00923467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it-IT" w:eastAsia="en-GB"/>
              </w:rPr>
            </w:pPr>
            <w:r w:rsidRPr="00923467">
              <w:rPr>
                <w:rFonts w:eastAsia="Times New Roman" w:cs="Times New Roman"/>
                <w:color w:val="000000"/>
                <w:kern w:val="0"/>
                <w:lang w:val="it-IT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8AE449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  <w:t>2,000,000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08B4A27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333,333</w:t>
            </w:r>
          </w:p>
        </w:tc>
      </w:tr>
      <w:tr w:rsidR="005D0C15" w:rsidRPr="00C30B3F" w14:paraId="18BA1FBE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BD9353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  <w:t>UKUPNO</w:t>
            </w:r>
            <w:r w:rsidRPr="00C30B3F">
              <w:rPr>
                <w:rFonts w:eastAsia="Times New Roman" w:cs="Times New Roman"/>
                <w:color w:val="000000"/>
                <w:kern w:val="0"/>
                <w:u w:val="single"/>
                <w:lang w:val="en-GB" w:eastAsia="en-GB"/>
              </w:rPr>
              <w:t xml:space="preserve"> Privatni sektor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6DBAD6A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4988FF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BD7525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  <w:t>25,106,333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E7DBCA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4,184,389</w:t>
            </w:r>
          </w:p>
        </w:tc>
      </w:tr>
      <w:tr w:rsidR="005D0C15" w:rsidRPr="00C30B3F" w14:paraId="4E0D96E7" w14:textId="77777777" w:rsidTr="005D0C15">
        <w:trPr>
          <w:trHeight w:val="315"/>
        </w:trPr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78C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C324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E2D2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423E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7F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</w:p>
        </w:tc>
      </w:tr>
      <w:tr w:rsidR="005D0C15" w:rsidRPr="00C30B3F" w14:paraId="240BD432" w14:textId="77777777" w:rsidTr="005D0C15">
        <w:trPr>
          <w:trHeight w:val="315"/>
        </w:trPr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7A62FEE5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UKUPNO</w:t>
            </w:r>
          </w:p>
        </w:tc>
        <w:tc>
          <w:tcPr>
            <w:tcW w:w="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D9955F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4432DB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color w:val="000000"/>
                <w:kern w:val="0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14:paraId="435FD120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val="en-GB" w:eastAsia="en-GB"/>
              </w:rPr>
              <w:t>114,522,333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DE6A319" w14:textId="77777777" w:rsidR="005D0C15" w:rsidRPr="00C30B3F" w:rsidRDefault="005D0C15" w:rsidP="00A327C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</w:pPr>
            <w:r w:rsidRPr="00C30B3F">
              <w:rPr>
                <w:rFonts w:eastAsia="Times New Roman" w:cs="Times New Roman"/>
                <w:b/>
                <w:bCs/>
                <w:color w:val="000000"/>
                <w:kern w:val="0"/>
                <w:lang w:val="en-GB" w:eastAsia="en-GB"/>
              </w:rPr>
              <w:t>19,087,056</w:t>
            </w:r>
          </w:p>
        </w:tc>
      </w:tr>
    </w:tbl>
    <w:p w14:paraId="5BBFD9C8" w14:textId="13DA2867" w:rsidR="001519A7" w:rsidRDefault="001519A7" w:rsidP="00CC64E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caps/>
          <w:kern w:val="32"/>
          <w:sz w:val="28"/>
          <w:szCs w:val="32"/>
        </w:rPr>
      </w:pPr>
    </w:p>
    <w:p w14:paraId="334CABF2" w14:textId="77777777" w:rsidR="00F336FB" w:rsidRPr="00593418" w:rsidRDefault="00F336FB" w:rsidP="00CC64E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bCs/>
          <w:caps/>
          <w:kern w:val="32"/>
          <w:sz w:val="28"/>
          <w:szCs w:val="32"/>
        </w:rPr>
      </w:pPr>
    </w:p>
    <w:p w14:paraId="6A12B428" w14:textId="2DB166CD" w:rsidR="00BD5143" w:rsidRPr="00593418" w:rsidRDefault="00B92EEE" w:rsidP="00A327C7">
      <w:pPr>
        <w:pStyle w:val="Heading1"/>
      </w:pPr>
      <w:bookmarkStart w:id="54" w:name="_Toc521071258"/>
      <w:bookmarkStart w:id="55" w:name="_Toc529890097"/>
      <w:bookmarkStart w:id="56" w:name="_Toc530143292"/>
      <w:r>
        <w:t>VIII</w:t>
      </w:r>
      <w:r w:rsidR="00253B54" w:rsidRPr="00593418">
        <w:t xml:space="preserve"> </w:t>
      </w:r>
      <w:r w:rsidR="0087216E" w:rsidRPr="00593418">
        <w:t>MONITORING</w:t>
      </w:r>
      <w:bookmarkEnd w:id="54"/>
      <w:r w:rsidR="00493E8D">
        <w:t xml:space="preserve"> </w:t>
      </w:r>
      <w:r w:rsidR="009A7E44">
        <w:t>I</w:t>
      </w:r>
      <w:r w:rsidR="00493E8D">
        <w:t xml:space="preserve"> EVALUACIJA</w:t>
      </w:r>
      <w:bookmarkEnd w:id="55"/>
      <w:bookmarkEnd w:id="56"/>
    </w:p>
    <w:p w14:paraId="6A964EF3" w14:textId="77777777" w:rsidR="00094664" w:rsidRPr="00593418" w:rsidRDefault="00094664" w:rsidP="0087216E">
      <w:pPr>
        <w:jc w:val="both"/>
        <w:rPr>
          <w:rFonts w:asciiTheme="minorHAnsi" w:hAnsiTheme="minorHAnsi"/>
          <w:b/>
          <w:color w:val="FF0000"/>
        </w:rPr>
      </w:pPr>
    </w:p>
    <w:p w14:paraId="799606FB" w14:textId="6199D1E2" w:rsidR="00772453" w:rsidRDefault="00772453" w:rsidP="00772453">
      <w:pPr>
        <w:autoSpaceDE w:val="0"/>
        <w:autoSpaceDN w:val="0"/>
        <w:adjustRightInd w:val="0"/>
        <w:spacing w:after="120" w:line="240" w:lineRule="auto"/>
        <w:jc w:val="both"/>
        <w:rPr>
          <w:lang w:eastAsia="en-GB"/>
        </w:rPr>
      </w:pPr>
      <w:r w:rsidRPr="00593418">
        <w:rPr>
          <w:lang w:eastAsia="en-GB"/>
        </w:rPr>
        <w:t>Izuzetnu važnost za uspješno sprovođenje Strategi</w:t>
      </w:r>
      <w:r w:rsidR="009542A2">
        <w:rPr>
          <w:lang w:eastAsia="en-GB"/>
        </w:rPr>
        <w:t xml:space="preserve">je pametne specijalizacije </w:t>
      </w:r>
      <w:r w:rsidR="00A02200">
        <w:rPr>
          <w:lang w:eastAsia="en-GB"/>
        </w:rPr>
        <w:t>S3</w:t>
      </w:r>
      <w:r w:rsidRPr="00593418">
        <w:rPr>
          <w:lang w:eastAsia="en-GB"/>
        </w:rPr>
        <w:t xml:space="preserve"> imaju kontrolni mehanizmi realizacije. U tu svrhu</w:t>
      </w:r>
      <w:r w:rsidR="00CA2124">
        <w:rPr>
          <w:lang w:eastAsia="en-GB"/>
        </w:rPr>
        <w:t>,</w:t>
      </w:r>
      <w:r w:rsidRPr="00593418">
        <w:rPr>
          <w:lang w:eastAsia="en-GB"/>
        </w:rPr>
        <w:t xml:space="preserve"> izrađen je </w:t>
      </w:r>
      <w:r w:rsidRPr="00923467">
        <w:rPr>
          <w:i/>
          <w:lang w:eastAsia="en-GB"/>
        </w:rPr>
        <w:t>Okvirni plan monitoringa</w:t>
      </w:r>
      <w:r w:rsidRPr="00593418">
        <w:rPr>
          <w:lang w:eastAsia="en-GB"/>
        </w:rPr>
        <w:t xml:space="preserve"> </w:t>
      </w:r>
      <w:r w:rsidR="00C05E5C">
        <w:rPr>
          <w:lang w:eastAsia="en-GB"/>
        </w:rPr>
        <w:t xml:space="preserve">(Tabela 8) </w:t>
      </w:r>
      <w:r w:rsidRPr="00593418">
        <w:rPr>
          <w:lang w:eastAsia="en-GB"/>
        </w:rPr>
        <w:t xml:space="preserve">za </w:t>
      </w:r>
      <w:r w:rsidR="00C05E5C">
        <w:rPr>
          <w:lang w:eastAsia="en-GB"/>
        </w:rPr>
        <w:t xml:space="preserve">praćenje </w:t>
      </w:r>
      <w:r w:rsidR="00C05E5C" w:rsidRPr="00593418">
        <w:rPr>
          <w:lang w:eastAsia="en-GB"/>
        </w:rPr>
        <w:t>ostvarenj</w:t>
      </w:r>
      <w:r w:rsidR="00C05E5C">
        <w:rPr>
          <w:lang w:eastAsia="en-GB"/>
        </w:rPr>
        <w:t>a</w:t>
      </w:r>
      <w:r w:rsidR="00C05E5C" w:rsidRPr="00593418">
        <w:rPr>
          <w:lang w:eastAsia="en-GB"/>
        </w:rPr>
        <w:t xml:space="preserve"> </w:t>
      </w:r>
      <w:r w:rsidR="00C05E5C">
        <w:rPr>
          <w:lang w:eastAsia="en-GB"/>
        </w:rPr>
        <w:t xml:space="preserve">postavljenih </w:t>
      </w:r>
      <w:r w:rsidRPr="00593418">
        <w:rPr>
          <w:lang w:eastAsia="en-GB"/>
        </w:rPr>
        <w:t xml:space="preserve">ciljeva i </w:t>
      </w:r>
      <w:r w:rsidR="00C05E5C">
        <w:rPr>
          <w:lang w:eastAsia="en-GB"/>
        </w:rPr>
        <w:t xml:space="preserve">zadatih </w:t>
      </w:r>
      <w:r w:rsidRPr="00593418">
        <w:rPr>
          <w:lang w:eastAsia="en-GB"/>
        </w:rPr>
        <w:t>aktivnosti</w:t>
      </w:r>
      <w:r w:rsidR="00C05E5C">
        <w:rPr>
          <w:lang w:eastAsia="en-GB"/>
        </w:rPr>
        <w:t>. I</w:t>
      </w:r>
      <w:r w:rsidRPr="00593418">
        <w:rPr>
          <w:lang w:eastAsia="en-GB"/>
        </w:rPr>
        <w:t xml:space="preserve">ndikativni iznosi finansijskih sredstava neophodnih za </w:t>
      </w:r>
      <w:r w:rsidR="00C05E5C">
        <w:rPr>
          <w:lang w:eastAsia="en-GB"/>
        </w:rPr>
        <w:t>implementaciju svih planiranih</w:t>
      </w:r>
      <w:r w:rsidR="00C05E5C" w:rsidRPr="00593418">
        <w:rPr>
          <w:lang w:eastAsia="en-GB"/>
        </w:rPr>
        <w:t xml:space="preserve"> </w:t>
      </w:r>
      <w:r w:rsidRPr="00593418">
        <w:rPr>
          <w:lang w:eastAsia="en-GB"/>
        </w:rPr>
        <w:t>programa i projekata</w:t>
      </w:r>
      <w:r w:rsidR="00C05E5C">
        <w:rPr>
          <w:lang w:eastAsia="en-GB"/>
        </w:rPr>
        <w:t xml:space="preserve"> dati su u </w:t>
      </w:r>
      <w:r w:rsidR="00C05E5C" w:rsidRPr="00923467">
        <w:rPr>
          <w:rFonts w:eastAsia="Times New Roman" w:cs="Calibri"/>
          <w:i/>
          <w:kern w:val="0"/>
          <w:lang w:eastAsia="en-GB"/>
        </w:rPr>
        <w:t>Finansijskom okviru za S3</w:t>
      </w:r>
      <w:r w:rsidR="00C05E5C">
        <w:rPr>
          <w:rFonts w:eastAsia="Times New Roman" w:cs="Calibri"/>
          <w:kern w:val="0"/>
          <w:lang w:eastAsia="en-GB"/>
        </w:rPr>
        <w:t xml:space="preserve"> (Tabela 7)</w:t>
      </w:r>
      <w:r w:rsidRPr="00593418">
        <w:rPr>
          <w:lang w:eastAsia="en-GB"/>
        </w:rPr>
        <w:t xml:space="preserve">. </w:t>
      </w:r>
    </w:p>
    <w:p w14:paraId="7A5DE8F5" w14:textId="427C6680" w:rsidR="00294306" w:rsidRPr="00294306" w:rsidRDefault="00294306" w:rsidP="00294306">
      <w:pPr>
        <w:autoSpaceDE w:val="0"/>
        <w:autoSpaceDN w:val="0"/>
        <w:adjustRightInd w:val="0"/>
        <w:spacing w:after="120" w:line="240" w:lineRule="auto"/>
        <w:jc w:val="both"/>
        <w:rPr>
          <w:lang w:eastAsia="en-GB"/>
        </w:rPr>
      </w:pPr>
      <w:r w:rsidRPr="00294306">
        <w:rPr>
          <w:lang w:eastAsia="en-GB"/>
        </w:rPr>
        <w:t>Imajući u vidu da je proces implementacije i monitoringa višefazni i participativni mehanizam</w:t>
      </w:r>
      <w:r w:rsidR="001C2702">
        <w:rPr>
          <w:lang w:eastAsia="en-GB"/>
        </w:rPr>
        <w:t xml:space="preserve"> koji podrazumijeva aktivno učešće velikog broja subjekata iz javnog sektora</w:t>
      </w:r>
      <w:r w:rsidRPr="00294306">
        <w:rPr>
          <w:lang w:eastAsia="en-GB"/>
        </w:rPr>
        <w:t>, implementacij</w:t>
      </w:r>
      <w:r w:rsidR="001C2702">
        <w:rPr>
          <w:lang w:eastAsia="en-GB"/>
        </w:rPr>
        <w:t>a</w:t>
      </w:r>
      <w:r w:rsidRPr="00294306">
        <w:rPr>
          <w:lang w:eastAsia="en-GB"/>
        </w:rPr>
        <w:t xml:space="preserve"> Strategije pametne specijalizacije </w:t>
      </w:r>
      <w:r w:rsidR="001C2702">
        <w:rPr>
          <w:lang w:eastAsia="en-GB"/>
        </w:rPr>
        <w:t xml:space="preserve">vršiće se na osnovu </w:t>
      </w:r>
      <w:r w:rsidR="0067422A" w:rsidRPr="00923467">
        <w:rPr>
          <w:i/>
          <w:lang w:eastAsia="en-GB"/>
        </w:rPr>
        <w:t>A</w:t>
      </w:r>
      <w:r w:rsidRPr="00923467">
        <w:rPr>
          <w:i/>
          <w:lang w:eastAsia="en-GB"/>
        </w:rPr>
        <w:t>kcionog plana</w:t>
      </w:r>
      <w:r w:rsidRPr="00294306">
        <w:rPr>
          <w:lang w:eastAsia="en-GB"/>
        </w:rPr>
        <w:t xml:space="preserve"> </w:t>
      </w:r>
      <w:r w:rsidRPr="00923467">
        <w:rPr>
          <w:i/>
          <w:lang w:eastAsia="en-GB"/>
        </w:rPr>
        <w:t>implementacije</w:t>
      </w:r>
      <w:r w:rsidR="001C2702">
        <w:rPr>
          <w:lang w:eastAsia="en-GB"/>
        </w:rPr>
        <w:t xml:space="preserve"> koji će </w:t>
      </w:r>
      <w:r w:rsidR="001C2702" w:rsidRPr="00294306">
        <w:rPr>
          <w:lang w:eastAsia="en-GB"/>
        </w:rPr>
        <w:t>u narednom periodu</w:t>
      </w:r>
      <w:r w:rsidR="001C2702">
        <w:rPr>
          <w:lang w:eastAsia="en-GB"/>
        </w:rPr>
        <w:t xml:space="preserve"> biti posebno donesen</w:t>
      </w:r>
      <w:r w:rsidRPr="00294306">
        <w:rPr>
          <w:lang w:eastAsia="en-GB"/>
        </w:rPr>
        <w:t>. Akcionim pla</w:t>
      </w:r>
      <w:r w:rsidR="00887135">
        <w:rPr>
          <w:lang w:eastAsia="en-GB"/>
        </w:rPr>
        <w:t xml:space="preserve">nom će </w:t>
      </w:r>
      <w:r w:rsidR="001C2702">
        <w:rPr>
          <w:lang w:eastAsia="en-GB"/>
        </w:rPr>
        <w:t xml:space="preserve">u odnosu na </w:t>
      </w:r>
      <w:r w:rsidR="001C2702" w:rsidRPr="00923467">
        <w:rPr>
          <w:lang w:eastAsia="en-GB"/>
        </w:rPr>
        <w:t>Okvirni plan monitoringa</w:t>
      </w:r>
      <w:r w:rsidR="001C2702" w:rsidRPr="00593418">
        <w:rPr>
          <w:lang w:eastAsia="en-GB"/>
        </w:rPr>
        <w:t xml:space="preserve"> </w:t>
      </w:r>
      <w:r w:rsidR="00FB7BA2">
        <w:rPr>
          <w:lang w:eastAsia="en-GB"/>
        </w:rPr>
        <w:t xml:space="preserve">S3 </w:t>
      </w:r>
      <w:r w:rsidR="00887135">
        <w:rPr>
          <w:lang w:eastAsia="en-GB"/>
        </w:rPr>
        <w:t>biti</w:t>
      </w:r>
      <w:r w:rsidRPr="00294306">
        <w:rPr>
          <w:lang w:eastAsia="en-GB"/>
        </w:rPr>
        <w:t xml:space="preserve"> </w:t>
      </w:r>
      <w:r w:rsidR="001C2702">
        <w:rPr>
          <w:lang w:eastAsia="en-GB"/>
        </w:rPr>
        <w:t xml:space="preserve">bliže </w:t>
      </w:r>
      <w:r w:rsidRPr="00294306">
        <w:rPr>
          <w:lang w:eastAsia="en-GB"/>
        </w:rPr>
        <w:t xml:space="preserve">definisani </w:t>
      </w:r>
      <w:r w:rsidR="001C2702">
        <w:rPr>
          <w:lang w:eastAsia="en-GB"/>
        </w:rPr>
        <w:t>svi relevantni elementi (</w:t>
      </w:r>
      <w:r w:rsidRPr="00294306">
        <w:rPr>
          <w:lang w:eastAsia="en-GB"/>
        </w:rPr>
        <w:t>prioriteti, ciljevi, mjere i aktivnosti, indikatori, rok</w:t>
      </w:r>
      <w:r w:rsidR="00FB7BA2">
        <w:rPr>
          <w:lang w:eastAsia="en-GB"/>
        </w:rPr>
        <w:t>ovi za sprovođenje</w:t>
      </w:r>
      <w:r w:rsidR="001C2702">
        <w:rPr>
          <w:lang w:eastAsia="en-GB"/>
        </w:rPr>
        <w:t>)</w:t>
      </w:r>
      <w:r w:rsidRPr="00294306">
        <w:rPr>
          <w:lang w:eastAsia="en-GB"/>
        </w:rPr>
        <w:t xml:space="preserve">, </w:t>
      </w:r>
      <w:r w:rsidR="001C2702">
        <w:rPr>
          <w:lang w:eastAsia="en-GB"/>
        </w:rPr>
        <w:t xml:space="preserve">a naročito </w:t>
      </w:r>
      <w:r w:rsidRPr="00294306">
        <w:rPr>
          <w:lang w:eastAsia="en-GB"/>
        </w:rPr>
        <w:t xml:space="preserve">finansijska sredstva </w:t>
      </w:r>
      <w:r w:rsidR="001C2702">
        <w:rPr>
          <w:lang w:eastAsia="en-GB"/>
        </w:rPr>
        <w:t>koja je potrebno iz</w:t>
      </w:r>
      <w:r w:rsidR="003704C5">
        <w:rPr>
          <w:lang w:eastAsia="en-GB"/>
        </w:rPr>
        <w:t>d</w:t>
      </w:r>
      <w:r w:rsidR="001C2702">
        <w:rPr>
          <w:lang w:eastAsia="en-GB"/>
        </w:rPr>
        <w:t xml:space="preserve">vojiti za realizaciju pojedinih mjera, </w:t>
      </w:r>
      <w:r w:rsidRPr="00294306">
        <w:rPr>
          <w:lang w:eastAsia="en-GB"/>
        </w:rPr>
        <w:t xml:space="preserve">kao i </w:t>
      </w:r>
      <w:r w:rsidR="001C2702">
        <w:rPr>
          <w:lang w:eastAsia="en-GB"/>
        </w:rPr>
        <w:t xml:space="preserve">njihovi </w:t>
      </w:r>
      <w:r w:rsidRPr="00294306">
        <w:rPr>
          <w:lang w:eastAsia="en-GB"/>
        </w:rPr>
        <w:t>izvori</w:t>
      </w:r>
      <w:r w:rsidR="00FB7BA2">
        <w:rPr>
          <w:lang w:eastAsia="en-GB"/>
        </w:rPr>
        <w:t xml:space="preserve"> (</w:t>
      </w:r>
      <w:r w:rsidR="001C2702">
        <w:rPr>
          <w:lang w:eastAsia="en-GB"/>
        </w:rPr>
        <w:t>prve</w:t>
      </w:r>
      <w:r w:rsidR="003704C5">
        <w:rPr>
          <w:lang w:eastAsia="en-GB"/>
        </w:rPr>
        <w:t>n</w:t>
      </w:r>
      <w:r w:rsidR="001C2702">
        <w:rPr>
          <w:lang w:eastAsia="en-GB"/>
        </w:rPr>
        <w:t xml:space="preserve">stveno raspoređeni po </w:t>
      </w:r>
      <w:r w:rsidR="001C2702" w:rsidRPr="00294306">
        <w:rPr>
          <w:lang w:eastAsia="en-GB"/>
        </w:rPr>
        <w:t>nosioci</w:t>
      </w:r>
      <w:r w:rsidR="001C2702">
        <w:rPr>
          <w:lang w:eastAsia="en-GB"/>
        </w:rPr>
        <w:t>ma</w:t>
      </w:r>
      <w:r w:rsidR="001C2702" w:rsidRPr="00294306">
        <w:rPr>
          <w:lang w:eastAsia="en-GB"/>
        </w:rPr>
        <w:t xml:space="preserve"> pojedinačnih aktivnosti</w:t>
      </w:r>
      <w:r w:rsidR="00FB7BA2">
        <w:rPr>
          <w:lang w:eastAsia="en-GB"/>
        </w:rPr>
        <w:t>)</w:t>
      </w:r>
      <w:r w:rsidRPr="00294306">
        <w:rPr>
          <w:lang w:eastAsia="en-GB"/>
        </w:rPr>
        <w:t>.</w:t>
      </w:r>
    </w:p>
    <w:p w14:paraId="304DC602" w14:textId="77777777" w:rsidR="00772453" w:rsidRPr="00593418" w:rsidRDefault="00772453" w:rsidP="00772453">
      <w:pPr>
        <w:jc w:val="both"/>
        <w:rPr>
          <w:rFonts w:asciiTheme="minorHAnsi" w:hAnsiTheme="minorHAnsi"/>
          <w:color w:val="FF0000"/>
        </w:rPr>
      </w:pPr>
    </w:p>
    <w:p w14:paraId="32B21AF0" w14:textId="77777777" w:rsidR="00772453" w:rsidRPr="00593418" w:rsidRDefault="00772453" w:rsidP="00772453">
      <w:pPr>
        <w:jc w:val="both"/>
        <w:rPr>
          <w:rFonts w:asciiTheme="minorHAnsi" w:hAnsiTheme="minorHAnsi"/>
          <w:color w:val="FF0000"/>
        </w:rPr>
      </w:pPr>
      <w:r w:rsidRPr="00593418">
        <w:rPr>
          <w:rFonts w:asciiTheme="minorHAnsi" w:hAnsiTheme="minorHAnsi"/>
          <w:noProof/>
          <w:color w:val="FF0000"/>
          <w:lang w:val="en-US"/>
        </w:rPr>
        <w:lastRenderedPageBreak/>
        <w:drawing>
          <wp:inline distT="0" distB="0" distL="0" distR="0" wp14:anchorId="7F04C4D5" wp14:editId="2CFD8405">
            <wp:extent cx="5486400" cy="3200400"/>
            <wp:effectExtent l="0" t="0" r="0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75C0255A" w14:textId="7267F858" w:rsidR="00772453" w:rsidRPr="00593418" w:rsidRDefault="00772453" w:rsidP="00772453">
      <w:pPr>
        <w:jc w:val="center"/>
        <w:rPr>
          <w:rFonts w:asciiTheme="minorHAnsi" w:hAnsiTheme="minorHAnsi"/>
          <w:color w:val="FF0000"/>
          <w:sz w:val="20"/>
          <w:szCs w:val="20"/>
        </w:rPr>
      </w:pPr>
      <w:r w:rsidRPr="00306247">
        <w:rPr>
          <w:rFonts w:asciiTheme="minorHAnsi" w:hAnsiTheme="minorHAnsi"/>
          <w:color w:val="000000" w:themeColor="text1"/>
          <w:sz w:val="20"/>
          <w:szCs w:val="20"/>
        </w:rPr>
        <w:t xml:space="preserve">Slika </w:t>
      </w:r>
      <w:r w:rsidR="00A3660E">
        <w:rPr>
          <w:rFonts w:asciiTheme="minorHAnsi" w:hAnsiTheme="minorHAnsi"/>
          <w:color w:val="000000" w:themeColor="text1"/>
          <w:sz w:val="20"/>
          <w:szCs w:val="20"/>
        </w:rPr>
        <w:t>10</w:t>
      </w:r>
      <w:r w:rsidRPr="00306247">
        <w:rPr>
          <w:rFonts w:asciiTheme="minorHAnsi" w:hAnsiTheme="minorHAnsi"/>
          <w:color w:val="000000" w:themeColor="text1"/>
          <w:sz w:val="20"/>
          <w:szCs w:val="20"/>
        </w:rPr>
        <w:t xml:space="preserve">. Kontinualni </w:t>
      </w:r>
      <w:r w:rsidRPr="00593418">
        <w:rPr>
          <w:rFonts w:asciiTheme="minorHAnsi" w:hAnsiTheme="minorHAnsi"/>
          <w:sz w:val="20"/>
          <w:szCs w:val="20"/>
        </w:rPr>
        <w:t>pr</w:t>
      </w:r>
      <w:bookmarkStart w:id="57" w:name="_GoBack"/>
      <w:bookmarkEnd w:id="57"/>
      <w:r w:rsidRPr="00593418">
        <w:rPr>
          <w:rFonts w:asciiTheme="minorHAnsi" w:hAnsiTheme="minorHAnsi"/>
          <w:sz w:val="20"/>
          <w:szCs w:val="20"/>
        </w:rPr>
        <w:t>oces monitoringa i un</w:t>
      </w:r>
      <w:r w:rsidR="009542A2">
        <w:rPr>
          <w:rFonts w:asciiTheme="minorHAnsi" w:hAnsiTheme="minorHAnsi"/>
          <w:sz w:val="20"/>
          <w:szCs w:val="20"/>
        </w:rPr>
        <w:t>apr</w:t>
      </w:r>
      <w:r w:rsidR="00DE742C">
        <w:rPr>
          <w:rFonts w:asciiTheme="minorHAnsi" w:hAnsiTheme="minorHAnsi"/>
          <w:sz w:val="20"/>
          <w:szCs w:val="20"/>
        </w:rPr>
        <w:t>ij</w:t>
      </w:r>
      <w:r w:rsidRPr="00593418">
        <w:rPr>
          <w:rFonts w:asciiTheme="minorHAnsi" w:hAnsiTheme="minorHAnsi"/>
          <w:sz w:val="20"/>
          <w:szCs w:val="20"/>
        </w:rPr>
        <w:t xml:space="preserve">eđenja </w:t>
      </w:r>
      <w:r w:rsidR="00A02200">
        <w:rPr>
          <w:rFonts w:asciiTheme="minorHAnsi" w:hAnsiTheme="minorHAnsi"/>
          <w:sz w:val="20"/>
          <w:szCs w:val="20"/>
        </w:rPr>
        <w:t>S3</w:t>
      </w:r>
    </w:p>
    <w:p w14:paraId="6765E86D" w14:textId="77777777" w:rsidR="00772453" w:rsidRPr="00593418" w:rsidRDefault="00772453" w:rsidP="00772453">
      <w:pPr>
        <w:autoSpaceDE w:val="0"/>
        <w:autoSpaceDN w:val="0"/>
        <w:adjustRightInd w:val="0"/>
        <w:jc w:val="both"/>
        <w:rPr>
          <w:lang w:eastAsia="en-GB"/>
        </w:rPr>
      </w:pPr>
    </w:p>
    <w:p w14:paraId="2EEF4CB2" w14:textId="0FD6ACDB" w:rsidR="004412FC" w:rsidRPr="004412FC" w:rsidRDefault="004412FC" w:rsidP="004412FC">
      <w:pPr>
        <w:autoSpaceDE w:val="0"/>
        <w:autoSpaceDN w:val="0"/>
        <w:adjustRightInd w:val="0"/>
        <w:spacing w:after="120" w:line="240" w:lineRule="auto"/>
        <w:jc w:val="both"/>
        <w:rPr>
          <w:lang w:eastAsia="en-GB"/>
        </w:rPr>
      </w:pPr>
      <w:r w:rsidRPr="004412FC">
        <w:rPr>
          <w:lang w:eastAsia="en-GB"/>
        </w:rPr>
        <w:t>Poseban segment praćenja uspješnosti implementacije Strategije pametne specijalizacije S3 predstavljaće evaluacija kojom će se sagledati njena relevantnost, efikasnost i uticaj definisanih mjera</w:t>
      </w:r>
      <w:r w:rsidR="0037764D">
        <w:rPr>
          <w:lang w:eastAsia="en-GB"/>
        </w:rPr>
        <w:t xml:space="preserve"> na postizanje strateških ciljeva</w:t>
      </w:r>
      <w:r w:rsidRPr="004412FC">
        <w:rPr>
          <w:lang w:eastAsia="en-GB"/>
        </w:rPr>
        <w:t xml:space="preserve">. U procesu evaluacije će se donositi </w:t>
      </w:r>
      <w:r w:rsidR="0037764D" w:rsidRPr="00923467">
        <w:rPr>
          <w:i/>
          <w:lang w:eastAsia="en-GB"/>
        </w:rPr>
        <w:t>Z</w:t>
      </w:r>
      <w:r w:rsidRPr="00923467">
        <w:rPr>
          <w:i/>
          <w:lang w:eastAsia="en-GB"/>
        </w:rPr>
        <w:t>aključci</w:t>
      </w:r>
      <w:r w:rsidRPr="004412FC">
        <w:rPr>
          <w:lang w:eastAsia="en-GB"/>
        </w:rPr>
        <w:t xml:space="preserve"> o uspješnosti implementacije, sa </w:t>
      </w:r>
      <w:r w:rsidR="0037764D" w:rsidRPr="00923467">
        <w:rPr>
          <w:i/>
          <w:lang w:eastAsia="en-GB"/>
        </w:rPr>
        <w:t>P</w:t>
      </w:r>
      <w:r w:rsidRPr="00923467">
        <w:rPr>
          <w:i/>
          <w:lang w:eastAsia="en-GB"/>
        </w:rPr>
        <w:t>reporukama</w:t>
      </w:r>
      <w:r w:rsidRPr="004412FC">
        <w:rPr>
          <w:lang w:eastAsia="en-GB"/>
        </w:rPr>
        <w:t xml:space="preserve"> za izmjenu i unaprijeđenje planiranja</w:t>
      </w:r>
      <w:r w:rsidR="00A4627C">
        <w:rPr>
          <w:lang w:eastAsia="en-GB"/>
        </w:rPr>
        <w:t xml:space="preserve"> (Slika 10)</w:t>
      </w:r>
      <w:r w:rsidRPr="004412FC">
        <w:rPr>
          <w:lang w:eastAsia="en-GB"/>
        </w:rPr>
        <w:t xml:space="preserve">.   </w:t>
      </w:r>
    </w:p>
    <w:p w14:paraId="4B928BD1" w14:textId="4110293B" w:rsidR="00772453" w:rsidRPr="00593418" w:rsidRDefault="006E0198" w:rsidP="00772453">
      <w:pPr>
        <w:autoSpaceDE w:val="0"/>
        <w:autoSpaceDN w:val="0"/>
        <w:adjustRightInd w:val="0"/>
        <w:spacing w:after="120" w:line="240" w:lineRule="auto"/>
        <w:jc w:val="both"/>
        <w:rPr>
          <w:lang w:eastAsia="en-GB"/>
        </w:rPr>
      </w:pPr>
      <w:r>
        <w:rPr>
          <w:lang w:eastAsia="en-GB"/>
        </w:rPr>
        <w:t>Nacionalna kancelarija</w:t>
      </w:r>
      <w:r w:rsidR="00772453" w:rsidRPr="00593418">
        <w:rPr>
          <w:lang w:eastAsia="en-GB"/>
        </w:rPr>
        <w:t xml:space="preserve"> </w:t>
      </w:r>
      <w:r w:rsidR="006634A5">
        <w:rPr>
          <w:lang w:eastAsia="en-GB"/>
        </w:rPr>
        <w:t xml:space="preserve">za pametnu specijalizaciju </w:t>
      </w:r>
      <w:r w:rsidR="00772453" w:rsidRPr="00593418">
        <w:rPr>
          <w:lang w:eastAsia="en-GB"/>
        </w:rPr>
        <w:t xml:space="preserve">radiće na operativnom nivou i biće zadužena za implementaciju, monitoring i evaluaciju. </w:t>
      </w:r>
      <w:r w:rsidR="00A02200">
        <w:rPr>
          <w:lang w:eastAsia="en-GB"/>
        </w:rPr>
        <w:t>S3</w:t>
      </w:r>
      <w:r w:rsidR="00772453" w:rsidRPr="00593418">
        <w:rPr>
          <w:lang w:eastAsia="en-GB"/>
        </w:rPr>
        <w:t xml:space="preserve"> strateška grupa, predstavnici relevantnih ministarstava i </w:t>
      </w:r>
      <w:r w:rsidR="00A02200">
        <w:rPr>
          <w:lang w:eastAsia="en-GB"/>
        </w:rPr>
        <w:t>S3</w:t>
      </w:r>
      <w:r w:rsidR="00772453" w:rsidRPr="00593418">
        <w:rPr>
          <w:lang w:eastAsia="en-GB"/>
        </w:rPr>
        <w:t xml:space="preserve"> fokusne grupe će pružati podršku sistemu monitoringa i evaluacije.</w:t>
      </w:r>
    </w:p>
    <w:p w14:paraId="500AB22F" w14:textId="362B81E3" w:rsidR="00772453" w:rsidRPr="004412FC" w:rsidRDefault="00A02200" w:rsidP="00772453">
      <w:pPr>
        <w:autoSpaceDE w:val="0"/>
        <w:autoSpaceDN w:val="0"/>
        <w:adjustRightInd w:val="0"/>
        <w:spacing w:after="120" w:line="240" w:lineRule="auto"/>
        <w:jc w:val="both"/>
        <w:rPr>
          <w:lang w:eastAsia="en-GB"/>
        </w:rPr>
      </w:pPr>
      <w:r w:rsidRPr="004412FC">
        <w:rPr>
          <w:lang w:eastAsia="en-GB"/>
        </w:rPr>
        <w:t>S3</w:t>
      </w:r>
      <w:r w:rsidR="00772453" w:rsidRPr="004412FC">
        <w:rPr>
          <w:lang w:eastAsia="en-GB"/>
        </w:rPr>
        <w:t xml:space="preserve"> monitoring i evaluacija će biti zasnovani na kvantifikovanim ciljevima</w:t>
      </w:r>
      <w:r w:rsidR="00CA2124" w:rsidRPr="004412FC">
        <w:rPr>
          <w:lang w:eastAsia="en-GB"/>
        </w:rPr>
        <w:t>,</w:t>
      </w:r>
      <w:r w:rsidR="00772453" w:rsidRPr="004412FC">
        <w:rPr>
          <w:lang w:eastAsia="en-GB"/>
        </w:rPr>
        <w:t xml:space="preserve"> identifikovanim kroz razne faze izrade </w:t>
      </w:r>
      <w:r w:rsidR="00CA2124" w:rsidRPr="004412FC">
        <w:rPr>
          <w:lang w:eastAsia="en-GB"/>
        </w:rPr>
        <w:t>S</w:t>
      </w:r>
      <w:r w:rsidR="00772453" w:rsidRPr="004412FC">
        <w:rPr>
          <w:lang w:eastAsia="en-GB"/>
        </w:rPr>
        <w:t xml:space="preserve">trategije i zasnovanim na </w:t>
      </w:r>
      <w:r w:rsidR="00CA2124" w:rsidRPr="004412FC">
        <w:rPr>
          <w:lang w:eastAsia="en-GB"/>
        </w:rPr>
        <w:t>P</w:t>
      </w:r>
      <w:r w:rsidR="00772453" w:rsidRPr="004412FC">
        <w:rPr>
          <w:lang w:eastAsia="en-GB"/>
        </w:rPr>
        <w:t xml:space="preserve">rocesu preduzetničkog otkrivanja. Mjerljivi </w:t>
      </w:r>
      <w:r w:rsidRPr="004412FC">
        <w:rPr>
          <w:lang w:eastAsia="en-GB"/>
        </w:rPr>
        <w:t>S3</w:t>
      </w:r>
      <w:r w:rsidR="00772453" w:rsidRPr="004412FC">
        <w:rPr>
          <w:lang w:eastAsia="en-GB"/>
        </w:rPr>
        <w:t xml:space="preserve"> indikatori identifikovani su u </w:t>
      </w:r>
      <w:r w:rsidR="00306247" w:rsidRPr="004412FC">
        <w:rPr>
          <w:lang w:eastAsia="en-GB"/>
        </w:rPr>
        <w:t>Tabeli</w:t>
      </w:r>
      <w:r w:rsidR="00EB53CB" w:rsidRPr="004412FC">
        <w:rPr>
          <w:lang w:eastAsia="en-GB"/>
        </w:rPr>
        <w:t xml:space="preserve"> </w:t>
      </w:r>
      <w:r w:rsidR="00E4408E" w:rsidRPr="004412FC">
        <w:rPr>
          <w:lang w:eastAsia="en-GB"/>
        </w:rPr>
        <w:t>8</w:t>
      </w:r>
      <w:r w:rsidR="00772453" w:rsidRPr="004412FC">
        <w:rPr>
          <w:lang w:eastAsia="en-GB"/>
        </w:rPr>
        <w:t>. Indikatori na nivou područja</w:t>
      </w:r>
      <w:r w:rsidR="00772453" w:rsidRPr="00923467">
        <w:rPr>
          <w:rFonts w:asciiTheme="minorHAnsi" w:hAnsiTheme="minorHAnsi" w:cs="Arial"/>
          <w:bCs/>
          <w:color w:val="000000" w:themeColor="text1"/>
          <w:shd w:val="clear" w:color="auto" w:fill="FFFFFF"/>
        </w:rPr>
        <w:t xml:space="preserve"> primjene će se u nekim </w:t>
      </w:r>
      <w:r w:rsidR="00772453" w:rsidRPr="004412FC">
        <w:rPr>
          <w:lang w:eastAsia="en-GB"/>
        </w:rPr>
        <w:t>slučajevima modifikovati i</w:t>
      </w:r>
      <w:r w:rsidR="0037764D">
        <w:rPr>
          <w:lang w:eastAsia="en-GB"/>
        </w:rPr>
        <w:t>,</w:t>
      </w:r>
      <w:r w:rsidR="00772453" w:rsidRPr="004412FC">
        <w:rPr>
          <w:lang w:eastAsia="en-GB"/>
        </w:rPr>
        <w:t xml:space="preserve"> gdje je to potrebno</w:t>
      </w:r>
      <w:r w:rsidR="0037764D">
        <w:rPr>
          <w:lang w:eastAsia="en-GB"/>
        </w:rPr>
        <w:t>,</w:t>
      </w:r>
      <w:r w:rsidR="00772453" w:rsidRPr="004412FC">
        <w:rPr>
          <w:lang w:eastAsia="en-GB"/>
        </w:rPr>
        <w:t xml:space="preserve"> revidirati u toku pripreme </w:t>
      </w:r>
      <w:r w:rsidR="004412FC" w:rsidRPr="004412FC">
        <w:rPr>
          <w:lang w:eastAsia="en-GB"/>
        </w:rPr>
        <w:t>A</w:t>
      </w:r>
      <w:r w:rsidR="00772453" w:rsidRPr="004412FC">
        <w:rPr>
          <w:lang w:eastAsia="en-GB"/>
        </w:rPr>
        <w:t xml:space="preserve">kcionog plana. </w:t>
      </w:r>
    </w:p>
    <w:p w14:paraId="6FBE47F0" w14:textId="7FADA5A8" w:rsidR="00772453" w:rsidRPr="00593418" w:rsidRDefault="00772453" w:rsidP="00772453">
      <w:pPr>
        <w:spacing w:after="120" w:line="240" w:lineRule="auto"/>
        <w:jc w:val="both"/>
        <w:rPr>
          <w:lang w:eastAsia="en-GB"/>
        </w:rPr>
      </w:pPr>
      <w:r w:rsidRPr="00593418">
        <w:rPr>
          <w:lang w:eastAsia="en-GB"/>
        </w:rPr>
        <w:t xml:space="preserve">U procesu monitoringa </w:t>
      </w:r>
      <w:r w:rsidR="004412FC">
        <w:rPr>
          <w:lang w:eastAsia="en-GB"/>
        </w:rPr>
        <w:t>A</w:t>
      </w:r>
      <w:r w:rsidR="004412FC" w:rsidRPr="00593418">
        <w:rPr>
          <w:lang w:eastAsia="en-GB"/>
        </w:rPr>
        <w:t xml:space="preserve">kcionog </w:t>
      </w:r>
      <w:r w:rsidRPr="00593418">
        <w:rPr>
          <w:lang w:eastAsia="en-GB"/>
        </w:rPr>
        <w:t>plana prikupljaće se podaci o realizaciji pojedinih aktivnosti i projekata resorno nadležnih institucija, ostvarenost ciljeva</w:t>
      </w:r>
      <w:r w:rsidR="00200920">
        <w:rPr>
          <w:lang w:eastAsia="en-GB"/>
        </w:rPr>
        <w:t>,</w:t>
      </w:r>
      <w:r w:rsidRPr="00593418">
        <w:rPr>
          <w:lang w:eastAsia="en-GB"/>
        </w:rPr>
        <w:t xml:space="preserve"> odnosno rezultata i indikatora učinka, što će predstavljati osnov za </w:t>
      </w:r>
      <w:r w:rsidR="0037764D" w:rsidRPr="00923467">
        <w:rPr>
          <w:i/>
          <w:lang w:eastAsia="en-GB"/>
        </w:rPr>
        <w:t>G</w:t>
      </w:r>
      <w:r w:rsidRPr="00923467">
        <w:rPr>
          <w:i/>
          <w:lang w:eastAsia="en-GB"/>
        </w:rPr>
        <w:t>odišnje izvještaje o implementaciji</w:t>
      </w:r>
      <w:r w:rsidRPr="00593418">
        <w:rPr>
          <w:lang w:eastAsia="en-GB"/>
        </w:rPr>
        <w:t xml:space="preserve">. </w:t>
      </w:r>
      <w:r w:rsidR="0037764D">
        <w:rPr>
          <w:lang w:eastAsia="en-GB"/>
        </w:rPr>
        <w:t>Na ovaj način</w:t>
      </w:r>
      <w:r w:rsidR="0037764D" w:rsidRPr="00593418">
        <w:rPr>
          <w:lang w:eastAsia="en-GB"/>
        </w:rPr>
        <w:t xml:space="preserve"> </w:t>
      </w:r>
      <w:r w:rsidRPr="00593418">
        <w:rPr>
          <w:lang w:eastAsia="en-GB"/>
        </w:rPr>
        <w:t xml:space="preserve">će se </w:t>
      </w:r>
      <w:r w:rsidR="0037764D">
        <w:rPr>
          <w:lang w:eastAsia="en-GB"/>
        </w:rPr>
        <w:t xml:space="preserve">omogućiti </w:t>
      </w:r>
      <w:r w:rsidRPr="00593418">
        <w:rPr>
          <w:lang w:eastAsia="en-GB"/>
        </w:rPr>
        <w:t>mjer</w:t>
      </w:r>
      <w:r w:rsidR="0037764D">
        <w:rPr>
          <w:lang w:eastAsia="en-GB"/>
        </w:rPr>
        <w:t>enje</w:t>
      </w:r>
      <w:r w:rsidRPr="00593418">
        <w:rPr>
          <w:lang w:eastAsia="en-GB"/>
        </w:rPr>
        <w:t xml:space="preserve"> uspjeh</w:t>
      </w:r>
      <w:r w:rsidR="0037764D">
        <w:rPr>
          <w:lang w:eastAsia="en-GB"/>
        </w:rPr>
        <w:t>a</w:t>
      </w:r>
      <w:r w:rsidRPr="00593418">
        <w:rPr>
          <w:lang w:eastAsia="en-GB"/>
        </w:rPr>
        <w:t xml:space="preserve"> ili </w:t>
      </w:r>
      <w:r w:rsidR="0037764D">
        <w:rPr>
          <w:lang w:eastAsia="en-GB"/>
        </w:rPr>
        <w:t xml:space="preserve">identifikacija </w:t>
      </w:r>
      <w:r w:rsidRPr="00593418">
        <w:rPr>
          <w:lang w:eastAsia="en-GB"/>
        </w:rPr>
        <w:t>problem</w:t>
      </w:r>
      <w:r w:rsidR="0037764D">
        <w:rPr>
          <w:lang w:eastAsia="en-GB"/>
        </w:rPr>
        <w:t>a,</w:t>
      </w:r>
      <w:r w:rsidRPr="00593418">
        <w:rPr>
          <w:lang w:eastAsia="en-GB"/>
        </w:rPr>
        <w:t xml:space="preserve"> odnosno odstupanja u </w:t>
      </w:r>
      <w:r w:rsidRPr="00610E83">
        <w:rPr>
          <w:lang w:eastAsia="en-GB"/>
        </w:rPr>
        <w:t xml:space="preserve">implementaciji </w:t>
      </w:r>
      <w:r w:rsidR="00200920">
        <w:rPr>
          <w:lang w:eastAsia="en-GB"/>
        </w:rPr>
        <w:t>S</w:t>
      </w:r>
      <w:r w:rsidRPr="00610E83">
        <w:rPr>
          <w:lang w:eastAsia="en-GB"/>
        </w:rPr>
        <w:t>trategije.  Proces</w:t>
      </w:r>
      <w:r w:rsidRPr="00593418">
        <w:rPr>
          <w:lang w:eastAsia="en-GB"/>
        </w:rPr>
        <w:t xml:space="preserve"> monitoringa će takođe poslužiti kao osnova za </w:t>
      </w:r>
      <w:r w:rsidR="0037764D" w:rsidRPr="00593418">
        <w:rPr>
          <w:lang w:eastAsia="en-GB"/>
        </w:rPr>
        <w:t xml:space="preserve">potencijalno </w:t>
      </w:r>
      <w:r w:rsidRPr="00593418">
        <w:rPr>
          <w:lang w:eastAsia="en-GB"/>
        </w:rPr>
        <w:t xml:space="preserve">uvođenje i implementaciju dodatnih mjera koje su potrebne da bi se ostvarila uspješna implementacija </w:t>
      </w:r>
      <w:r w:rsidR="00A02200">
        <w:rPr>
          <w:lang w:eastAsia="en-GB"/>
        </w:rPr>
        <w:t>S3</w:t>
      </w:r>
      <w:r w:rsidRPr="00593418">
        <w:rPr>
          <w:lang w:eastAsia="en-GB"/>
        </w:rPr>
        <w:t>. Godišnj</w:t>
      </w:r>
      <w:r w:rsidR="00610E83">
        <w:rPr>
          <w:lang w:eastAsia="en-GB"/>
        </w:rPr>
        <w:t>e</w:t>
      </w:r>
      <w:r w:rsidRPr="00593418">
        <w:rPr>
          <w:lang w:eastAsia="en-GB"/>
        </w:rPr>
        <w:t xml:space="preserve"> izvještaj</w:t>
      </w:r>
      <w:r w:rsidR="00610E83">
        <w:rPr>
          <w:lang w:eastAsia="en-GB"/>
        </w:rPr>
        <w:t xml:space="preserve">e </w:t>
      </w:r>
      <w:r w:rsidRPr="00593418">
        <w:rPr>
          <w:lang w:eastAsia="en-GB"/>
        </w:rPr>
        <w:t>će priprema</w:t>
      </w:r>
      <w:r w:rsidR="00610E83">
        <w:rPr>
          <w:lang w:eastAsia="en-GB"/>
        </w:rPr>
        <w:t>t</w:t>
      </w:r>
      <w:r w:rsidR="00294306">
        <w:rPr>
          <w:lang w:eastAsia="en-GB"/>
        </w:rPr>
        <w:t>i</w:t>
      </w:r>
      <w:r w:rsidRPr="00593418">
        <w:rPr>
          <w:lang w:eastAsia="en-GB"/>
        </w:rPr>
        <w:t xml:space="preserve"> </w:t>
      </w:r>
      <w:r w:rsidR="004B7EB1">
        <w:rPr>
          <w:rFonts w:cs="Calibri"/>
          <w:bCs/>
        </w:rPr>
        <w:t>Nacionalna kancelarija za pametnu specijalizaciju</w:t>
      </w:r>
      <w:r w:rsidRPr="00593418">
        <w:rPr>
          <w:lang w:eastAsia="en-GB"/>
        </w:rPr>
        <w:t>,</w:t>
      </w:r>
      <w:r w:rsidRPr="00593418">
        <w:rPr>
          <w:lang w:eastAsia="en-GB"/>
        </w:rPr>
        <w:t xml:space="preserve"> u prvom kvartalu naredne godine.</w:t>
      </w:r>
      <w:r w:rsidR="0037764D">
        <w:rPr>
          <w:lang w:eastAsia="en-GB"/>
        </w:rPr>
        <w:t xml:space="preserve"> </w:t>
      </w:r>
    </w:p>
    <w:p w14:paraId="4B0D473F" w14:textId="77777777" w:rsidR="00196AA0" w:rsidRDefault="00772453" w:rsidP="00772453">
      <w:pPr>
        <w:spacing w:after="120" w:line="240" w:lineRule="auto"/>
        <w:jc w:val="both"/>
        <w:rPr>
          <w:lang w:eastAsia="en-GB"/>
        </w:rPr>
      </w:pPr>
      <w:r w:rsidRPr="00593418">
        <w:rPr>
          <w:lang w:eastAsia="en-GB"/>
        </w:rPr>
        <w:t>Na osnovu</w:t>
      </w:r>
      <w:r w:rsidR="00196AA0">
        <w:rPr>
          <w:lang w:eastAsia="en-GB"/>
        </w:rPr>
        <w:t>:</w:t>
      </w:r>
    </w:p>
    <w:p w14:paraId="4B3652CE" w14:textId="4D0F2EF1" w:rsidR="00196AA0" w:rsidRPr="00923467" w:rsidRDefault="00772453" w:rsidP="00923467">
      <w:pPr>
        <w:pStyle w:val="ListParagraph"/>
        <w:numPr>
          <w:ilvl w:val="0"/>
          <w:numId w:val="51"/>
        </w:numPr>
        <w:rPr>
          <w:lang w:val="it-IT" w:eastAsia="en-GB"/>
        </w:rPr>
      </w:pPr>
      <w:r w:rsidRPr="00923467">
        <w:rPr>
          <w:lang w:val="it-IT" w:eastAsia="en-GB"/>
        </w:rPr>
        <w:t xml:space="preserve">rezultata implementacije </w:t>
      </w:r>
      <w:r w:rsidR="00A02200" w:rsidRPr="00923467">
        <w:rPr>
          <w:lang w:val="it-IT" w:eastAsia="en-GB"/>
        </w:rPr>
        <w:t>S3</w:t>
      </w:r>
      <w:r w:rsidRPr="00923467">
        <w:rPr>
          <w:lang w:val="it-IT" w:eastAsia="en-GB"/>
        </w:rPr>
        <w:t xml:space="preserve"> koji su reflektovani kroz monitoring izvještaje</w:t>
      </w:r>
      <w:r w:rsidR="00196AA0" w:rsidRPr="00923467">
        <w:rPr>
          <w:lang w:val="it-IT" w:eastAsia="en-GB"/>
        </w:rPr>
        <w:t>;</w:t>
      </w:r>
    </w:p>
    <w:p w14:paraId="6C1CD3B6" w14:textId="4856C82A" w:rsidR="00196AA0" w:rsidRPr="00923467" w:rsidRDefault="00772453" w:rsidP="00923467">
      <w:pPr>
        <w:pStyle w:val="ListParagraph"/>
        <w:numPr>
          <w:ilvl w:val="0"/>
          <w:numId w:val="51"/>
        </w:numPr>
        <w:rPr>
          <w:lang w:val="it-IT" w:eastAsia="en-GB"/>
        </w:rPr>
      </w:pPr>
      <w:r w:rsidRPr="00923467">
        <w:rPr>
          <w:lang w:val="it-IT" w:eastAsia="en-GB"/>
        </w:rPr>
        <w:t xml:space="preserve">evaluacije </w:t>
      </w:r>
      <w:r w:rsidR="00196AA0" w:rsidRPr="00923467">
        <w:rPr>
          <w:lang w:val="it-IT" w:eastAsia="en-GB"/>
        </w:rPr>
        <w:t xml:space="preserve">efikasnosti </w:t>
      </w:r>
      <w:r w:rsidRPr="00923467">
        <w:rPr>
          <w:lang w:val="it-IT" w:eastAsia="en-GB"/>
        </w:rPr>
        <w:t>sistema</w:t>
      </w:r>
      <w:r w:rsidR="00196AA0" w:rsidRPr="00923467">
        <w:rPr>
          <w:lang w:val="it-IT" w:eastAsia="en-GB"/>
        </w:rPr>
        <w:t xml:space="preserve"> mjera uspostavljen</w:t>
      </w:r>
      <w:r w:rsidR="00E53DDA" w:rsidRPr="00923467">
        <w:rPr>
          <w:lang w:val="it-IT" w:eastAsia="en-GB"/>
        </w:rPr>
        <w:t>og</w:t>
      </w:r>
      <w:r w:rsidR="00196AA0" w:rsidRPr="00923467">
        <w:rPr>
          <w:lang w:val="it-IT" w:eastAsia="en-GB"/>
        </w:rPr>
        <w:t xml:space="preserve"> Strategijom S3; i</w:t>
      </w:r>
    </w:p>
    <w:p w14:paraId="748980E9" w14:textId="5E0BECBA" w:rsidR="00196AA0" w:rsidRPr="00923467" w:rsidRDefault="00772453" w:rsidP="00923467">
      <w:pPr>
        <w:pStyle w:val="ListParagraph"/>
        <w:numPr>
          <w:ilvl w:val="0"/>
          <w:numId w:val="51"/>
        </w:numPr>
        <w:rPr>
          <w:lang w:val="it-IT" w:eastAsia="en-GB"/>
        </w:rPr>
      </w:pPr>
      <w:r w:rsidRPr="00923467">
        <w:rPr>
          <w:lang w:val="it-IT" w:eastAsia="en-GB"/>
        </w:rPr>
        <w:t xml:space="preserve">rezultata kontinuiranog </w:t>
      </w:r>
      <w:r w:rsidR="00E53DDA" w:rsidRPr="00923467">
        <w:rPr>
          <w:lang w:val="it-IT" w:eastAsia="en-GB"/>
        </w:rPr>
        <w:t>P</w:t>
      </w:r>
      <w:r w:rsidRPr="00923467">
        <w:rPr>
          <w:lang w:val="it-IT" w:eastAsia="en-GB"/>
        </w:rPr>
        <w:t>rocesa preduzetničkog otkrivanja</w:t>
      </w:r>
      <w:r w:rsidR="00196AA0" w:rsidRPr="00923467">
        <w:rPr>
          <w:lang w:val="it-IT" w:eastAsia="en-GB"/>
        </w:rPr>
        <w:t xml:space="preserve"> </w:t>
      </w:r>
      <w:r w:rsidR="00E53DDA" w:rsidRPr="00923467">
        <w:rPr>
          <w:lang w:val="it-IT" w:eastAsia="en-GB"/>
        </w:rPr>
        <w:t xml:space="preserve">EDP </w:t>
      </w:r>
      <w:r w:rsidR="00196AA0" w:rsidRPr="00923467">
        <w:rPr>
          <w:lang w:val="it-IT" w:eastAsia="en-GB"/>
        </w:rPr>
        <w:t>(periodično konsultovanje zainteresovanih privrednih subjekata i udruženja),</w:t>
      </w:r>
    </w:p>
    <w:p w14:paraId="2EA09067" w14:textId="58AD9B4C" w:rsidR="00A76681" w:rsidRDefault="00196AA0" w:rsidP="00772453">
      <w:pPr>
        <w:spacing w:after="120" w:line="240" w:lineRule="auto"/>
        <w:jc w:val="both"/>
        <w:rPr>
          <w:lang w:eastAsia="en-GB"/>
        </w:rPr>
      </w:pPr>
      <w:r>
        <w:rPr>
          <w:lang w:eastAsia="en-GB"/>
        </w:rPr>
        <w:t xml:space="preserve">biće </w:t>
      </w:r>
      <w:r w:rsidR="00772453" w:rsidRPr="00593418">
        <w:rPr>
          <w:lang w:eastAsia="en-GB"/>
        </w:rPr>
        <w:t xml:space="preserve">moguće uraditi reviziju </w:t>
      </w:r>
      <w:r w:rsidR="00A02200">
        <w:rPr>
          <w:lang w:eastAsia="en-GB"/>
        </w:rPr>
        <w:t>S3</w:t>
      </w:r>
      <w:r>
        <w:rPr>
          <w:lang w:eastAsia="en-GB"/>
        </w:rPr>
        <w:t xml:space="preserve"> i prije isteka perioda na koji je ista usvojena</w:t>
      </w:r>
      <w:r w:rsidR="00772453" w:rsidRPr="00593418">
        <w:rPr>
          <w:lang w:eastAsia="en-GB"/>
        </w:rPr>
        <w:t xml:space="preserve">, ako </w:t>
      </w:r>
      <w:r>
        <w:rPr>
          <w:lang w:eastAsia="en-GB"/>
        </w:rPr>
        <w:t>i kada to bude</w:t>
      </w:r>
      <w:r w:rsidRPr="00593418">
        <w:rPr>
          <w:lang w:eastAsia="en-GB"/>
        </w:rPr>
        <w:t xml:space="preserve"> </w:t>
      </w:r>
      <w:r w:rsidR="00772453" w:rsidRPr="00593418">
        <w:rPr>
          <w:lang w:eastAsia="en-GB"/>
        </w:rPr>
        <w:t xml:space="preserve">potrebno. Za proces revizije </w:t>
      </w:r>
      <w:r w:rsidR="00A02200">
        <w:rPr>
          <w:lang w:eastAsia="en-GB"/>
        </w:rPr>
        <w:t>S3</w:t>
      </w:r>
      <w:r w:rsidR="00772453" w:rsidRPr="00593418">
        <w:rPr>
          <w:lang w:eastAsia="en-GB"/>
        </w:rPr>
        <w:t xml:space="preserve"> zadužena je </w:t>
      </w:r>
      <w:r w:rsidR="00A02200">
        <w:rPr>
          <w:lang w:eastAsia="en-GB"/>
        </w:rPr>
        <w:t>S3</w:t>
      </w:r>
      <w:r w:rsidR="00772453" w:rsidRPr="00593418">
        <w:rPr>
          <w:lang w:eastAsia="en-GB"/>
        </w:rPr>
        <w:t xml:space="preserve"> strateška grupa u s</w:t>
      </w:r>
      <w:r w:rsidR="0074420E" w:rsidRPr="00593418">
        <w:rPr>
          <w:lang w:eastAsia="en-GB"/>
        </w:rPr>
        <w:t>aradnji sa Ministarstvom nauke</w:t>
      </w:r>
      <w:r w:rsidR="009542A2">
        <w:rPr>
          <w:lang w:eastAsia="en-GB"/>
        </w:rPr>
        <w:t>.</w:t>
      </w:r>
    </w:p>
    <w:p w14:paraId="73C0D5BC" w14:textId="502EAB24" w:rsidR="00A76681" w:rsidRPr="00A327C7" w:rsidRDefault="00A76681" w:rsidP="005E034D">
      <w:pPr>
        <w:suppressAutoHyphens w:val="0"/>
        <w:spacing w:after="0" w:line="240" w:lineRule="auto"/>
        <w:rPr>
          <w:lang w:eastAsia="en-GB"/>
        </w:rPr>
        <w:sectPr w:rsidR="00A76681" w:rsidRPr="00A327C7" w:rsidSect="005057E7">
          <w:footerReference w:type="default" r:id="rId39"/>
          <w:pgSz w:w="11906" w:h="16838" w:code="9"/>
          <w:pgMar w:top="1440" w:right="1440" w:bottom="1440" w:left="1440" w:header="720" w:footer="720" w:gutter="0"/>
          <w:cols w:space="720"/>
          <w:docGrid w:linePitch="360" w:charSpace="-2254"/>
        </w:sectPr>
      </w:pPr>
    </w:p>
    <w:tbl>
      <w:tblPr>
        <w:tblpPr w:leftFromText="180" w:rightFromText="180" w:horzAnchor="margin" w:tblpX="-275" w:tblpY="-1440"/>
        <w:tblW w:w="4850" w:type="pct"/>
        <w:tblLayout w:type="fixed"/>
        <w:tblLook w:val="04A0" w:firstRow="1" w:lastRow="0" w:firstColumn="1" w:lastColumn="0" w:noHBand="0" w:noVBand="1"/>
      </w:tblPr>
      <w:tblGrid>
        <w:gridCol w:w="744"/>
        <w:gridCol w:w="767"/>
        <w:gridCol w:w="1343"/>
        <w:gridCol w:w="841"/>
        <w:gridCol w:w="1069"/>
        <w:gridCol w:w="932"/>
        <w:gridCol w:w="1693"/>
        <w:gridCol w:w="1357"/>
      </w:tblGrid>
      <w:tr w:rsidR="00F0529E" w:rsidRPr="00DE5A29" w14:paraId="2662EA24" w14:textId="77777777" w:rsidTr="005D0C15">
        <w:trPr>
          <w:trHeight w:val="13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CEE6" w14:textId="77777777" w:rsidR="00F0529E" w:rsidRPr="00593418" w:rsidRDefault="00F0529E" w:rsidP="002A03B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lastRenderedPageBreak/>
              <w:t>Strateški ciljevi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303" w14:textId="77777777" w:rsidR="00F0529E" w:rsidRPr="00593418" w:rsidRDefault="00F0529E" w:rsidP="002A03B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Specifični ciljevi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428A" w14:textId="77777777" w:rsidR="00F0529E" w:rsidRPr="00593418" w:rsidRDefault="00F0529E" w:rsidP="002A03B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Instrumenti r</w:t>
            </w: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azvojn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e</w:t>
            </w: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 xml:space="preserve"> politik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e</w:t>
            </w: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89EA" w14:textId="77777777" w:rsidR="00F0529E" w:rsidRPr="00593418" w:rsidRDefault="00F0529E" w:rsidP="002A03B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Priorit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et</w:t>
            </w: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na oblast*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B16B" w14:textId="77777777" w:rsidR="00F0529E" w:rsidRPr="00593418" w:rsidRDefault="00F0529E" w:rsidP="002A03B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 xml:space="preserve">Izlazni </w:t>
            </w: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 xml:space="preserve">Indikatori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6C9" w14:textId="77777777" w:rsidR="00F0529E" w:rsidRPr="00593418" w:rsidRDefault="00F0529E" w:rsidP="002A03B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Učestalost izvještavanja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8308" w14:textId="77777777" w:rsidR="00F0529E" w:rsidRPr="00593418" w:rsidRDefault="00F0529E" w:rsidP="002A03B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Indikatori rezultata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DA6F7" w14:textId="77777777" w:rsidR="00F0529E" w:rsidRDefault="00F0529E" w:rsidP="002A03B2">
            <w:pPr>
              <w:suppressAutoHyphens w:val="0"/>
              <w:spacing w:after="0" w:line="240" w:lineRule="auto"/>
              <w:ind w:left="-1668" w:firstLine="1668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 xml:space="preserve">Učestalost </w:t>
            </w:r>
          </w:p>
          <w:p w14:paraId="52EB427F" w14:textId="77777777" w:rsidR="00F0529E" w:rsidRPr="00593418" w:rsidRDefault="00F0529E" w:rsidP="002A03B2">
            <w:pPr>
              <w:suppressAutoHyphens w:val="0"/>
              <w:spacing w:after="0" w:line="240" w:lineRule="auto"/>
              <w:ind w:left="-1668" w:firstLine="1668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izvj</w:t>
            </w:r>
            <w:r w:rsidRPr="00593418"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e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kern w:val="0"/>
                <w:sz w:val="15"/>
                <w:szCs w:val="15"/>
              </w:rPr>
              <w:t>štavanja</w:t>
            </w:r>
          </w:p>
        </w:tc>
      </w:tr>
      <w:tr w:rsidR="00F0529E" w:rsidRPr="00DE5A29" w14:paraId="53C0D572" w14:textId="77777777" w:rsidTr="005D0C15">
        <w:trPr>
          <w:trHeight w:val="251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3BBD1F0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hAnsiTheme="minorHAnsi"/>
                <w:color w:val="000000"/>
                <w:sz w:val="15"/>
                <w:szCs w:val="15"/>
              </w:rPr>
              <w:t>Jačanje saradnje akademskog i privrednog sektora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615D037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Kreirati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atraktivno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okruženje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za inovacije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85C0DC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Centri izvrsnosti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E8A7C8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ICT, OPLVH, OZT</w:t>
            </w:r>
          </w:p>
          <w:p w14:paraId="71D898C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D6980D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istra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ži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vača angažovanih u CI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</w:tcPr>
          <w:p w14:paraId="7381096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851B47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novih akademsko-privrednih inicijativa (projektni prijedlozi, ugovori o uslugama itd.) koji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će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nastati kroz zajedničku interakciju</w:t>
            </w:r>
          </w:p>
          <w:p w14:paraId="3184239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556888A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16BCB5FF" w14:textId="77777777" w:rsidTr="005D0C15">
        <w:trPr>
          <w:trHeight w:val="264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27C962E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73E45F1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B208BB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Naučno-tehnološki park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A9B975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E0A75A5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preduzeća – stanara u NTP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  <w:p w14:paraId="025010E3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4A4950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korisnika usluga NTP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8F7039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751AFF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 Broj novih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inovativnih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inicijativa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 preduzeća</w:t>
            </w:r>
          </w:p>
          <w:p w14:paraId="23D8771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25D7776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6CEBD673" w14:textId="77777777" w:rsidTr="005D0C15">
        <w:trPr>
          <w:trHeight w:val="476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609EC01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453C24F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F64210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Program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podsticanja razvoja klastera u Crnoj Gori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F53F3F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2C23BB1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klastera po sektorima (MSP, institucije Vlade CG,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niverziteti, privatne asocijacije)</w:t>
            </w:r>
          </w:p>
          <w:p w14:paraId="3078D8A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71C795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674C42" w14:textId="77777777" w:rsidR="00F0529E" w:rsidRPr="00D048C2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članova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klastera po sektorima</w:t>
            </w:r>
            <w:r w:rsidRPr="00D048C2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  <w:p w14:paraId="37E5310E" w14:textId="77777777" w:rsidR="00F0529E" w:rsidRPr="00D048C2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D048C2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novih proizvoda i usluga</w:t>
            </w:r>
          </w:p>
          <w:p w14:paraId="6E97BEF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E855A73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51D18944" w14:textId="77777777" w:rsidTr="005D0C15">
        <w:trPr>
          <w:trHeight w:val="79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2E8EF07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CABD448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6FB99D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Program povećanja regionalne i lokalne konkurentnosti kroz usaglašavanje sa zahtjevima međunarodnih standarda poslovanja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D496BC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4B789C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302C8542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MSP preduzeća koja implementiraju standarde </w:t>
            </w:r>
          </w:p>
          <w:p w14:paraId="37010E2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E885AC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100EC2F5" w14:textId="77777777" w:rsidR="00F0529E" w:rsidRPr="007B00E7" w:rsidDel="003E2269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159FBDC" w14:textId="77777777" w:rsidR="00F0529E" w:rsidRPr="00D048C2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D048C2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/ procenat</w:t>
            </w:r>
          </w:p>
          <w:p w14:paraId="141FEC02" w14:textId="77777777" w:rsidR="00F0529E" w:rsidRPr="00D048C2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D048C2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standardizovanih proizvoda i  usluga, procesa i  sistema organizacije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7ADCE56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226701B9" w14:textId="77777777" w:rsidTr="005D0C15">
        <w:trPr>
          <w:trHeight w:val="45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6E8BCF3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049A59B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Poboljšati razmjenu znanja i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jačanje inovacionog potencijala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06F787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Kancelarija za transfer tehnologija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F6CA08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5564EB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preduzeća uključenih u TT</w:t>
            </w:r>
          </w:p>
          <w:p w14:paraId="1B16211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AFF3C3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CB5651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licenci (patenti ili autorska prava)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F4FBA8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</w:tr>
      <w:tr w:rsidR="00F0529E" w:rsidRPr="00DE5A29" w14:paraId="42E91407" w14:textId="77777777" w:rsidTr="005D0C15">
        <w:trPr>
          <w:trHeight w:val="53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64B9D7B1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4894981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79A73D5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Uspostavljanje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latforme za tehnološki transfer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B5A79E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904B192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istraživačkih grupa u okviru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S3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prioritetnih oblasti koje se nalaze  na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latformi</w:t>
            </w:r>
          </w:p>
          <w:p w14:paraId="741D0F85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9E9473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55E0A6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novoosnovanih akademskih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‚‚spin-off‚‚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preduzeća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3C11FAE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03F1CD2F" w14:textId="77777777" w:rsidTr="005D0C15">
        <w:trPr>
          <w:trHeight w:val="62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02B224C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07392CF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77F280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Program unapr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eđenja inovativnosti u malim i srednjim preduzećima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42F374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2695A51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podržanih preduzeća </w:t>
            </w:r>
          </w:p>
          <w:p w14:paraId="5EBAAAF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A3EBCB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3DBC98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istraživačkih/inovativnih ugovora preduzeća  sa konsultantima (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niverzitetima, javnim istraživačkim organizacijama)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1CDEC5E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  <w:r w:rsidRPr="00593418" w:rsidDel="00D70E0F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F0529E" w:rsidRPr="00DE5A29" w14:paraId="2B2BC27C" w14:textId="77777777" w:rsidTr="005D0C15">
        <w:trPr>
          <w:trHeight w:val="43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6E59414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12A9D1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D9095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  <w:highlight w:val="yellow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Projekti manjeg obima za evaluaciju tehnologija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34933C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A54A1A6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finansiranih projekata</w:t>
            </w:r>
          </w:p>
          <w:p w14:paraId="4BCA524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BC2E94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F7CE65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prototipova, dokaza koncepta i pilot proizvoda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59DA0BA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dišnje</w:t>
            </w:r>
            <w:r w:rsidRPr="00593418" w:rsidDel="00D70E0F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F0529E" w:rsidRPr="00DE5A29" w14:paraId="7E420E39" w14:textId="77777777" w:rsidTr="005D0C15">
        <w:trPr>
          <w:trHeight w:val="837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48D0CA6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CF132C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Jačanje inovac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ionih aktivnosti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kroz kolaboraciju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C35A49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Grantovi za kolaborativne primijenjene istraživačke i inovativne projekte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0F89D8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CBF5DD7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finansiranih projekata</w:t>
            </w:r>
          </w:p>
          <w:p w14:paraId="047FE43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963B7A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188493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razvijenih inovativnih proizvoda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, </w:t>
            </w:r>
            <w:r w:rsidRPr="00DC202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servisa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ili procesa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46CD55D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dišnje</w:t>
            </w:r>
            <w:r w:rsidRPr="00593418" w:rsidDel="00D70E0F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F0529E" w:rsidRPr="00DE5A29" w14:paraId="10A085B6" w14:textId="77777777" w:rsidTr="005D0C15">
        <w:trPr>
          <w:trHeight w:val="818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7289ED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</w:tcPr>
          <w:p w14:paraId="7C61600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Unapređenje zaštite prava intelektualne svojine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EAD33B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Revizija i izmjene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pravnog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okvira i infrastrukture za prava intelektualne svojine</w:t>
            </w:r>
          </w:p>
          <w:p w14:paraId="15A70C5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4922DC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6F38EB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Procenat usklađenosti pravnog okvira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za prava intelektualne svojin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</w:t>
            </w:r>
          </w:p>
          <w:p w14:paraId="38B64D95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4CB1DD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lastRenderedPageBreak/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F44198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zaštićenih patenata i drugih prava intelektualne svojine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294C6EF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  <w:r w:rsidRPr="00593418" w:rsidDel="00D70E0F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F0529E" w:rsidRPr="00DE5A29" w14:paraId="7AE2B9E6" w14:textId="77777777" w:rsidTr="005D0C15">
        <w:trPr>
          <w:trHeight w:val="5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936442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31E1460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A47C39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Sufinansiranje patentnih troškova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E287F22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2A20310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sufinansiranih patentnih aplikacija</w:t>
            </w:r>
          </w:p>
          <w:p w14:paraId="6C5C29C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6BB43CF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251C8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zaštićenih patenata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FC59B47" w14:textId="77777777" w:rsidR="00F0529E" w:rsidRPr="00593418" w:rsidRDefault="00F0529E" w:rsidP="002A03B2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  <w:r w:rsidRPr="00593418" w:rsidDel="00D70E0F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</w:tr>
      <w:tr w:rsidR="00F0529E" w:rsidRPr="00DE5A29" w14:paraId="0573B1EE" w14:textId="77777777" w:rsidTr="005D0C15">
        <w:trPr>
          <w:trHeight w:val="983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70294D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Unapr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eđenje pristupa međunarodnim centrima znanja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915696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Osigurati i  proširiti pristup međunarodnim istraživačkim projektima, inicijativama i infrastrukturama</w:t>
            </w:r>
          </w:p>
          <w:p w14:paraId="7579781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  <w:p w14:paraId="50003AB5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  <w:p w14:paraId="33D9087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825DD5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Uključivanje u bilateralne i multilateralne istraživačke i inovativne sporazume</w:t>
            </w:r>
          </w:p>
          <w:p w14:paraId="4FA87FC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3C0D0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0CD984C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finansiranih projekata</w:t>
            </w:r>
          </w:p>
          <w:p w14:paraId="5A5856A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A01239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BFAA1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zajedničkih publikacija sa istraživačima iz partnerskim institucija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BED9B8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41621B4E" w14:textId="77777777" w:rsidTr="005D0C15">
        <w:trPr>
          <w:trHeight w:val="52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427DB9EC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C5270F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C5AD7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SEEIIST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9BBAE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OZT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C5E8E4D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istraživača angažovanih u bilateraln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im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i multilateraln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im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projekt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ima</w:t>
            </w:r>
          </w:p>
          <w:p w14:paraId="5286245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2E28D9" w14:textId="77777777" w:rsidR="00F0529E" w:rsidRPr="007675E5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8E212F5" w14:textId="77777777" w:rsidR="00F0529E" w:rsidRPr="00691E75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691E75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Broj radova u prvih 10% najcitiranijih publikacija i časopisa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3FDF9B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6C3D167D" w14:textId="77777777" w:rsidTr="005D0C15">
        <w:trPr>
          <w:trHeight w:val="619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BBE44CB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7D620831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4E147F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Grantovi za mobilnost mladih istraživača i preduzetnika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191EA6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5DA42F1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osoba-dana p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rovedenih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na mobilnost</w:t>
            </w:r>
          </w:p>
          <w:p w14:paraId="7146E30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77F73D5" w14:textId="77777777" w:rsidR="00F0529E" w:rsidRPr="007675E5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8B7D61" w14:textId="77777777" w:rsidR="00F0529E" w:rsidRPr="00691E75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691E75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Broj bilateralnih i multilateralnih projekata i partnerstava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555EBA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479D35BC" w14:textId="77777777" w:rsidTr="005D0C15">
        <w:trPr>
          <w:trHeight w:val="52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7E94B08B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945BD5B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7E257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Mobilnost istraživača i profesora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96F7B0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4CEA11D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istraživača i profesora angažovanih u novim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institucijama i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projektima</w:t>
            </w:r>
          </w:p>
          <w:p w14:paraId="1607C7E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BBD42" w14:textId="77777777" w:rsidR="00F0529E" w:rsidRPr="007675E5" w:rsidDel="00C84312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2E8617E" w14:textId="77777777" w:rsidR="00F0529E" w:rsidRPr="00691E75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691E75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zajedničkih publikacija i realizovanih projekata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F11AC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748F6732" w14:textId="77777777" w:rsidTr="005D0C15">
        <w:trPr>
          <w:trHeight w:val="84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75234748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5729B2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Poboljšati učešće na međunarodnoj naučnoj i inovativnoj sceni</w:t>
            </w:r>
          </w:p>
          <w:p w14:paraId="78B6122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  <w:p w14:paraId="7BE297B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  <w:p w14:paraId="3EE2260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4D90A4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Pružiti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tehničku podršku za projektne a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plikacije u  okviru H2020/HEU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56CCAD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AE940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projektnih aplikacija koje su imale tehničk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podršku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za učešće u EU Okvirnom programu za istraživanje i inovacije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71253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4AE491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Stopa uspješnosti aplikacija (%) u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EU Okvirnom programu za istraživanje i inovacije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D36A61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3EA2203D" w14:textId="77777777" w:rsidTr="005D0C15">
        <w:trPr>
          <w:trHeight w:val="43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3C76E00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377C3CF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343C795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Obezbijediti dopunske ili namjenske grantove za učešće u međunarodnim kompetitivnim istraživačkim i inovativnim programima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0F08111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43847D5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učesnika na projektima 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EU Okvirnog programa za istraživanje i inovacije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kojima je dodijeljeno dodatno nacionalno finansiranje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4CC85DB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DC05F1E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projekata u kojima je Crna Gora koordinator</w:t>
            </w:r>
          </w:p>
          <w:p w14:paraId="180DE4B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80CA3D0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  <w:p w14:paraId="47F54026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26AAC6A0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0092B348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16F48BC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7F271D22" w14:textId="77777777" w:rsidTr="005D0C15">
        <w:trPr>
          <w:trHeight w:val="43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CBBA12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7523623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97B9F3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98B71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BB57FB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F27C4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D97A5E8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projekata u kojima je Crna Gora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partner</w:t>
            </w:r>
          </w:p>
          <w:p w14:paraId="6DC4B2D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E0E8C3F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F0529E" w:rsidRPr="00DE5A29" w14:paraId="0AE89EE3" w14:textId="77777777" w:rsidTr="005D0C15">
        <w:trPr>
          <w:trHeight w:val="52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1A958FCC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76BA54E8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558334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Iskoristiti nacionalne centre evropskih mreža (NCPs, EEN)</w:t>
            </w:r>
          </w:p>
          <w:p w14:paraId="03B4135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Aktivno promovisanje učešća i integracije u međunarodnim mrežama (infodani, radionice, seminari)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2E55F32D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325EDCA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  <w:p w14:paraId="7C434A8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C8E294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Broj obučenih NCP-a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4D270B8" w14:textId="77777777" w:rsidR="00F0529E" w:rsidRPr="00593418" w:rsidDel="00402482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83B1A3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Uspješnost našeg učešća u projektima EU Okvirnog programa za istraživanje i inovacije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(%)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695B8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20967A6A" w14:textId="77777777" w:rsidTr="005D0C15">
        <w:trPr>
          <w:trHeight w:val="792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19242C5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BC55F6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DE9671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E25403C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61E3E4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promotivnih događaja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48D73C" w14:textId="77777777" w:rsidR="00F0529E" w:rsidRPr="007675E5" w:rsidDel="001F2823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275C261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</w:p>
          <w:p w14:paraId="5AAEFC2C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učesnika u promotivnim događajima</w:t>
            </w:r>
          </w:p>
          <w:p w14:paraId="060D0FBC" w14:textId="77777777" w:rsidR="00F0529E" w:rsidRPr="007675E5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E215A6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4481E4FB" w14:textId="77777777" w:rsidTr="005D0C15">
        <w:trPr>
          <w:trHeight w:val="108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47E2E92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7187E2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Uključivanje crnogorske naučne dijaspore u nacionalni inovacioni sistem</w:t>
            </w:r>
          </w:p>
          <w:p w14:paraId="31AC5BF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3C51A6C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Proširenje i održavanje globalne mreže crnogorskih istraživača</w:t>
            </w:r>
          </w:p>
          <w:p w14:paraId="23778D5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Pružiti mogućnosti za dolazeću mobilnost kako bi se ostvarilo sticanje međunarodnog znanja od istraživača iz dijaspore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3C75F7CE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14B0725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01EC7D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  <w:p w14:paraId="47E5A6A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038025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istraživača iz dijaspore u mreži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BE354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0F63D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zajedničkih aktivnosti istraživača iz Crne Gore i dijaspore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C76615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295CB7B3" w14:textId="77777777" w:rsidTr="005D0C15">
        <w:trPr>
          <w:trHeight w:val="106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463A53D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6B0279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EBB1A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30C5AA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BFE3E2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osoba-dana istraživača iz dijaspore provedenih u Crnoj Gori (razvrstano po aktivnostima)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3A2A886" w14:textId="77777777" w:rsidR="00F0529E" w:rsidRPr="007675E5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227CE0E" w14:textId="77777777" w:rsidR="00F0529E" w:rsidRPr="00DC202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DC202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zajedničkih publikacija</w:t>
            </w:r>
          </w:p>
          <w:p w14:paraId="2C18E3D3" w14:textId="77777777" w:rsidR="00F0529E" w:rsidRPr="00DC202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1E8EF57" w14:textId="77777777" w:rsidR="00F0529E" w:rsidRPr="00DC202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DC202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zajednički prijavljenih projekata</w:t>
            </w:r>
          </w:p>
          <w:p w14:paraId="7032C6B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66FDC905" w14:textId="77777777" w:rsidR="00F0529E" w:rsidRPr="007675E5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kern w:val="0"/>
                <w:sz w:val="15"/>
                <w:szCs w:val="15"/>
              </w:rPr>
            </w:pPr>
            <w:r w:rsidRPr="00DC202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realizovanih projekata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15B8B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4A51459D" w14:textId="77777777" w:rsidTr="005D0C15">
        <w:trPr>
          <w:trHeight w:val="1034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50018BB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4FC19B7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Promovisanje nacionalnog istraživačkog i inovativnog sistema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175324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Podrška za organizovanje međunarodnih naučnih konferencija i učešće na njima</w:t>
            </w:r>
          </w:p>
          <w:p w14:paraId="181629FB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25553C68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1FB1A6D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2931ADBA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71E2822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A7D3E2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istraživača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na konferencijama organizovanih u CG</w:t>
            </w:r>
          </w:p>
          <w:p w14:paraId="5678441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5EDA0385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CC5F03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citata po citiranoj publikaciji</w:t>
            </w:r>
          </w:p>
          <w:p w14:paraId="009E35B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07F9A5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577DE460" w14:textId="77777777" w:rsidTr="005D0C15">
        <w:trPr>
          <w:trHeight w:val="746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2AE871F3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32684FEB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66CEBFA3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249AC52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Promo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visanje publikacija sa otvorenim pristupom</w:t>
            </w:r>
          </w:p>
          <w:p w14:paraId="608B3DF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8D4244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5D80E746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53551B4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istraživača podržanih za učešće na konferencijama u       inostranstvu 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14:paraId="598C4819" w14:textId="77777777" w:rsidR="00F0529E" w:rsidRPr="00DE5A29" w:rsidRDefault="00F0529E" w:rsidP="002A03B2">
            <w:pPr>
              <w:tabs>
                <w:tab w:val="left" w:pos="3777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5B6BB86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</w:p>
          <w:p w14:paraId="7E44F8B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citata po publikaciji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                    </w:t>
            </w:r>
          </w:p>
          <w:p w14:paraId="37067A0B" w14:textId="77777777" w:rsidR="00F0529E" w:rsidRPr="006F19B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84D1B0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186D10AD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  <w:p w14:paraId="2B25781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F0529E" w:rsidRPr="00DE5A29" w14:paraId="3D6D2942" w14:textId="77777777" w:rsidTr="005D0C15">
        <w:trPr>
          <w:trHeight w:val="480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3AF09AC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D12DA4F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74DE5D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277141E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D4B806A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publikacija sa otvorenim pristupom koji su finansijski podr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ž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ani</w:t>
            </w:r>
          </w:p>
          <w:p w14:paraId="648A4137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publikacija sa otvorenim pristupom koji su finansijski podr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ž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aniBroj publikacija sa otvorenim pristupom koji su finansijski podr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ž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ani</w:t>
            </w:r>
            <w:r w:rsidRPr="00593418" w:rsidDel="00E708CE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publikacija sa otvorenim pristupom koji su finansijski podr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ž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ani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</w:tcPr>
          <w:p w14:paraId="26F4CB99" w14:textId="77777777" w:rsidR="00F0529E" w:rsidRPr="00DE5A29" w:rsidRDefault="00F0529E" w:rsidP="002A03B2">
            <w:pPr>
              <w:tabs>
                <w:tab w:val="left" w:pos="3777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</w:tcPr>
          <w:p w14:paraId="183386A6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0BC14E86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citata po publikaciji kao i broj korisnika rezultata objavljenih istraživanja</w:t>
            </w:r>
          </w:p>
          <w:p w14:paraId="11EE1159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751C2C51" w14:textId="77777777" w:rsidR="00F0529E" w:rsidRPr="006F19B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</w:tcPr>
          <w:p w14:paraId="54DD06FA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3E617FB5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2601873E" w14:textId="77777777" w:rsidTr="005D0C15">
        <w:trPr>
          <w:trHeight w:val="1256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1FD48F0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Cambria"/>
                <w:sz w:val="20"/>
                <w:szCs w:val="20"/>
                <w:lang w:eastAsia="en-GB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Jačanje javnog istraživačkog sistema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801FB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Osigurati stabilno finansiranje za javna primijenjena istraživanja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4E7CD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Grantovi za primijenjena istraživanja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17FC2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F3138E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finansiranih projekata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</w:tcPr>
          <w:p w14:paraId="0E612D3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</w:tcPr>
          <w:p w14:paraId="410F95E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novih inovativnih proizvoda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, </w:t>
            </w:r>
            <w:r w:rsidRPr="00832B8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servisa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ili procesa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kao i b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roj patentnih aplikacija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</w:tcPr>
          <w:p w14:paraId="0DF5B3D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4FEDD194" w14:textId="77777777" w:rsidTr="005D0C15">
        <w:trPr>
          <w:trHeight w:val="52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23AE0F38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678AABF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Jačanje istraživačke infrastrukture</w:t>
            </w:r>
          </w:p>
          <w:p w14:paraId="4DF2F2C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  <w:p w14:paraId="7C59696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2E7B5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Istraživačko-inovativna infrastruktura</w:t>
            </w:r>
          </w:p>
          <w:p w14:paraId="4B3DFB3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23DC361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212FB0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3D34EEA5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  <w:p w14:paraId="32B4052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  <w:p w14:paraId="3F35D75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F933DB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novih Istraživačko-inovativnih laboratorija ili nadogradnja postojećih </w:t>
            </w:r>
          </w:p>
          <w:p w14:paraId="1EB23FF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4B9A1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A63AEF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publikacija CG u 10% najcitiranijih u svijetu po oblastima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3BF33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2A17E48C" w14:textId="77777777" w:rsidTr="005D0C15">
        <w:trPr>
          <w:trHeight w:val="264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718E03B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703255DB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614977C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Istraživačko-inovativna oprema</w:t>
            </w:r>
          </w:p>
          <w:p w14:paraId="6F0463A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16702EA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8BA717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nabavljene nove opreme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A0CAC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A905CF5" w14:textId="77777777" w:rsidR="00F0529E" w:rsidRPr="00C33C77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kern w:val="0"/>
                <w:sz w:val="15"/>
                <w:szCs w:val="15"/>
              </w:rPr>
            </w:pPr>
            <w:r w:rsidRPr="00832B8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novih istraživačkih i komercijalnih servisa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F4AF7F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6411CD6C" w14:textId="77777777" w:rsidTr="005D0C15">
        <w:trPr>
          <w:trHeight w:val="52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71A7A7A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7D76E82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EB75DF3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Predstvaljanje pravnog okvira za otvoreni pristup istraživačke infrastrukture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B9BFC42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A2946AB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C88EE0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istraživača koji koristi infrastrukturu putem otvorenog pristupa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C206F91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364CC2A" w14:textId="77777777" w:rsidR="00F0529E" w:rsidRPr="00C33C77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 Procenat Istraživačko-inovativnih kapaciteta koji se koristi putem otvorenog pristupa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CF953D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</w:tr>
      <w:tr w:rsidR="00F0529E" w:rsidRPr="00DE5A29" w14:paraId="7CE6AA1D" w14:textId="77777777" w:rsidTr="005D0C15">
        <w:trPr>
          <w:trHeight w:val="62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1A02872C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6E085BC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Pružiti napredne servise istraživačkoj zajednici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51B5D55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Obezbijediti pristup naučnoj literaturi i izvore podataka </w:t>
            </w:r>
          </w:p>
          <w:p w14:paraId="47C6EBD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35523A2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  <w:p w14:paraId="2E8E842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2C6F86C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4D937C1B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2E0CE78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401B307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6E1DFEF8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istraživača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koji 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korist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naučn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literatur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</w:t>
            </w:r>
          </w:p>
          <w:p w14:paraId="0FCB587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070DCE7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37B72B30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publikacija</w:t>
            </w:r>
          </w:p>
          <w:p w14:paraId="09009680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769A599B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1A6C767D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  <w:p w14:paraId="4E0A518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F0529E" w:rsidRPr="004360F3" w14:paraId="33420CD9" w14:textId="77777777" w:rsidTr="005D0C15">
        <w:trPr>
          <w:trHeight w:val="396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3819275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380680AE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6C8371C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Podrška ICT servisima crnogorske naučne mreže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09B0754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18ED44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pristupa bazi naučne     literature</w:t>
            </w:r>
          </w:p>
          <w:p w14:paraId="6F72217F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87BFB7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  <w:p w14:paraId="176A3D6D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61C33F7C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A675D6D" w14:textId="77777777" w:rsidR="00F0529E" w:rsidRPr="00832B8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832B8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publikacija</w:t>
            </w:r>
          </w:p>
          <w:p w14:paraId="0A77EF39" w14:textId="77777777" w:rsidR="00F0529E" w:rsidRPr="00832B8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36212244" w14:textId="77777777" w:rsidR="00F0529E" w:rsidRPr="004360F3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02C6C4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4360F3" w14:paraId="6C43E81A" w14:textId="77777777" w:rsidTr="005D0C15">
        <w:trPr>
          <w:trHeight w:val="584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07F3B7C1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2BDD0F34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5A9CF82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Podrška za MREN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2CC"/>
          </w:tcPr>
          <w:p w14:paraId="52EA090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76A19BA" w14:textId="77777777" w:rsidR="00F0529E" w:rsidRPr="0008302B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registrovanih istraživača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C69E4E3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  <w:p w14:paraId="457EBD18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2A291963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BFB260" w14:textId="77777777" w:rsidR="00F0529E" w:rsidRPr="00832B8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832B8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kolaborativnih istraživačkih projekata</w:t>
            </w:r>
          </w:p>
          <w:p w14:paraId="262AC453" w14:textId="77777777" w:rsidR="00F0529E" w:rsidRPr="004360F3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1BA6783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  <w:p w14:paraId="7721F1BD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F0529E" w:rsidRPr="004360F3" w14:paraId="2EA1319F" w14:textId="77777777" w:rsidTr="005D0C15">
        <w:trPr>
          <w:trHeight w:val="504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42C24C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C8CDA50" w14:textId="77777777" w:rsidR="00F0529E" w:rsidRPr="00DE5A29" w:rsidRDefault="00F0529E" w:rsidP="002A03B2">
            <w:pPr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2A002FC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F9F41C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BAC67E2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MREN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mrežni protok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01A2019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54E0E24" w14:textId="77777777" w:rsidR="00F0529E" w:rsidRPr="00832B8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832B8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objavljenih radova i</w:t>
            </w:r>
          </w:p>
          <w:p w14:paraId="1E813141" w14:textId="77777777" w:rsidR="00F0529E" w:rsidRPr="00832B84" w:rsidDel="002B6B8D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832B84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citata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D4B58F9" w14:textId="77777777" w:rsidR="00F0529E" w:rsidRPr="004360F3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56AF92F8" w14:textId="77777777" w:rsidTr="005D0C15">
        <w:trPr>
          <w:trHeight w:val="548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78F964D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Podrška inovativnim aktivnostima u privatnom sektoru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29F9D2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Korišćenje ulaganja I&amp;R&amp;I iz privatnog sektora  </w:t>
            </w:r>
          </w:p>
          <w:p w14:paraId="105B8D8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35015CF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Grantovi za inovativne projekte </w:t>
            </w:r>
          </w:p>
          <w:p w14:paraId="5261636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Grantovi za istraživačke projekte</w:t>
            </w:r>
          </w:p>
          <w:p w14:paraId="7D2FC2B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C4D747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27ADE6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finansiranih projekata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EB35DC7" w14:textId="77777777" w:rsidR="00F0529E" w:rsidRPr="00593418" w:rsidDel="00077CC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22169E5" w14:textId="77777777" w:rsidR="00F0529E" w:rsidRPr="00DE5A29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691E75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inovativnih proizvoda/ usluga, procesa, sistema organizacije i marketinga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6E83E6C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6E05A87C" w14:textId="77777777" w:rsidTr="005D0C15">
        <w:trPr>
          <w:trHeight w:val="42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8A616D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6C76C1C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B8B298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Poreske olakšice za I&amp;R</w:t>
            </w:r>
          </w:p>
          <w:p w14:paraId="14C4816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1A4F4BB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404D792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finansiranih projekata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772CE6F6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  <w:p w14:paraId="10A574DD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68101C0" w14:textId="77777777" w:rsidR="00F0529E" w:rsidRPr="005C02EF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691E75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objavljenih radova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E2CF6D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6F4A64BE" w14:textId="77777777" w:rsidTr="005D0C15">
        <w:trPr>
          <w:trHeight w:val="176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A1D80D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8E502F1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4AE7F9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Program podrške za modernizaciju prerađivačke industrije –kreditna podrška za nabavku opreme                        </w:t>
            </w:r>
          </w:p>
          <w:p w14:paraId="45609100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4A7971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C5C7BB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302E8F6" w14:textId="77777777" w:rsidR="00F0529E" w:rsidRPr="00DE5A29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1AFD1CC" w14:textId="77777777" w:rsidR="00F0529E" w:rsidRPr="00DE5A29" w:rsidRDefault="00F0529E" w:rsidP="002A03B2">
            <w:pPr>
              <w:spacing w:after="160" w:line="259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691E75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citata</w:t>
            </w: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110744D" w14:textId="77777777" w:rsidR="00F0529E" w:rsidRPr="00DE5A29" w:rsidRDefault="00F0529E" w:rsidP="002A03B2">
            <w:pPr>
              <w:spacing w:after="160" w:line="259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</w:tr>
      <w:tr w:rsidR="00F0529E" w:rsidRPr="00DE5A29" w14:paraId="61B25CE7" w14:textId="77777777" w:rsidTr="005D0C15">
        <w:trPr>
          <w:trHeight w:val="52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407C4C3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91435E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7646FD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323D9FC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16E5F9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preduzeća koji su ostvarila poreske olakšice 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2559219" w14:textId="77777777" w:rsidR="00F0529E" w:rsidDel="00077CC4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7D2A10D" w14:textId="77777777" w:rsidR="00F0529E" w:rsidRPr="00DE5A29" w:rsidRDefault="00F0529E" w:rsidP="002A03B2">
            <w:pPr>
              <w:tabs>
                <w:tab w:val="left" w:pos="3548"/>
              </w:tabs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Ukupna potro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š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nja na I&amp;R&amp;I od strane biznis-privrednog sektora 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6792CA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5749F287" w14:textId="77777777" w:rsidTr="005D0C15">
        <w:trPr>
          <w:trHeight w:val="324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2A2F52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0A33D2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16D90D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Program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podrške za modernizaciju prerađivačke industrije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-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Subvencija za nabavku opreme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4359ED6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BF67BA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9F3E9E6" w14:textId="77777777" w:rsidR="00F0529E" w:rsidRPr="00CA56EE" w:rsidRDefault="00F0529E" w:rsidP="002A03B2">
            <w:pPr>
              <w:tabs>
                <w:tab w:val="left" w:pos="361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D610A06" w14:textId="77777777" w:rsidR="00F0529E" w:rsidRPr="00DE5A29" w:rsidRDefault="00F0529E" w:rsidP="002A03B2">
            <w:pPr>
              <w:tabs>
                <w:tab w:val="left" w:pos="3548"/>
              </w:tabs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ECA707B" w14:textId="77777777" w:rsidR="00F0529E" w:rsidRPr="00DE5A29" w:rsidRDefault="00F0529E" w:rsidP="002A03B2">
            <w:pPr>
              <w:tabs>
                <w:tab w:val="left" w:pos="3548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</w:tr>
      <w:tr w:rsidR="00F0529E" w:rsidRPr="00DE5A29" w14:paraId="21F5F987" w14:textId="77777777" w:rsidTr="005D0C15">
        <w:trPr>
          <w:trHeight w:val="557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4AEA08B2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F5C84D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B60B5F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7832D093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078889E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08302B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preduzeća koja su dobila kredit</w:t>
            </w:r>
          </w:p>
          <w:p w14:paraId="3B1E00EC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09162A51" w14:textId="77777777" w:rsidR="00F0529E" w:rsidRPr="0008302B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2620AF7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64B7FA4" w14:textId="77777777" w:rsidR="00F0529E" w:rsidRPr="001123FD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inovacionih proizvoda i procesa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96CB595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  <w:p w14:paraId="6A7EEA78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F0529E" w:rsidRPr="00DE5A29" w14:paraId="02BFDA31" w14:textId="77777777" w:rsidTr="005D0C15">
        <w:trPr>
          <w:trHeight w:val="264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7472742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5DEDA4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168B50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8F5A23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25CD533" w14:textId="77777777" w:rsidR="00F0529E" w:rsidRPr="0008302B" w:rsidRDefault="00F0529E" w:rsidP="002A03B2">
            <w:pPr>
              <w:suppressAutoHyphens w:val="0"/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 w:val="15"/>
                <w:szCs w:val="15"/>
              </w:rPr>
            </w:pPr>
            <w:r w:rsidRPr="0008302B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preduzeća koja su dobila subvenciju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E6BC85D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7F27285" w14:textId="77777777" w:rsidR="00F0529E" w:rsidRPr="00DE5A29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inovacionih proizvoda i procesa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B20573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02F94121" w14:textId="77777777" w:rsidTr="005D0C15">
        <w:trPr>
          <w:trHeight w:val="827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522362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C848AC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Podrška razvoju ekonomije zasnovanoj na inovativnim aktivnostima</w:t>
            </w:r>
          </w:p>
          <w:p w14:paraId="63CBE00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F5D9B06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ENIF fond za inovativna preduzeća (WB EDIF-ENIF)</w:t>
            </w:r>
          </w:p>
          <w:p w14:paraId="6510F70A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6E22DDF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3E06ABCA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0F92DD1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25F5EB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preduzeća koja su finansirana ulaganjem u kapital (za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početnu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i razvojnu fazu)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FC0E692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  <w:p w14:paraId="565A5E4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3E0CC7F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inovacionih usluga, procesa i proizvoda </w:t>
            </w:r>
          </w:p>
          <w:p w14:paraId="42120F22" w14:textId="77777777" w:rsidR="00F0529E" w:rsidRPr="00DE5A29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9DB73E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14F7445F" w14:textId="77777777" w:rsidTr="005D0C15">
        <w:trPr>
          <w:trHeight w:val="349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F443FEB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854E54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BED9E08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Inkubatori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5D4515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D40D4B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novih inkubatora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EDEDED"/>
          </w:tcPr>
          <w:p w14:paraId="7B2E2C9A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  <w:p w14:paraId="3571F6E6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0199F0F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 Broj novoosnovanih preduzeća </w:t>
            </w:r>
          </w:p>
          <w:p w14:paraId="21F7E38F" w14:textId="77777777" w:rsidR="00F0529E" w:rsidRPr="001123FD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DE1A803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7A500B76" w14:textId="77777777" w:rsidTr="005D0C15">
        <w:trPr>
          <w:trHeight w:val="377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D06BCB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68287E8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8A49770" w14:textId="77777777" w:rsidR="00F0529E" w:rsidRPr="00593418" w:rsidDel="003C5E70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D527A7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0309B05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</w:tcPr>
          <w:p w14:paraId="33B7D16E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DEA2ECC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održivih preduzeća koja imaju svoje tržište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C1206AE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  <w:p w14:paraId="2A96E807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</w:tr>
      <w:tr w:rsidR="00F0529E" w:rsidRPr="00DE5A29" w14:paraId="60BF2998" w14:textId="77777777" w:rsidTr="005D0C15">
        <w:trPr>
          <w:trHeight w:val="324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BD4B38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9F890C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FD6B51A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Akceleratori</w:t>
            </w:r>
          </w:p>
          <w:p w14:paraId="5AEE709F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08637D39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6BC7B80A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7EC4AA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EF8953F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novih akceleratora</w:t>
            </w:r>
          </w:p>
          <w:p w14:paraId="51829503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EDEDED"/>
          </w:tcPr>
          <w:p w14:paraId="199B68FC" w14:textId="77777777" w:rsidR="00F0529E" w:rsidRPr="00CA56EE" w:rsidRDefault="00F0529E" w:rsidP="002A03B2">
            <w:pPr>
              <w:tabs>
                <w:tab w:val="left" w:pos="2901"/>
              </w:tabs>
              <w:spacing w:after="0" w:line="240" w:lineRule="auto"/>
              <w:ind w:right="353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A175DAA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preduzeća koja su dobila podršku </w:t>
            </w:r>
          </w:p>
          <w:p w14:paraId="6D7145F4" w14:textId="77777777" w:rsidR="00F0529E" w:rsidRPr="00CA56EE" w:rsidRDefault="00F0529E" w:rsidP="002A03B2">
            <w:pPr>
              <w:suppressAutoHyphens w:val="0"/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D95A3F1" w14:textId="77777777" w:rsidR="00F0529E" w:rsidRPr="00DE5A29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3E9FFD76" w14:textId="77777777" w:rsidTr="005D0C15">
        <w:trPr>
          <w:trHeight w:val="28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0AB8C4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70315462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F7F3694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E5D92B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6D29D93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nil"/>
            </w:tcBorders>
            <w:shd w:val="clear" w:color="000000" w:fill="EDEDED"/>
          </w:tcPr>
          <w:p w14:paraId="78F3C61F" w14:textId="77777777" w:rsidR="00F0529E" w:rsidRDefault="00F0529E" w:rsidP="002A03B2">
            <w:pPr>
              <w:tabs>
                <w:tab w:val="left" w:pos="2901"/>
              </w:tabs>
              <w:spacing w:after="0" w:line="240" w:lineRule="auto"/>
              <w:ind w:right="353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B049C88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preduzeća koja su dobila podršku</w:t>
            </w:r>
          </w:p>
          <w:p w14:paraId="3AF5DE41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55C3D15" w14:textId="77777777" w:rsidR="00F0529E" w:rsidRPr="00DE5A29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7CDC3A87" w14:textId="77777777" w:rsidTr="005D0C15">
        <w:trPr>
          <w:trHeight w:val="628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ACB5F8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071B7DDB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44B7F18E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FBABAD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99F87CE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nil"/>
            </w:tcBorders>
            <w:shd w:val="clear" w:color="000000" w:fill="EDEDED"/>
          </w:tcPr>
          <w:p w14:paraId="1829A34F" w14:textId="77777777" w:rsidR="00F0529E" w:rsidRDefault="00F0529E" w:rsidP="002A03B2">
            <w:pPr>
              <w:tabs>
                <w:tab w:val="left" w:pos="2901"/>
              </w:tabs>
              <w:spacing w:after="0" w:line="240" w:lineRule="auto"/>
              <w:ind w:right="353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06ACD6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visoko tehnoloških preduzeća koja su povećala broj zaposlenih</w:t>
            </w:r>
          </w:p>
          <w:p w14:paraId="6C5637F0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2ACDE62" w14:textId="77777777" w:rsidR="00F0529E" w:rsidRPr="00DE5A29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52C0371A" w14:textId="77777777" w:rsidTr="005D0C15">
        <w:trPr>
          <w:trHeight w:val="34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7BE409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48C0716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9CBCED2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ACA039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2F78AC5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nil"/>
            </w:tcBorders>
            <w:shd w:val="clear" w:color="000000" w:fill="EDEDED"/>
          </w:tcPr>
          <w:p w14:paraId="1D939125" w14:textId="77777777" w:rsidR="00F0529E" w:rsidRDefault="00F0529E" w:rsidP="002A03B2">
            <w:pPr>
              <w:tabs>
                <w:tab w:val="left" w:pos="2901"/>
              </w:tabs>
              <w:spacing w:after="0" w:line="240" w:lineRule="auto"/>
              <w:ind w:right="353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4133E95F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preduzeća koja su unaprijedila poslovanje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F8CAC70" w14:textId="77777777" w:rsidR="00F0529E" w:rsidRPr="00DE5A29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76154653" w14:textId="77777777" w:rsidTr="005D0C15">
        <w:trPr>
          <w:trHeight w:val="593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30EC85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929BBE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11978A3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Podizanje svijesti i pružanj obuk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o inovacijama i preduzetništvu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935CD2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00BECAA" w14:textId="77777777" w:rsidR="00F0529E" w:rsidRPr="000C66FB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o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rganizovanih obuka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o inovacijama i preduzetništvu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nil"/>
            </w:tcBorders>
            <w:shd w:val="clear" w:color="000000" w:fill="EDEDED"/>
          </w:tcPr>
          <w:p w14:paraId="448328FF" w14:textId="77777777" w:rsidR="00F0529E" w:rsidRPr="00CA56EE" w:rsidRDefault="00F0529E" w:rsidP="002A03B2">
            <w:pPr>
              <w:tabs>
                <w:tab w:val="left" w:pos="2901"/>
              </w:tabs>
              <w:spacing w:after="0" w:line="240" w:lineRule="auto"/>
              <w:ind w:right="353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76C8A669" w14:textId="77777777" w:rsidR="00F0529E" w:rsidRPr="00CA56EE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osoba koje su prošle obuku o inovacijama i preduzetništvu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AA4F9F1" w14:textId="77777777" w:rsidR="00F0529E" w:rsidRPr="00CA56EE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2ECB0CBC" w14:textId="77777777" w:rsidTr="005D0C15">
        <w:trPr>
          <w:trHeight w:val="436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2937CBB3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C8E5AE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5C43528C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DC2A8E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4FD5F91C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organizovanih markentiških kampanja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nil"/>
            </w:tcBorders>
            <w:shd w:val="clear" w:color="000000" w:fill="EDEDED"/>
          </w:tcPr>
          <w:p w14:paraId="5EC28F8C" w14:textId="77777777" w:rsidR="00F0529E" w:rsidRPr="00CA56EE" w:rsidRDefault="00F0529E" w:rsidP="002A03B2">
            <w:pPr>
              <w:tabs>
                <w:tab w:val="left" w:pos="2901"/>
              </w:tabs>
              <w:spacing w:after="0" w:line="240" w:lineRule="auto"/>
              <w:ind w:right="353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6909C8AC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Procenat informisanosti o programima podrške inovativnoj djelatnosti (anketa)</w:t>
            </w:r>
          </w:p>
          <w:p w14:paraId="37644E05" w14:textId="77777777" w:rsidR="00F0529E" w:rsidRPr="00CA56EE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E11DFFF" w14:textId="77777777" w:rsidR="00F0529E" w:rsidRPr="00CA56EE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1B4F6476" w14:textId="77777777" w:rsidTr="005D0C15">
        <w:trPr>
          <w:trHeight w:val="468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EB44CA2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5ECAF81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0415BABD" w14:textId="77777777" w:rsidR="00F0529E" w:rsidRPr="00593418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50A9941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14A30F60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</w:tcPr>
          <w:p w14:paraId="4E918142" w14:textId="77777777" w:rsidR="00F0529E" w:rsidRPr="00CA56EE" w:rsidRDefault="00F0529E" w:rsidP="002A03B2">
            <w:pPr>
              <w:tabs>
                <w:tab w:val="left" w:pos="2901"/>
              </w:tabs>
              <w:spacing w:after="0" w:line="240" w:lineRule="auto"/>
              <w:ind w:right="353"/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3F18A156" w14:textId="77777777" w:rsidR="00F0529E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Procenat povjerenja u inovativno preduzetništvo (anketa)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14:paraId="2EF22A59" w14:textId="77777777" w:rsidR="00F0529E" w:rsidRPr="00CA56EE" w:rsidRDefault="00F0529E" w:rsidP="002A03B2">
            <w:pPr>
              <w:tabs>
                <w:tab w:val="left" w:pos="3840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01068907" w14:textId="77777777" w:rsidTr="005D0C15">
        <w:trPr>
          <w:trHeight w:val="152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4FCDCB52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Jačanje ljudskih resursa u oblasti istraživanja i inovacija</w:t>
            </w:r>
          </w:p>
          <w:p w14:paraId="24FDFB6E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3EA3815B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21A64418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028F23DD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485F9247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157B8218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3E3A8419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65EA8174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70753F31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  <w:p w14:paraId="5D0624E6" w14:textId="77777777" w:rsidR="00F0529E" w:rsidRPr="000C66FB" w:rsidRDefault="00F0529E" w:rsidP="002A03B2">
            <w:pPr>
              <w:rPr>
                <w:rFonts w:asciiTheme="minorHAnsi" w:eastAsia="Times New Roman" w:hAnsiTheme="minorHAnsi" w:cs="Arial"/>
                <w:sz w:val="15"/>
                <w:szCs w:val="15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4FC26D30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Širenje naučne       zajednice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70E397E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Programi za zapošljavanje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doktora nauka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u privrednom sektoru i ustanovama visokog obrazovanja</w:t>
            </w:r>
          </w:p>
          <w:p w14:paraId="6647BECD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696FB3BC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7D4F1766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5E4197AB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15645F74" w14:textId="77777777" w:rsidR="00F0529E" w:rsidRDefault="00F0529E" w:rsidP="002A03B2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  <w:p w14:paraId="46AEA0E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OIE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EE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, NMOT, ICT, OZT, OPLVH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3460C8B7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podržanih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doktora nauka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</w:tcPr>
          <w:p w14:paraId="0000F0CC" w14:textId="77777777" w:rsidR="00F0529E" w:rsidRPr="00E663B2" w:rsidRDefault="00F0529E" w:rsidP="002A03B2">
            <w:pPr>
              <w:tabs>
                <w:tab w:val="left" w:pos="3754"/>
              </w:tabs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F226D32" w14:textId="77777777" w:rsidR="00F0529E" w:rsidRPr="00DE5A29" w:rsidRDefault="00F0529E" w:rsidP="002A03B2">
            <w:pPr>
              <w:tabs>
                <w:tab w:val="left" w:pos="3754"/>
              </w:tabs>
              <w:spacing w:after="0" w:line="240" w:lineRule="auto"/>
              <w:ind w:right="176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doktora nauka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koji su zaposleni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nakon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period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a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od 12 mjeseci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6C3DBA7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  <w:p w14:paraId="42CE57AE" w14:textId="77777777" w:rsidR="00F0529E" w:rsidRPr="00DE5A29" w:rsidRDefault="00F0529E" w:rsidP="002A03B2">
            <w:pPr>
              <w:tabs>
                <w:tab w:val="left" w:pos="3754"/>
              </w:tabs>
              <w:spacing w:after="0" w:line="240" w:lineRule="auto"/>
              <w:ind w:right="176"/>
              <w:rPr>
                <w:rFonts w:ascii="Cambria" w:hAnsi="Cambria"/>
                <w:sz w:val="15"/>
                <w:szCs w:val="15"/>
              </w:rPr>
            </w:pPr>
          </w:p>
        </w:tc>
      </w:tr>
      <w:tr w:rsidR="00F0529E" w:rsidRPr="00DE5A29" w14:paraId="7FC64165" w14:textId="77777777" w:rsidTr="005D0C15">
        <w:trPr>
          <w:trHeight w:val="566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72C38AB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52AD58A9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F2F2A0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 xml:space="preserve">Obezbjeđenje kvaliteta 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>m</w:t>
            </w:r>
            <w:r w:rsidRPr="00593418"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 xml:space="preserve">aster 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>i doktorskih</w:t>
            </w:r>
            <w:r w:rsidRPr="00593418"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 xml:space="preserve"> programa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2F6C3831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B48DFC" w14:textId="77777777" w:rsidR="00F0529E" w:rsidRPr="00FD0B87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akreditovanih programa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</w:tcPr>
          <w:p w14:paraId="5AB7E2BF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  <w:p w14:paraId="5B82B04C" w14:textId="77777777" w:rsidR="00F0529E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  <w:p w14:paraId="3FB23790" w14:textId="77777777" w:rsidR="00F0529E" w:rsidRPr="00FD0B87" w:rsidRDefault="00F0529E" w:rsidP="002A03B2">
            <w:pPr>
              <w:jc w:val="center"/>
              <w:rPr>
                <w:rFonts w:ascii="Cambria" w:eastAsia="Times New Roman" w:hAnsi="Cambria" w:cs="Arial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</w:tcPr>
          <w:p w14:paraId="330A74FE" w14:textId="77777777" w:rsidR="00F0529E" w:rsidRPr="00FD0B87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Bolja pozicija nacionalnih univerziteta na međunarodnim rang listama</w:t>
            </w:r>
          </w:p>
          <w:p w14:paraId="3336FA68" w14:textId="77777777" w:rsidR="00F0529E" w:rsidRPr="00FD0B87" w:rsidRDefault="00F0529E" w:rsidP="002A03B2">
            <w:pPr>
              <w:jc w:val="center"/>
              <w:rPr>
                <w:rFonts w:ascii="Cambria" w:eastAsia="Times New Roman" w:hAnsi="Cambria" w:cs="Arial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</w:tcPr>
          <w:p w14:paraId="5F314238" w14:textId="77777777" w:rsidR="00F0529E" w:rsidRPr="00FD0B87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4848572E" w14:textId="77777777" w:rsidTr="005D0C15">
        <w:trPr>
          <w:trHeight w:val="491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73C7C4D6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51D73D6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95B7567" w14:textId="77777777" w:rsidR="00F0529E" w:rsidRPr="00FD0B87" w:rsidRDefault="00F0529E" w:rsidP="002A03B2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</w:pPr>
            <w:r w:rsidRPr="000C66FB"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>Jačanje programa doktorskih studija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54B3DA3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12C75C1B" w14:textId="77777777" w:rsidR="00F0529E" w:rsidRPr="00FD0B87" w:rsidRDefault="00F0529E" w:rsidP="002A03B2">
            <w:pPr>
              <w:pBdr>
                <w:top w:val="single" w:sz="4" w:space="1" w:color="auto"/>
              </w:pBd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novih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doktorskih programa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05252F69" w14:textId="77777777" w:rsidR="00F0529E" w:rsidRPr="00DE5A29" w:rsidRDefault="00F0529E" w:rsidP="002A03B2">
            <w:pPr>
              <w:suppressAutoHyphens w:val="0"/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  <w:r w:rsidRPr="00FD0B87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7E987A13" w14:textId="77777777" w:rsidR="00F0529E" w:rsidRPr="00E3511C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doktora nauka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3A902E2D" w14:textId="77777777" w:rsidR="00F0529E" w:rsidRPr="00E3511C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FD0B87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097AE82C" w14:textId="77777777" w:rsidTr="005D0C15">
        <w:trPr>
          <w:trHeight w:val="81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1A454998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6F250370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01DADE" w14:textId="4BDE8353" w:rsidR="00F0529E" w:rsidRPr="000C66FB" w:rsidRDefault="00F0529E" w:rsidP="002A03B2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</w:pPr>
            <w:r w:rsidRPr="000C66FB"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>Sufinansiranje troškova</w:t>
            </w:r>
            <w:r w:rsidR="00D93418"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 xml:space="preserve"> </w:t>
            </w:r>
            <w:r w:rsidRPr="000C66FB"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>doktorskih studija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3436682A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2646F44B" w14:textId="77777777" w:rsidR="00F0529E" w:rsidRPr="00593418" w:rsidRDefault="00F0529E" w:rsidP="002A03B2">
            <w:pPr>
              <w:pBdr>
                <w:top w:val="single" w:sz="4" w:space="1" w:color="auto"/>
              </w:pBd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Broj sufinansiran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ih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doktora nauka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0B169D58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  <w:p w14:paraId="7D9EE001" w14:textId="77777777" w:rsidR="00F0529E" w:rsidRPr="00FD0B87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5304788E" w14:textId="77777777" w:rsidR="00F0529E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novih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doktora nauka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14:paraId="6D91B287" w14:textId="77777777" w:rsidR="00F0529E" w:rsidRPr="00FD0B87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E3511C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06979A5F" w14:textId="77777777" w:rsidTr="005D0C15">
        <w:trPr>
          <w:trHeight w:val="810"/>
        </w:trPr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4B298E8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144D301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03A25BC" w14:textId="77777777" w:rsidR="00F0529E" w:rsidRPr="000C66FB" w:rsidRDefault="00F0529E" w:rsidP="002A03B2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</w:pPr>
            <w:r w:rsidRPr="00593418"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 xml:space="preserve">Stipendije za 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  <w:t>doktorande</w:t>
            </w: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01C69F87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BE2A5AE" w14:textId="77777777" w:rsidR="00F0529E" w:rsidRPr="00593418" w:rsidRDefault="00F0529E" w:rsidP="002A03B2">
            <w:pPr>
              <w:pBdr>
                <w:top w:val="single" w:sz="4" w:space="1" w:color="auto"/>
              </w:pBd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dodijeljenih stipendija za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doktorande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0FAE16E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Godišnje</w:t>
            </w:r>
          </w:p>
          <w:p w14:paraId="33A6DB94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3429376" w14:textId="77777777" w:rsidR="00F0529E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Broj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novih mladih</w:t>
            </w:r>
            <w:r w:rsidRPr="00593418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doktora nauka</w:t>
            </w:r>
          </w:p>
          <w:p w14:paraId="4C1FDAEA" w14:textId="77777777" w:rsidR="00F0529E" w:rsidRPr="00593418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1E184F" w14:textId="77777777" w:rsidR="00F0529E" w:rsidRPr="00E3511C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  <w:r w:rsidRPr="00E3511C"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  <w:t>Dvogodišnje</w:t>
            </w:r>
          </w:p>
        </w:tc>
      </w:tr>
      <w:tr w:rsidR="00F0529E" w:rsidRPr="00DE5A29" w14:paraId="608D9C76" w14:textId="77777777" w:rsidTr="005D0C15">
        <w:trPr>
          <w:trHeight w:val="557"/>
        </w:trPr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0109D1CF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70C29484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3C86D22" w14:textId="77777777" w:rsidR="00F0529E" w:rsidRPr="000C66FB" w:rsidRDefault="00F0529E" w:rsidP="002A03B2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6B0FAD35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374ADD5" w14:textId="77777777" w:rsidR="00F0529E" w:rsidRPr="00FD0B87" w:rsidRDefault="00F0529E" w:rsidP="002A03B2">
            <w:pPr>
              <w:pBdr>
                <w:top w:val="single" w:sz="4" w:space="1" w:color="auto"/>
              </w:pBd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E3DADA7" w14:textId="77777777" w:rsidR="00F0529E" w:rsidRPr="00DE5A29" w:rsidRDefault="00F0529E" w:rsidP="002A03B2">
            <w:pPr>
              <w:tabs>
                <w:tab w:val="left" w:pos="3754"/>
              </w:tabs>
              <w:spacing w:after="0" w:line="240" w:lineRule="auto"/>
              <w:ind w:right="264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F3BC15F" w14:textId="77777777" w:rsidR="00F0529E" w:rsidRPr="00E3511C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2765453" w14:textId="77777777" w:rsidR="00F0529E" w:rsidRPr="00E3511C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0"/>
                <w:sz w:val="15"/>
                <w:szCs w:val="15"/>
              </w:rPr>
            </w:pPr>
          </w:p>
        </w:tc>
      </w:tr>
      <w:tr w:rsidR="00F0529E" w:rsidRPr="00DE5A29" w14:paraId="47235D6B" w14:textId="77777777" w:rsidTr="005D0C15">
        <w:trPr>
          <w:trHeight w:val="521"/>
        </w:trPr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33B8506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40F26593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E2F9B89" w14:textId="77777777" w:rsidR="00F0529E" w:rsidRPr="00593418" w:rsidRDefault="00F0529E" w:rsidP="002A03B2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15"/>
                <w:szCs w:val="15"/>
                <w:lang w:eastAsia="en-GB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736E9628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4836FFE" w14:textId="77777777" w:rsidR="00F0529E" w:rsidRPr="00DE5A29" w:rsidRDefault="00F0529E" w:rsidP="002A03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16C6007" w14:textId="77777777" w:rsidR="00F0529E" w:rsidRPr="00DE5A29" w:rsidRDefault="00F0529E" w:rsidP="002A03B2">
            <w:pPr>
              <w:tabs>
                <w:tab w:val="left" w:pos="3754"/>
              </w:tabs>
              <w:spacing w:after="0" w:line="240" w:lineRule="auto"/>
              <w:ind w:right="264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ACD704" w14:textId="77777777" w:rsidR="00F0529E" w:rsidRPr="00DF363D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="Cambria" w:eastAsia="Times New Roman" w:hAnsi="Cambria" w:cs="Arial"/>
                <w:color w:val="000000"/>
                <w:sz w:val="15"/>
                <w:szCs w:val="15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C192A4" w14:textId="77777777" w:rsidR="00F0529E" w:rsidRPr="006163D5" w:rsidRDefault="00F0529E" w:rsidP="002A03B2">
            <w:pPr>
              <w:tabs>
                <w:tab w:val="left" w:pos="3754"/>
              </w:tabs>
              <w:spacing w:after="0" w:line="240" w:lineRule="auto"/>
              <w:rPr>
                <w:rFonts w:ascii="Cambria" w:hAnsi="Cambria"/>
                <w:sz w:val="15"/>
                <w:szCs w:val="15"/>
              </w:rPr>
            </w:pPr>
          </w:p>
        </w:tc>
      </w:tr>
    </w:tbl>
    <w:p w14:paraId="13D70B17" w14:textId="3859D4B0" w:rsidR="00F05217" w:rsidRDefault="00F05217" w:rsidP="00772453">
      <w:pPr>
        <w:rPr>
          <w:sz w:val="16"/>
          <w:szCs w:val="16"/>
        </w:rPr>
      </w:pPr>
    </w:p>
    <w:p w14:paraId="6A9C08A6" w14:textId="7175D824" w:rsidR="00772453" w:rsidRPr="00797413" w:rsidRDefault="00772453" w:rsidP="00772453">
      <w:pPr>
        <w:rPr>
          <w:sz w:val="16"/>
          <w:szCs w:val="16"/>
        </w:rPr>
      </w:pPr>
      <w:r w:rsidRPr="00797413">
        <w:rPr>
          <w:sz w:val="16"/>
          <w:szCs w:val="16"/>
        </w:rPr>
        <w:t>*NMOT - Novi materijali i održive tehnologije; OPLVH - Održiva poljoprivreda i lanac vrijednosti hrane; OIE</w:t>
      </w:r>
      <w:r w:rsidR="00A17985">
        <w:rPr>
          <w:sz w:val="16"/>
          <w:szCs w:val="16"/>
        </w:rPr>
        <w:t>EE</w:t>
      </w:r>
      <w:r w:rsidRPr="00797413">
        <w:rPr>
          <w:sz w:val="16"/>
          <w:szCs w:val="16"/>
        </w:rPr>
        <w:t xml:space="preserve"> -  Obnovljivi izvori energije</w:t>
      </w:r>
      <w:r w:rsidR="00A17985">
        <w:rPr>
          <w:sz w:val="16"/>
          <w:szCs w:val="16"/>
        </w:rPr>
        <w:t xml:space="preserve"> i energetska efikasnost</w:t>
      </w:r>
      <w:r w:rsidR="00A327C7">
        <w:rPr>
          <w:sz w:val="16"/>
          <w:szCs w:val="16"/>
        </w:rPr>
        <w:t>; OZT - Održivi i</w:t>
      </w:r>
      <w:r w:rsidR="00652067" w:rsidRPr="00797413">
        <w:rPr>
          <w:sz w:val="16"/>
          <w:szCs w:val="16"/>
        </w:rPr>
        <w:t xml:space="preserve"> </w:t>
      </w:r>
      <w:r w:rsidRPr="00797413">
        <w:rPr>
          <w:sz w:val="16"/>
          <w:szCs w:val="16"/>
        </w:rPr>
        <w:t>zdravstveni turizam; ICT - Informaciono komunikacione tehnologije</w:t>
      </w:r>
    </w:p>
    <w:p w14:paraId="7F43760C" w14:textId="50CEA7DB" w:rsidR="00F96B50" w:rsidRPr="00593418" w:rsidRDefault="005E034D" w:rsidP="00F371ED">
      <w:pPr>
        <w:spacing w:after="160" w:line="259" w:lineRule="auto"/>
      </w:pPr>
      <w:r>
        <w:rPr>
          <w:lang w:eastAsia="en-GB"/>
        </w:rPr>
        <w:t>Tabela 8. Okvirni plan monitoringa</w:t>
      </w:r>
    </w:p>
    <w:p w14:paraId="6B8885C3" w14:textId="362F47F0" w:rsidR="00733016" w:rsidRPr="00593418" w:rsidRDefault="00306247" w:rsidP="00C12417">
      <w:pPr>
        <w:suppressAutoHyphens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13E2774" w14:textId="2B77660A" w:rsidR="00733016" w:rsidRPr="00593418" w:rsidRDefault="00B92EEE" w:rsidP="00A327C7">
      <w:pPr>
        <w:pStyle w:val="Heading1"/>
      </w:pPr>
      <w:bookmarkStart w:id="58" w:name="_Toc529890098"/>
      <w:bookmarkStart w:id="59" w:name="_Toc530143293"/>
      <w:r>
        <w:lastRenderedPageBreak/>
        <w:t>I</w:t>
      </w:r>
      <w:r w:rsidR="0021212C">
        <w:t>X ANEKS</w:t>
      </w:r>
      <w:bookmarkEnd w:id="58"/>
      <w:bookmarkEnd w:id="59"/>
    </w:p>
    <w:p w14:paraId="70E18CD3" w14:textId="77777777" w:rsidR="00733016" w:rsidRPr="00593418" w:rsidRDefault="00733016" w:rsidP="0074420E">
      <w:pPr>
        <w:jc w:val="center"/>
        <w:rPr>
          <w:rFonts w:eastAsia="Times New Roman" w:cs="Times New Roman"/>
          <w:b/>
          <w:noProof/>
          <w:sz w:val="20"/>
          <w:szCs w:val="20"/>
          <w:lang w:eastAsia="en-GB"/>
        </w:rPr>
      </w:pPr>
      <w:r w:rsidRPr="00593418">
        <w:rPr>
          <w:rFonts w:eastAsia="Times New Roman" w:cs="Times New Roman"/>
          <w:b/>
          <w:noProof/>
          <w:sz w:val="20"/>
          <w:szCs w:val="20"/>
          <w:lang w:eastAsia="en-GB"/>
        </w:rPr>
        <w:t>Tabela 1. Mapiranje ekonomskog potencijala: rezultati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672"/>
        <w:gridCol w:w="694"/>
        <w:gridCol w:w="694"/>
        <w:gridCol w:w="694"/>
        <w:gridCol w:w="694"/>
        <w:gridCol w:w="694"/>
        <w:gridCol w:w="694"/>
        <w:gridCol w:w="1459"/>
        <w:gridCol w:w="456"/>
        <w:gridCol w:w="882"/>
      </w:tblGrid>
      <w:tr w:rsidR="000B22C3" w:rsidRPr="00593418" w14:paraId="77D689CF" w14:textId="77777777" w:rsidTr="00860624">
        <w:trPr>
          <w:cantSplit/>
          <w:tblHeader/>
          <w:jc w:val="center"/>
        </w:trPr>
        <w:tc>
          <w:tcPr>
            <w:tcW w:w="212" w:type="pct"/>
            <w:shd w:val="clear" w:color="auto" w:fill="DBE5F1" w:themeFill="accent1" w:themeFillTint="33"/>
            <w:noWrap/>
          </w:tcPr>
          <w:p w14:paraId="5CD5A02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NACE</w:t>
            </w:r>
          </w:p>
        </w:tc>
        <w:tc>
          <w:tcPr>
            <w:tcW w:w="927" w:type="pct"/>
            <w:shd w:val="clear" w:color="auto" w:fill="DBE5F1" w:themeFill="accent1" w:themeFillTint="33"/>
            <w:noWrap/>
          </w:tcPr>
          <w:p w14:paraId="0A6DEDE2" w14:textId="77777777" w:rsidR="000B22C3" w:rsidRPr="00593418" w:rsidRDefault="000B22C3" w:rsidP="00860624">
            <w:pPr>
              <w:spacing w:after="0"/>
              <w:rPr>
                <w:rFonts w:cstheme="minorHAnsi"/>
                <w:b/>
                <w:noProof/>
                <w:sz w:val="15"/>
                <w:szCs w:val="15"/>
              </w:rPr>
            </w:pPr>
            <w:r>
              <w:rPr>
                <w:rFonts w:cstheme="minorHAnsi"/>
                <w:b/>
                <w:noProof/>
                <w:sz w:val="15"/>
                <w:szCs w:val="15"/>
              </w:rPr>
              <w:t>Sektor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364BB84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Stepen specija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softHyphen/>
              <w:t>lizacije iznad 1,5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11E9C9C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Udio zaposlenosti iznad zajedničkog praga od 1%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50EE711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Udio zaposlenosti iznad praga specifičnog za obim </w:t>
            </w:r>
            <w:r>
              <w:rPr>
                <w:rFonts w:cstheme="minorHAnsi"/>
                <w:b/>
                <w:noProof/>
                <w:sz w:val="15"/>
                <w:szCs w:val="15"/>
              </w:rPr>
              <w:t>sektor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 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6674859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Udio zaposlenosti iznad praga za obim specifičnog za </w:t>
            </w:r>
            <w:r>
              <w:rPr>
                <w:rFonts w:cstheme="minorHAnsi"/>
                <w:b/>
                <w:noProof/>
                <w:sz w:val="15"/>
                <w:szCs w:val="15"/>
              </w:rPr>
              <w:t>sektor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1F36120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Rast zaposlenosti iznad 25%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785F63E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Zarade veće od 125% u odnosu na prosječnu zaradu</w:t>
            </w:r>
          </w:p>
        </w:tc>
        <w:tc>
          <w:tcPr>
            <w:tcW w:w="809" w:type="pct"/>
            <w:shd w:val="clear" w:color="auto" w:fill="DBE5F1" w:themeFill="accent1" w:themeFillTint="33"/>
          </w:tcPr>
          <w:p w14:paraId="7E884CF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  <w:t>Klaster koji opslužuje veće tržište od onog u kojem se nalazi / rastuć</w:t>
            </w:r>
            <w:r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  <w:t>i sektori</w:t>
            </w:r>
          </w:p>
        </w:tc>
        <w:tc>
          <w:tcPr>
            <w:tcW w:w="253" w:type="pct"/>
            <w:shd w:val="clear" w:color="auto" w:fill="DBE5F1" w:themeFill="accent1" w:themeFillTint="33"/>
          </w:tcPr>
          <w:p w14:paraId="4DFD747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  <w:t>Izvozna specijalizacija</w:t>
            </w:r>
          </w:p>
        </w:tc>
        <w:tc>
          <w:tcPr>
            <w:tcW w:w="489" w:type="pct"/>
            <w:shd w:val="clear" w:color="auto" w:fill="DBE5F1" w:themeFill="accent1" w:themeFillTint="33"/>
          </w:tcPr>
          <w:p w14:paraId="0F6A309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  <w:t>Prioritetni sektor</w:t>
            </w:r>
          </w:p>
        </w:tc>
      </w:tr>
      <w:tr w:rsidR="000B22C3" w:rsidRPr="00593418" w14:paraId="075C468F" w14:textId="77777777" w:rsidTr="00860624">
        <w:trPr>
          <w:cantSplit/>
          <w:tblHeader/>
          <w:jc w:val="center"/>
        </w:trPr>
        <w:tc>
          <w:tcPr>
            <w:tcW w:w="212" w:type="pct"/>
            <w:shd w:val="clear" w:color="auto" w:fill="DBE5F1" w:themeFill="accent1" w:themeFillTint="33"/>
            <w:noWrap/>
          </w:tcPr>
          <w:p w14:paraId="7C71C78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1</w:t>
            </w:r>
          </w:p>
        </w:tc>
        <w:tc>
          <w:tcPr>
            <w:tcW w:w="927" w:type="pct"/>
            <w:shd w:val="clear" w:color="auto" w:fill="DBE5F1" w:themeFill="accent1" w:themeFillTint="33"/>
            <w:noWrap/>
          </w:tcPr>
          <w:p w14:paraId="3401681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2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3502AAD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3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426109A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4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1FBCBFD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5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2719337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6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0CD910B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7</w:t>
            </w:r>
          </w:p>
        </w:tc>
        <w:tc>
          <w:tcPr>
            <w:tcW w:w="385" w:type="pct"/>
            <w:shd w:val="clear" w:color="auto" w:fill="DBE5F1" w:themeFill="accent1" w:themeFillTint="33"/>
            <w:noWrap/>
          </w:tcPr>
          <w:p w14:paraId="7E62E8D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b/>
                <w:noProof/>
                <w:sz w:val="15"/>
                <w:szCs w:val="15"/>
              </w:rPr>
            </w:pP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>8</w:t>
            </w:r>
          </w:p>
        </w:tc>
        <w:tc>
          <w:tcPr>
            <w:tcW w:w="809" w:type="pct"/>
            <w:shd w:val="clear" w:color="auto" w:fill="DBE5F1" w:themeFill="accent1" w:themeFillTint="33"/>
          </w:tcPr>
          <w:p w14:paraId="338B47F6" w14:textId="77777777" w:rsidR="000B22C3" w:rsidRPr="00593418" w:rsidRDefault="000B22C3" w:rsidP="00860624">
            <w:pPr>
              <w:spacing w:after="0"/>
              <w:jc w:val="center"/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</w:pPr>
            <w:r w:rsidRPr="00593418"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  <w:t>9</w:t>
            </w:r>
          </w:p>
        </w:tc>
        <w:tc>
          <w:tcPr>
            <w:tcW w:w="253" w:type="pct"/>
            <w:shd w:val="clear" w:color="auto" w:fill="DBE5F1" w:themeFill="accent1" w:themeFillTint="33"/>
          </w:tcPr>
          <w:p w14:paraId="015489B4" w14:textId="77777777" w:rsidR="000B22C3" w:rsidRPr="00593418" w:rsidRDefault="000B22C3" w:rsidP="00860624">
            <w:pPr>
              <w:spacing w:after="0"/>
              <w:jc w:val="center"/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</w:pPr>
            <w:r w:rsidRPr="00593418"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  <w:t>10</w:t>
            </w:r>
          </w:p>
        </w:tc>
        <w:tc>
          <w:tcPr>
            <w:tcW w:w="489" w:type="pct"/>
            <w:shd w:val="clear" w:color="auto" w:fill="DBE5F1" w:themeFill="accent1" w:themeFillTint="33"/>
          </w:tcPr>
          <w:p w14:paraId="23336FFF" w14:textId="77777777" w:rsidR="000B22C3" w:rsidRPr="00593418" w:rsidRDefault="000B22C3" w:rsidP="00860624">
            <w:pPr>
              <w:spacing w:after="0"/>
              <w:jc w:val="center"/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</w:pPr>
            <w:r w:rsidRPr="00593418">
              <w:rPr>
                <w:rFonts w:eastAsia="Times New Roman"/>
                <w:b/>
                <w:noProof/>
                <w:sz w:val="15"/>
                <w:szCs w:val="15"/>
                <w:lang w:eastAsia="en-GB"/>
              </w:rPr>
              <w:t>11</w:t>
            </w:r>
          </w:p>
        </w:tc>
      </w:tr>
      <w:tr w:rsidR="000B22C3" w:rsidRPr="00593418" w14:paraId="7CA57C52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7A0B8E6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012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28634C04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Gajenje višegodišnjih biljaka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4680CE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6C3860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5FAB14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D6F199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0,68%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A350C1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-4,1%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01ED48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169,2%</w:t>
            </w:r>
          </w:p>
        </w:tc>
        <w:tc>
          <w:tcPr>
            <w:tcW w:w="809" w:type="pct"/>
            <w:shd w:val="clear" w:color="auto" w:fill="auto"/>
          </w:tcPr>
          <w:p w14:paraId="79CB517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08025FE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5E26415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Poljoprivreda i hrana </w:t>
            </w:r>
          </w:p>
        </w:tc>
      </w:tr>
      <w:tr w:rsidR="000B22C3" w:rsidRPr="00593418" w14:paraId="6D4831FA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739F4E3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052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4187D078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Eksploatacija lignita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25572A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24,64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31B0E3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FFDF0C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C0B128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0,57%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FD2B83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3,2%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1F1AA2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146,0%</w:t>
            </w:r>
          </w:p>
        </w:tc>
        <w:tc>
          <w:tcPr>
            <w:tcW w:w="809" w:type="pct"/>
            <w:shd w:val="clear" w:color="auto" w:fill="auto"/>
          </w:tcPr>
          <w:p w14:paraId="0F18D53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46B9347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4A1D9E2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68A53B40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5B2236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101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E06041C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Prerada i konzervisanje mesa i proizvoda od mesa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7D8752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0,41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612F78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0AE4C1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9A9A64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0,21%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C5C09A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73,6%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1EAC65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58,3%</w:t>
            </w:r>
          </w:p>
        </w:tc>
        <w:tc>
          <w:tcPr>
            <w:tcW w:w="809" w:type="pct"/>
            <w:shd w:val="clear" w:color="auto" w:fill="auto"/>
          </w:tcPr>
          <w:p w14:paraId="66C8222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>
              <w:rPr>
                <w:rFonts w:cstheme="minorHAnsi"/>
                <w:b/>
                <w:noProof/>
                <w:sz w:val="15"/>
                <w:szCs w:val="15"/>
              </w:rPr>
              <w:t>Sektor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 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plavog rasta</w:t>
            </w:r>
          </w:p>
        </w:tc>
        <w:tc>
          <w:tcPr>
            <w:tcW w:w="253" w:type="pct"/>
            <w:shd w:val="clear" w:color="auto" w:fill="auto"/>
          </w:tcPr>
          <w:p w14:paraId="26D2A8C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Da</w:t>
            </w:r>
          </w:p>
        </w:tc>
        <w:tc>
          <w:tcPr>
            <w:tcW w:w="489" w:type="pct"/>
            <w:shd w:val="clear" w:color="auto" w:fill="auto"/>
          </w:tcPr>
          <w:p w14:paraId="7AA2A59F" w14:textId="77777777" w:rsidR="000B22C3" w:rsidRPr="00593418" w:rsidRDefault="000B22C3" w:rsidP="00860624">
            <w:pPr>
              <w:spacing w:after="0"/>
              <w:jc w:val="center"/>
              <w:rPr>
                <w:rFonts w:eastAsia="Times New Roman"/>
                <w:noProof/>
                <w:sz w:val="15"/>
                <w:szCs w:val="15"/>
                <w:lang w:eastAsia="en-GB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Poljoprivreda i hrana; </w:t>
            </w:r>
          </w:p>
          <w:p w14:paraId="4CB8CD3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Proizvodnja</w:t>
            </w:r>
          </w:p>
        </w:tc>
      </w:tr>
      <w:tr w:rsidR="000B22C3" w:rsidRPr="00593418" w14:paraId="227CC692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25DEEDA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110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744FEC9E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Proizvodnja pića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935582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1,18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E8348C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D8AC84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0319C5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0,28%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A48767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1,1%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8F4EB6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168,8%</w:t>
            </w:r>
          </w:p>
        </w:tc>
        <w:tc>
          <w:tcPr>
            <w:tcW w:w="809" w:type="pct"/>
            <w:shd w:val="clear" w:color="auto" w:fill="auto"/>
          </w:tcPr>
          <w:p w14:paraId="36F6944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2CA3F9F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Da</w:t>
            </w:r>
          </w:p>
        </w:tc>
        <w:tc>
          <w:tcPr>
            <w:tcW w:w="489" w:type="pct"/>
            <w:shd w:val="clear" w:color="auto" w:fill="auto"/>
          </w:tcPr>
          <w:p w14:paraId="29B8F762" w14:textId="77777777" w:rsidR="000B22C3" w:rsidRPr="00593418" w:rsidRDefault="000B22C3" w:rsidP="00860624">
            <w:pPr>
              <w:spacing w:after="0"/>
              <w:jc w:val="center"/>
              <w:rPr>
                <w:rFonts w:eastAsia="Times New Roman"/>
                <w:noProof/>
                <w:sz w:val="15"/>
                <w:szCs w:val="15"/>
                <w:lang w:eastAsia="en-GB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Poljoprivreda i hrana; </w:t>
            </w:r>
          </w:p>
          <w:p w14:paraId="37F73A1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Proizvodnja</w:t>
            </w:r>
          </w:p>
        </w:tc>
      </w:tr>
      <w:tr w:rsidR="000B22C3" w:rsidRPr="00593418" w14:paraId="0C802092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27DAA1B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161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09799DD4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Rezanje i obrada drveta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9A88D0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4,64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2373C8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0,90%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C19F1F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0,90%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A64725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0,59%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A84274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1,7%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AE3082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50,7%</w:t>
            </w:r>
          </w:p>
        </w:tc>
        <w:tc>
          <w:tcPr>
            <w:tcW w:w="809" w:type="pct"/>
            <w:shd w:val="clear" w:color="auto" w:fill="auto"/>
          </w:tcPr>
          <w:p w14:paraId="52BBF58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0FC78C4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755D047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Proizvodnja</w:t>
            </w:r>
          </w:p>
        </w:tc>
      </w:tr>
      <w:tr w:rsidR="000B22C3" w:rsidRPr="00593418" w14:paraId="7F8E44BC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2A6E397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162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619F3516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Proizvodnja proizvoda od drveta, plute, pruća i slame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3C4894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5D40F9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0,27%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365D0D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0,27%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408C30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0,18%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F2EF35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50,4%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739CD3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45,8%</w:t>
            </w:r>
          </w:p>
        </w:tc>
        <w:tc>
          <w:tcPr>
            <w:tcW w:w="809" w:type="pct"/>
            <w:shd w:val="clear" w:color="auto" w:fill="auto"/>
          </w:tcPr>
          <w:p w14:paraId="1F8349F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>
              <w:rPr>
                <w:rFonts w:cstheme="minorHAnsi"/>
                <w:b/>
                <w:noProof/>
                <w:sz w:val="15"/>
                <w:szCs w:val="15"/>
              </w:rPr>
              <w:t>Oblast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zaštite 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životne sredine</w:t>
            </w:r>
          </w:p>
        </w:tc>
        <w:tc>
          <w:tcPr>
            <w:tcW w:w="253" w:type="pct"/>
            <w:shd w:val="clear" w:color="auto" w:fill="auto"/>
          </w:tcPr>
          <w:p w14:paraId="0AB97A6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0899639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Proizvodnja</w:t>
            </w:r>
          </w:p>
        </w:tc>
      </w:tr>
      <w:tr w:rsidR="000B22C3" w:rsidRPr="00593418" w14:paraId="5D6D1DBA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FEFD8E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212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7F620D3B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Proizvodnja farmaceutskih preparata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FA28A6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0,51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9A4F99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0,22%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9091F0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0,22%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DF745D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0,14%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23E8F0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-23,6%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5022EE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130,4%</w:t>
            </w:r>
          </w:p>
        </w:tc>
        <w:tc>
          <w:tcPr>
            <w:tcW w:w="809" w:type="pct"/>
            <w:shd w:val="clear" w:color="auto" w:fill="auto"/>
          </w:tcPr>
          <w:p w14:paraId="4FCD22B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0BB98A1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Da</w:t>
            </w:r>
          </w:p>
        </w:tc>
        <w:tc>
          <w:tcPr>
            <w:tcW w:w="489" w:type="pct"/>
            <w:shd w:val="clear" w:color="auto" w:fill="auto"/>
          </w:tcPr>
          <w:p w14:paraId="67F281D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Proizvodnja; Medicina i zdravlje ljudi</w:t>
            </w:r>
          </w:p>
        </w:tc>
      </w:tr>
      <w:tr w:rsidR="000B22C3" w:rsidRPr="00593418" w14:paraId="47440120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3E1A60F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241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507530E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Proizvodnja sirovog gvožđa, čelika i ferolegura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509F9B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1,61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ABD626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E7403F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3C92E1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0,31%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7FAF36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-81,9%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158098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91,0%</w:t>
            </w:r>
          </w:p>
        </w:tc>
        <w:tc>
          <w:tcPr>
            <w:tcW w:w="809" w:type="pct"/>
            <w:shd w:val="clear" w:color="auto" w:fill="auto"/>
          </w:tcPr>
          <w:p w14:paraId="4972AE2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>
              <w:rPr>
                <w:rFonts w:cstheme="minorHAnsi"/>
                <w:b/>
                <w:noProof/>
                <w:sz w:val="15"/>
                <w:szCs w:val="15"/>
              </w:rPr>
              <w:t>Oblast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zaštite 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životne sredine</w:t>
            </w:r>
          </w:p>
        </w:tc>
        <w:tc>
          <w:tcPr>
            <w:tcW w:w="253" w:type="pct"/>
            <w:shd w:val="clear" w:color="auto" w:fill="auto"/>
          </w:tcPr>
          <w:p w14:paraId="4F90D34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Da</w:t>
            </w:r>
          </w:p>
        </w:tc>
        <w:tc>
          <w:tcPr>
            <w:tcW w:w="489" w:type="pct"/>
            <w:shd w:val="clear" w:color="auto" w:fill="auto"/>
          </w:tcPr>
          <w:p w14:paraId="0206505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Proizvodnja</w:t>
            </w:r>
          </w:p>
        </w:tc>
      </w:tr>
      <w:tr w:rsidR="000B22C3" w:rsidRPr="00593418" w14:paraId="40680E6C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16EC105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244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793B3FFA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Proizvodnja plemenitih i ostalih obojenih metala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112556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5,00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76231F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0,86%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D22E44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0,86%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E9D8AE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CE6C8C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-66,8%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CB2A80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161,0%</w:t>
            </w:r>
          </w:p>
        </w:tc>
        <w:tc>
          <w:tcPr>
            <w:tcW w:w="809" w:type="pct"/>
            <w:shd w:val="clear" w:color="auto" w:fill="auto"/>
          </w:tcPr>
          <w:p w14:paraId="2CE4237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4731D57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5DD7F1E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Proizvodnja</w:t>
            </w:r>
          </w:p>
        </w:tc>
      </w:tr>
      <w:tr w:rsidR="000B22C3" w:rsidRPr="00593418" w14:paraId="252BF9F0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72FE277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351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B3CDF18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Proizvodnja, prenos i distribucija električne energije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9474D8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3,27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F76C5A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2,55%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A8A8B8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2,55%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017F31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1,66%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1D6926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-6,0%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FBB3E5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180,2%</w:t>
            </w:r>
          </w:p>
        </w:tc>
        <w:tc>
          <w:tcPr>
            <w:tcW w:w="809" w:type="pct"/>
            <w:shd w:val="clear" w:color="auto" w:fill="auto"/>
          </w:tcPr>
          <w:p w14:paraId="6D53E0B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Proizvodnja i prenos električne energije;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sektor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plavog rasta; </w:t>
            </w:r>
            <w:r>
              <w:rPr>
                <w:rFonts w:cstheme="minorHAnsi"/>
                <w:b/>
                <w:noProof/>
                <w:sz w:val="15"/>
                <w:szCs w:val="15"/>
              </w:rPr>
              <w:t>oblast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zaštite 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životne sredine</w:t>
            </w:r>
          </w:p>
        </w:tc>
        <w:tc>
          <w:tcPr>
            <w:tcW w:w="253" w:type="pct"/>
            <w:shd w:val="clear" w:color="auto" w:fill="auto"/>
          </w:tcPr>
          <w:p w14:paraId="45E1553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Da</w:t>
            </w:r>
          </w:p>
        </w:tc>
        <w:tc>
          <w:tcPr>
            <w:tcW w:w="489" w:type="pct"/>
            <w:shd w:val="clear" w:color="auto" w:fill="auto"/>
          </w:tcPr>
          <w:p w14:paraId="708E7BB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Energetika</w:t>
            </w:r>
          </w:p>
        </w:tc>
      </w:tr>
      <w:tr w:rsidR="000B22C3" w:rsidRPr="00593418" w14:paraId="5CBC7EBC" w14:textId="77777777" w:rsidTr="00860624">
        <w:trPr>
          <w:cantSplit/>
          <w:trHeight w:val="391"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23202E5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360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249EF515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Skupljanje, prečišćavanje i distribucija vode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12CFDE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5,56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61611A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1,87%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7B072D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1,87%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731628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1,22%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C9D2A5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7,6%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46DEA8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99,2%</w:t>
            </w:r>
          </w:p>
        </w:tc>
        <w:tc>
          <w:tcPr>
            <w:tcW w:w="809" w:type="pct"/>
          </w:tcPr>
          <w:p w14:paraId="57CBFDB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Usluge vezane za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oblast zaštite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životn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e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sredin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e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;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sektor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plavog rasta; </w:t>
            </w:r>
            <w:r>
              <w:rPr>
                <w:rFonts w:cstheme="minorHAnsi"/>
                <w:b/>
                <w:noProof/>
                <w:sz w:val="15"/>
                <w:szCs w:val="15"/>
              </w:rPr>
              <w:t>oblast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zaštite 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životne sredine</w:t>
            </w:r>
          </w:p>
        </w:tc>
        <w:tc>
          <w:tcPr>
            <w:tcW w:w="253" w:type="pct"/>
          </w:tcPr>
          <w:p w14:paraId="47D1FF5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5E3CC77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62342D70" w14:textId="77777777" w:rsidTr="00860624">
        <w:trPr>
          <w:cantSplit/>
          <w:trHeight w:val="391"/>
          <w:jc w:val="center"/>
        </w:trPr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56EB1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390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8556FA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Sanacija, rekultivacija i druge usluge u oblasti upravljanja otpadom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000000" w:fill="C6EFCE"/>
            <w:noWrap/>
            <w:hideMark/>
          </w:tcPr>
          <w:p w14:paraId="0966803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78,46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000000" w:fill="C6EFCE"/>
            <w:noWrap/>
            <w:hideMark/>
          </w:tcPr>
          <w:p w14:paraId="3C50F40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1,96%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000000" w:fill="C6EFCE"/>
            <w:noWrap/>
            <w:hideMark/>
          </w:tcPr>
          <w:p w14:paraId="08AE7FA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1,96%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000000" w:fill="C6EFCE"/>
            <w:noWrap/>
            <w:hideMark/>
          </w:tcPr>
          <w:p w14:paraId="296495C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1,28%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D2677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-35,1%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D7B28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87,3%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69E868F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140EAA1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14:paraId="11A0D5B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477BEEDA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6C01EF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412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370DE8C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Izgradnja stambenih i nestambenih zgrada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C165B2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1,64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0B3CD2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3,55%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CD1E68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3,55%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B85739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2,32%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9B0BB6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9,3%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C11495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78,3%</w:t>
            </w:r>
          </w:p>
        </w:tc>
        <w:tc>
          <w:tcPr>
            <w:tcW w:w="809" w:type="pct"/>
          </w:tcPr>
          <w:p w14:paraId="7E364A1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</w:tcPr>
          <w:p w14:paraId="03C45D6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1F3ECE4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Građevinarstvo</w:t>
            </w:r>
          </w:p>
        </w:tc>
      </w:tr>
      <w:tr w:rsidR="000B22C3" w:rsidRPr="00593418" w14:paraId="2A5084C1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78870D7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421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701C7A20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Izgradnja puteva i željezničkih pruga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F860D0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1,23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4AF3CB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0,81%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1B9B4B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0,81%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C55AD3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0,53%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DE2D26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36,3%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1AE6E8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108,0%</w:t>
            </w:r>
          </w:p>
        </w:tc>
        <w:tc>
          <w:tcPr>
            <w:tcW w:w="809" w:type="pct"/>
          </w:tcPr>
          <w:p w14:paraId="1BD39C1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</w:tcPr>
          <w:p w14:paraId="2018172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573CA96D" w14:textId="77777777" w:rsidR="000B22C3" w:rsidRPr="00593418" w:rsidRDefault="000B22C3" w:rsidP="00860624">
            <w:pPr>
              <w:spacing w:after="0"/>
              <w:jc w:val="center"/>
              <w:rPr>
                <w:rFonts w:eastAsia="Times New Roman"/>
                <w:noProof/>
                <w:sz w:val="15"/>
                <w:szCs w:val="15"/>
                <w:lang w:eastAsia="en-GB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Saobraćaj</w:t>
            </w:r>
          </w:p>
          <w:p w14:paraId="4D3CA34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Građevinarstvo</w:t>
            </w:r>
          </w:p>
        </w:tc>
      </w:tr>
      <w:tr w:rsidR="000B22C3" w:rsidRPr="00593418" w14:paraId="31EED1EE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6E01AF2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432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51A9A9EF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Instalacioni radovi u građevinarstvu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4E9213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0,31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EAB602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0,74%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F9525C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0,74%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7D6A95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212C5AD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76,7%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DA5757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68,8%</w:t>
            </w:r>
          </w:p>
        </w:tc>
        <w:tc>
          <w:tcPr>
            <w:tcW w:w="809" w:type="pct"/>
          </w:tcPr>
          <w:p w14:paraId="0F9953F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</w:tcPr>
          <w:p w14:paraId="0837FC5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66D91B0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Građevinarstvo</w:t>
            </w:r>
          </w:p>
        </w:tc>
      </w:tr>
      <w:tr w:rsidR="000B22C3" w:rsidRPr="00593418" w14:paraId="1C66C43C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31F8710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433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2313E92A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Završni građevinsko-zanatski radovi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DE4B3C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0,58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9D1594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0,80%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F5B6C1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14E59A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5D2A82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41,0%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D89880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55,0%</w:t>
            </w:r>
          </w:p>
        </w:tc>
        <w:tc>
          <w:tcPr>
            <w:tcW w:w="809" w:type="pct"/>
          </w:tcPr>
          <w:p w14:paraId="5034721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</w:tcPr>
          <w:p w14:paraId="070AF99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4B15BFA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Građevinarstvo</w:t>
            </w:r>
          </w:p>
        </w:tc>
      </w:tr>
      <w:tr w:rsidR="000B22C3" w:rsidRPr="00593418" w14:paraId="7D8492D7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2D8305B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461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67F281B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Trgovina na veliko za naknadu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2732597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2,78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1A00DC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1,27%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43CEDA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1,27%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074C94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0,83%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B5B4EF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10,0%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8F111D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59,0%</w:t>
            </w:r>
          </w:p>
        </w:tc>
        <w:tc>
          <w:tcPr>
            <w:tcW w:w="809" w:type="pct"/>
          </w:tcPr>
          <w:p w14:paraId="6346B3E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Distribucija i elektronska trgovina; Iskustvene industrije;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sektor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plavog rasta</w:t>
            </w:r>
          </w:p>
        </w:tc>
        <w:tc>
          <w:tcPr>
            <w:tcW w:w="253" w:type="pct"/>
          </w:tcPr>
          <w:p w14:paraId="2A70B1B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405E523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524E3694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62024F4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469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0DA7EC00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Nespecijalizovana trgovina na veliko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E157EF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17,94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9B5723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9,20%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0EBC51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9,20%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FF572D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5,99%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642F69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-12,1%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1FA2AC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64,6%</w:t>
            </w:r>
          </w:p>
        </w:tc>
        <w:tc>
          <w:tcPr>
            <w:tcW w:w="809" w:type="pct"/>
          </w:tcPr>
          <w:p w14:paraId="1548428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</w:tcPr>
          <w:p w14:paraId="102C0E6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0531607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5B3163C8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1D90AFF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491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52BAAB22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Željeznički prevoz putnika, daljinski i regionalni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E44177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3,48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545CB9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1,19%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1A0F82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1,19%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75D2AA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0,78%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C3A999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19,8%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F22396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89,8%</w:t>
            </w:r>
          </w:p>
        </w:tc>
        <w:tc>
          <w:tcPr>
            <w:tcW w:w="809" w:type="pct"/>
          </w:tcPr>
          <w:p w14:paraId="0F00E34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</w:tcPr>
          <w:p w14:paraId="301C2A4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438EDFE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Saobraćaj</w:t>
            </w:r>
          </w:p>
        </w:tc>
      </w:tr>
      <w:tr w:rsidR="000B22C3" w:rsidRPr="00593418" w14:paraId="1868D0B4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10CDE3F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lastRenderedPageBreak/>
              <w:t>494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45AE9128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Drumski prevoz tereta i usluge preseljenja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50387F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0,47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384FAA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1,05%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F90E1A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1,05%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42D058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0,69%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E3ADC2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58,2%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31D57A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51,9%</w:t>
            </w:r>
          </w:p>
        </w:tc>
        <w:tc>
          <w:tcPr>
            <w:tcW w:w="809" w:type="pct"/>
          </w:tcPr>
          <w:p w14:paraId="27B983E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Prevoz i logistika;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sektor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plavog rasta</w:t>
            </w:r>
          </w:p>
        </w:tc>
        <w:tc>
          <w:tcPr>
            <w:tcW w:w="253" w:type="pct"/>
          </w:tcPr>
          <w:p w14:paraId="1307138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1184381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Saobraćaj</w:t>
            </w:r>
          </w:p>
        </w:tc>
      </w:tr>
      <w:tr w:rsidR="000B22C3" w:rsidRPr="00593418" w14:paraId="5D8C5529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81B570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522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BE61530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Prateće aktivnosti u saobraćaju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4C7990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1,52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84632B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2,83%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813EDB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2,83%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F938CE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1,84%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A904FD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D536BC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127,0%</w:t>
            </w:r>
          </w:p>
        </w:tc>
        <w:tc>
          <w:tcPr>
            <w:tcW w:w="809" w:type="pct"/>
            <w:shd w:val="clear" w:color="auto" w:fill="auto"/>
          </w:tcPr>
          <w:p w14:paraId="445AA37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Prevoz i logistika; Iskustvene industrije;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sektor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plavog rasta; </w:t>
            </w:r>
            <w:r>
              <w:rPr>
                <w:rFonts w:cstheme="minorHAnsi"/>
                <w:b/>
                <w:noProof/>
                <w:sz w:val="15"/>
                <w:szCs w:val="15"/>
              </w:rPr>
              <w:t>oblast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zaštite 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životne sredine</w:t>
            </w:r>
          </w:p>
        </w:tc>
        <w:tc>
          <w:tcPr>
            <w:tcW w:w="253" w:type="pct"/>
            <w:shd w:val="clear" w:color="auto" w:fill="auto"/>
          </w:tcPr>
          <w:p w14:paraId="643E9EF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5166530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Saobraćaj</w:t>
            </w:r>
          </w:p>
        </w:tc>
      </w:tr>
      <w:tr w:rsidR="000B22C3" w:rsidRPr="00593418" w14:paraId="0D8254C4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6BABFE6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551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404AAC13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Hoteli i sličan smještaj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BB830D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2,95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4367D1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4,90%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29691AF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4,90%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03D5AF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3,19%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CD8782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-2,6%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786144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85,9%</w:t>
            </w:r>
          </w:p>
        </w:tc>
        <w:tc>
          <w:tcPr>
            <w:tcW w:w="809" w:type="pct"/>
            <w:shd w:val="clear" w:color="auto" w:fill="auto"/>
          </w:tcPr>
          <w:p w14:paraId="1DC4FD2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Ugostiteljstvo i turizam; Iskustvene industrije</w:t>
            </w:r>
          </w:p>
        </w:tc>
        <w:tc>
          <w:tcPr>
            <w:tcW w:w="253" w:type="pct"/>
            <w:shd w:val="clear" w:color="auto" w:fill="auto"/>
          </w:tcPr>
          <w:p w14:paraId="292F8ED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Da</w:t>
            </w:r>
          </w:p>
        </w:tc>
        <w:tc>
          <w:tcPr>
            <w:tcW w:w="489" w:type="pct"/>
            <w:shd w:val="clear" w:color="auto" w:fill="auto"/>
          </w:tcPr>
          <w:p w14:paraId="20879C4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Turizam</w:t>
            </w:r>
          </w:p>
        </w:tc>
      </w:tr>
      <w:tr w:rsidR="000B22C3" w:rsidRPr="00593418" w14:paraId="2AEED941" w14:textId="77777777" w:rsidTr="00860624">
        <w:trPr>
          <w:cantSplit/>
          <w:trHeight w:val="465"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5BFA8CF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561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35FDB3B2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Djelatnosti restorana i pokretnih ugostiteljskih objekta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0E38BB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1,11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47362A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4,09%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299BF6C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4,09%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F57424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2,67%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1958B2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47,7%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1086BA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42,1%</w:t>
            </w:r>
          </w:p>
        </w:tc>
        <w:tc>
          <w:tcPr>
            <w:tcW w:w="809" w:type="pct"/>
            <w:shd w:val="clear" w:color="auto" w:fill="auto"/>
          </w:tcPr>
          <w:p w14:paraId="4B17A62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654D61D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64AF0F6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Turizam</w:t>
            </w:r>
          </w:p>
        </w:tc>
      </w:tr>
      <w:tr w:rsidR="000B22C3" w:rsidRPr="00593418" w14:paraId="5B46B371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28116F9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563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3FF32A62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Usluge pripremanja i posluživanja pića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EADB75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2,20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960226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2,78%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813DAE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2,78%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CC1867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1,81%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750661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8,2%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2683DB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46,8%</w:t>
            </w:r>
          </w:p>
        </w:tc>
        <w:tc>
          <w:tcPr>
            <w:tcW w:w="809" w:type="pct"/>
            <w:shd w:val="clear" w:color="auto" w:fill="auto"/>
          </w:tcPr>
          <w:p w14:paraId="14138CE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4D10B54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15077CA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0177722E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425ED18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602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4A996CA8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Proizvodnja i emitovanje televizijskog programa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AEA347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5,87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5EC4F8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0,93%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5B345F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0,93%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98F9B0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0,61%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53B18E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-1,1%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737736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98,9%</w:t>
            </w:r>
          </w:p>
        </w:tc>
        <w:tc>
          <w:tcPr>
            <w:tcW w:w="809" w:type="pct"/>
            <w:shd w:val="clear" w:color="auto" w:fill="auto"/>
          </w:tcPr>
          <w:p w14:paraId="2553A25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1488C98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5EA8815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ICT</w:t>
            </w:r>
          </w:p>
        </w:tc>
      </w:tr>
      <w:tr w:rsidR="000B22C3" w:rsidRPr="00593418" w14:paraId="42A9A57C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5E63F45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611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3BA0F509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Kablovske telekomunikacije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28E53A4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2,59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CF89D3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1,10%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8B50DE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1,10%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4E2D0D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0,72%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C72F9B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-20,0%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1E19B2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220,8%</w:t>
            </w:r>
          </w:p>
        </w:tc>
        <w:tc>
          <w:tcPr>
            <w:tcW w:w="809" w:type="pct"/>
            <w:shd w:val="clear" w:color="auto" w:fill="auto"/>
          </w:tcPr>
          <w:p w14:paraId="3709BBD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0B7852C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220C085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ICT</w:t>
            </w:r>
          </w:p>
        </w:tc>
      </w:tr>
      <w:tr w:rsidR="000B22C3" w:rsidRPr="00593418" w14:paraId="3217B2EC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13E6DC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619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53052136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Ostale telekomunikacione djelatnosti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6D7F2E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2,27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58D740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0,55%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EA85B8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BCB111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85CA10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-10,9%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499C64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190,4%</w:t>
            </w:r>
          </w:p>
        </w:tc>
        <w:tc>
          <w:tcPr>
            <w:tcW w:w="809" w:type="pct"/>
            <w:shd w:val="clear" w:color="auto" w:fill="auto"/>
          </w:tcPr>
          <w:p w14:paraId="0A57A77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5FC08A1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787EC34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ICT</w:t>
            </w:r>
          </w:p>
        </w:tc>
      </w:tr>
      <w:tr w:rsidR="000B22C3" w:rsidRPr="00593418" w14:paraId="7EFF80FB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5237DFE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620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449658EB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Računarsko programiranje, konsultantske i s tim povezane djelatnosti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6DE16B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0,24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119970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DC31A9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0,56%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0DFFE2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0,36%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C25FC3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116,6%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8492F3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88,8%</w:t>
            </w:r>
          </w:p>
        </w:tc>
        <w:tc>
          <w:tcPr>
            <w:tcW w:w="809" w:type="pct"/>
            <w:shd w:val="clear" w:color="auto" w:fill="auto"/>
          </w:tcPr>
          <w:p w14:paraId="6AA5CA3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Poslovne usluge; Iskustvene industrije; Kreativne industrije</w:t>
            </w:r>
          </w:p>
        </w:tc>
        <w:tc>
          <w:tcPr>
            <w:tcW w:w="253" w:type="pct"/>
            <w:shd w:val="clear" w:color="auto" w:fill="auto"/>
          </w:tcPr>
          <w:p w14:paraId="754A98E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49D8033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ICT</w:t>
            </w:r>
          </w:p>
        </w:tc>
      </w:tr>
      <w:tr w:rsidR="000B22C3" w:rsidRPr="00593418" w14:paraId="770E9B86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2B042C0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641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5A18B76B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Monetarno posredovanje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1415F4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3F13E1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8E72E7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7EEDFE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1,55%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20F813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6,2%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7DE24E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214,6%</w:t>
            </w:r>
          </w:p>
        </w:tc>
        <w:tc>
          <w:tcPr>
            <w:tcW w:w="809" w:type="pct"/>
            <w:shd w:val="clear" w:color="auto" w:fill="auto"/>
          </w:tcPr>
          <w:p w14:paraId="3039A12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2DE8581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45876A8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Finansijske usluge </w:t>
            </w:r>
          </w:p>
        </w:tc>
      </w:tr>
      <w:tr w:rsidR="000B22C3" w:rsidRPr="00593418" w14:paraId="561D6A26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67165C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649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4759838A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Ostale finansijske usluge, osim osiguranja i penzijskih fondova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0182A9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A26941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50BD06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147EDE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0,34%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F7E2D2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-9,2%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698000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137,2%</w:t>
            </w:r>
          </w:p>
        </w:tc>
        <w:tc>
          <w:tcPr>
            <w:tcW w:w="809" w:type="pct"/>
            <w:shd w:val="clear" w:color="auto" w:fill="auto"/>
          </w:tcPr>
          <w:p w14:paraId="2045B69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2D7A21C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416EE39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Finansijske usluge</w:t>
            </w:r>
          </w:p>
        </w:tc>
      </w:tr>
      <w:tr w:rsidR="000B22C3" w:rsidRPr="00593418" w14:paraId="2BDDA190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417E154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651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D03776D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Osiguranje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909454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3B35C8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2F0A50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4F86B3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935FD1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60,3%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73C1D1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126,7%</w:t>
            </w:r>
          </w:p>
        </w:tc>
        <w:tc>
          <w:tcPr>
            <w:tcW w:w="809" w:type="pct"/>
            <w:shd w:val="clear" w:color="auto" w:fill="auto"/>
          </w:tcPr>
          <w:p w14:paraId="6835209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592F6EB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0BB7F92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Finansijske usluge</w:t>
            </w:r>
          </w:p>
        </w:tc>
      </w:tr>
      <w:tr w:rsidR="000B22C3" w:rsidRPr="00593418" w14:paraId="2DCD82DE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708BCFB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683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3EACF82C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Poslovanje nekretninama za naknadu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CB9958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1,22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6A9A12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498117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0,86%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8E3A45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024F68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7,9%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51246C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138,9%</w:t>
            </w:r>
          </w:p>
        </w:tc>
        <w:tc>
          <w:tcPr>
            <w:tcW w:w="809" w:type="pct"/>
            <w:shd w:val="clear" w:color="auto" w:fill="auto"/>
          </w:tcPr>
          <w:p w14:paraId="693105F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18BDF8B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4AFB829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2CC342EF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4022585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691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00A3C558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Pravni poslovi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5D67C3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0,88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068FDA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0,69%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6D7348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0,69%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906631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5133A6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112,2%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DB42FE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41,5%</w:t>
            </w:r>
          </w:p>
        </w:tc>
        <w:tc>
          <w:tcPr>
            <w:tcW w:w="809" w:type="pct"/>
            <w:shd w:val="clear" w:color="auto" w:fill="auto"/>
          </w:tcPr>
          <w:p w14:paraId="249D6F8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46CC6F0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2BCB2E7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5C1F7860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59EB964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702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3DF0F843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Menadžerski konsultantski poslovi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070ED5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1,60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74E1BF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1,78%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A949CA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1,78%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24A105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1,16%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E621F3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-34,6%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553743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74,9%</w:t>
            </w:r>
          </w:p>
        </w:tc>
        <w:tc>
          <w:tcPr>
            <w:tcW w:w="809" w:type="pct"/>
            <w:shd w:val="clear" w:color="auto" w:fill="auto"/>
          </w:tcPr>
          <w:p w14:paraId="5D9D4A0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Iskustvene industrije; Kreativne industrije</w:t>
            </w:r>
          </w:p>
        </w:tc>
        <w:tc>
          <w:tcPr>
            <w:tcW w:w="253" w:type="pct"/>
            <w:shd w:val="clear" w:color="auto" w:fill="auto"/>
          </w:tcPr>
          <w:p w14:paraId="762DBA4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5350C19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6825AC41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3E59CF6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711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6762B56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Arhitektonske i inženjerske djelatnosti i tehničko savjetovanje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E694D5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0,46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8C81CC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0,75%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004DDE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5C1B81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3BF333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262,0%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91D03C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67,4%</w:t>
            </w:r>
          </w:p>
        </w:tc>
        <w:tc>
          <w:tcPr>
            <w:tcW w:w="809" w:type="pct"/>
            <w:shd w:val="clear" w:color="auto" w:fill="auto"/>
          </w:tcPr>
          <w:p w14:paraId="3925A1C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Poslovne usluge;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sektor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plavog rasta; Kreativne industrije</w:t>
            </w:r>
          </w:p>
        </w:tc>
        <w:tc>
          <w:tcPr>
            <w:tcW w:w="253" w:type="pct"/>
            <w:shd w:val="clear" w:color="auto" w:fill="auto"/>
          </w:tcPr>
          <w:p w14:paraId="73BB747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797066D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4083A1C3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84E205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771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383B8492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Iznajmljivanje i lizing motornih vozila 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E599C2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2,65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EC81FB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0,34%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E768FD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0,34%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57A1B4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0,22%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2876492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55,8%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CE0C0B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46,7%</w:t>
            </w:r>
          </w:p>
        </w:tc>
        <w:tc>
          <w:tcPr>
            <w:tcW w:w="809" w:type="pct"/>
            <w:shd w:val="clear" w:color="auto" w:fill="auto"/>
          </w:tcPr>
          <w:p w14:paraId="354D459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Kreativne industrije; </w:t>
            </w:r>
            <w:r>
              <w:rPr>
                <w:rFonts w:cstheme="minorHAnsi"/>
                <w:b/>
                <w:noProof/>
                <w:sz w:val="15"/>
                <w:szCs w:val="15"/>
              </w:rPr>
              <w:t>oblast</w:t>
            </w:r>
            <w:r w:rsidRPr="00593418">
              <w:rPr>
                <w:rFonts w:cstheme="minorHAnsi"/>
                <w:b/>
                <w:noProof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zaštite 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životne sredine</w:t>
            </w:r>
          </w:p>
        </w:tc>
        <w:tc>
          <w:tcPr>
            <w:tcW w:w="253" w:type="pct"/>
            <w:shd w:val="clear" w:color="auto" w:fill="auto"/>
          </w:tcPr>
          <w:p w14:paraId="7074161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30802E7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12EE7BD7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14E18C7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791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2BD63D72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Djelatnost putničkih agencija i tur-operatora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500093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2,61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D6D814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6D0570E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0,87%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4C8841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0,57%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B8129A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12,5%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5287CD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80,6%</w:t>
            </w:r>
          </w:p>
        </w:tc>
        <w:tc>
          <w:tcPr>
            <w:tcW w:w="809" w:type="pct"/>
            <w:shd w:val="clear" w:color="auto" w:fill="auto"/>
          </w:tcPr>
          <w:p w14:paraId="3D4AC17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Ugostiteljstvo i turizam; Iskustvene industrije; </w:t>
            </w:r>
            <w:r>
              <w:rPr>
                <w:rFonts w:eastAsia="Times New Roman"/>
                <w:noProof/>
                <w:sz w:val="15"/>
                <w:szCs w:val="15"/>
                <w:lang w:eastAsia="en-GB"/>
              </w:rPr>
              <w:t>sektor</w:t>
            </w: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 plavog rasta</w:t>
            </w:r>
          </w:p>
        </w:tc>
        <w:tc>
          <w:tcPr>
            <w:tcW w:w="253" w:type="pct"/>
            <w:shd w:val="clear" w:color="auto" w:fill="auto"/>
          </w:tcPr>
          <w:p w14:paraId="77EBC46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2ADA474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22103454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6211AE4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801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5B5815C9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Djelatnost privatnog obezbjeđenja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D48B61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0,66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97F0DD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0,71%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2A42B76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0,71%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C82395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0,46%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ADE996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2210%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8B07D6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46,0%</w:t>
            </w:r>
          </w:p>
        </w:tc>
        <w:tc>
          <w:tcPr>
            <w:tcW w:w="809" w:type="pct"/>
            <w:shd w:val="clear" w:color="auto" w:fill="auto"/>
          </w:tcPr>
          <w:p w14:paraId="45C7C8F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1C75587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5CCF919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109C9B34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62B44D6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802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3A09A4C2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Usluge sistema obezbjeđenja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F027F7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6,33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DE1D68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0,68%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1BEF8CA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0,68%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FF492F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0,45%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4B666C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-77,9%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4915C0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44,1%</w:t>
            </w:r>
          </w:p>
        </w:tc>
        <w:tc>
          <w:tcPr>
            <w:tcW w:w="809" w:type="pct"/>
            <w:shd w:val="clear" w:color="auto" w:fill="auto"/>
          </w:tcPr>
          <w:p w14:paraId="27841E8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shd w:val="clear" w:color="auto" w:fill="auto"/>
          </w:tcPr>
          <w:p w14:paraId="129424C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5853597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02BC0552" w14:textId="77777777" w:rsidTr="00860624">
        <w:trPr>
          <w:cantSplit/>
          <w:jc w:val="center"/>
        </w:trPr>
        <w:tc>
          <w:tcPr>
            <w:tcW w:w="212" w:type="pct"/>
            <w:tcBorders>
              <w:top w:val="nil"/>
            </w:tcBorders>
            <w:shd w:val="clear" w:color="auto" w:fill="auto"/>
            <w:noWrap/>
            <w:hideMark/>
          </w:tcPr>
          <w:p w14:paraId="62FAD35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851</w:t>
            </w:r>
          </w:p>
        </w:tc>
        <w:tc>
          <w:tcPr>
            <w:tcW w:w="927" w:type="pct"/>
            <w:tcBorders>
              <w:top w:val="nil"/>
            </w:tcBorders>
            <w:shd w:val="clear" w:color="auto" w:fill="auto"/>
            <w:noWrap/>
            <w:hideMark/>
          </w:tcPr>
          <w:p w14:paraId="4B8B5679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Predškolsko obrazovanje 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hideMark/>
          </w:tcPr>
          <w:p w14:paraId="3B8148E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hideMark/>
          </w:tcPr>
          <w:p w14:paraId="69D7BEA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hideMark/>
          </w:tcPr>
          <w:p w14:paraId="14BA17F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tcBorders>
              <w:top w:val="nil"/>
            </w:tcBorders>
            <w:shd w:val="clear" w:color="000000" w:fill="C6EFCE"/>
            <w:noWrap/>
            <w:hideMark/>
          </w:tcPr>
          <w:p w14:paraId="4236058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0,79%</w:t>
            </w:r>
          </w:p>
        </w:tc>
        <w:tc>
          <w:tcPr>
            <w:tcW w:w="385" w:type="pct"/>
            <w:tcBorders>
              <w:top w:val="nil"/>
            </w:tcBorders>
            <w:shd w:val="clear" w:color="000000" w:fill="C6EFCE"/>
            <w:noWrap/>
            <w:hideMark/>
          </w:tcPr>
          <w:p w14:paraId="2D7F82C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41,4%</w:t>
            </w: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noWrap/>
            <w:hideMark/>
          </w:tcPr>
          <w:p w14:paraId="0FC911F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80,0%</w:t>
            </w:r>
          </w:p>
        </w:tc>
        <w:tc>
          <w:tcPr>
            <w:tcW w:w="809" w:type="pct"/>
            <w:tcBorders>
              <w:top w:val="nil"/>
            </w:tcBorders>
            <w:shd w:val="clear" w:color="auto" w:fill="auto"/>
          </w:tcPr>
          <w:p w14:paraId="2FC30C5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  <w:tcBorders>
              <w:top w:val="nil"/>
            </w:tcBorders>
            <w:shd w:val="clear" w:color="auto" w:fill="auto"/>
          </w:tcPr>
          <w:p w14:paraId="68BE519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tcBorders>
              <w:top w:val="nil"/>
            </w:tcBorders>
            <w:shd w:val="clear" w:color="auto" w:fill="auto"/>
          </w:tcPr>
          <w:p w14:paraId="684D90E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23FBAF44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224DEC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854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5B823BED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Visoko obrazovanje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E41CB3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D1D99D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3A3313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6A48EC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0,77%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20578A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29,3%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56F25FC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128,2%</w:t>
            </w:r>
          </w:p>
        </w:tc>
        <w:tc>
          <w:tcPr>
            <w:tcW w:w="809" w:type="pct"/>
            <w:shd w:val="clear" w:color="auto" w:fill="auto"/>
          </w:tcPr>
          <w:p w14:paraId="2B514FA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 xml:space="preserve">Obrazovanje i kreiranje znanja </w:t>
            </w:r>
          </w:p>
        </w:tc>
        <w:tc>
          <w:tcPr>
            <w:tcW w:w="253" w:type="pct"/>
            <w:shd w:val="clear" w:color="auto" w:fill="auto"/>
          </w:tcPr>
          <w:p w14:paraId="696984E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  <w:shd w:val="clear" w:color="auto" w:fill="auto"/>
          </w:tcPr>
          <w:p w14:paraId="101C2D1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25B6A068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097F959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lastRenderedPageBreak/>
              <w:t>861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7E9AFCDF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Djelatnost bolnica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AE4059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8B7B1E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A308CE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39B987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2,74%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3361AB9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28,9%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DAC1C3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103,6%</w:t>
            </w:r>
          </w:p>
        </w:tc>
        <w:tc>
          <w:tcPr>
            <w:tcW w:w="809" w:type="pct"/>
          </w:tcPr>
          <w:p w14:paraId="4EC2A71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</w:tcPr>
          <w:p w14:paraId="1C902F9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627E635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Medicina i zdravlje ljudi</w:t>
            </w:r>
          </w:p>
        </w:tc>
      </w:tr>
      <w:tr w:rsidR="000B22C3" w:rsidRPr="00593418" w14:paraId="54A32E86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6A34836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889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7BA20D83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Ostala socijalna zaštita bez smještaja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2ED478A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33DE30A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DFD675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2D73157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0,39%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30AE5AC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54,3%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419CBD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82,0%</w:t>
            </w:r>
          </w:p>
        </w:tc>
        <w:tc>
          <w:tcPr>
            <w:tcW w:w="809" w:type="pct"/>
          </w:tcPr>
          <w:p w14:paraId="2CAE5844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--</w:t>
            </w:r>
          </w:p>
        </w:tc>
        <w:tc>
          <w:tcPr>
            <w:tcW w:w="253" w:type="pct"/>
          </w:tcPr>
          <w:p w14:paraId="377CFC0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--</w:t>
            </w:r>
          </w:p>
        </w:tc>
        <w:tc>
          <w:tcPr>
            <w:tcW w:w="489" w:type="pct"/>
          </w:tcPr>
          <w:p w14:paraId="50DD4B6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--</w:t>
            </w:r>
          </w:p>
        </w:tc>
      </w:tr>
      <w:tr w:rsidR="000B22C3" w:rsidRPr="00593418" w14:paraId="05595A71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133C9EA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900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17A01E14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Stvaralačke, umjetničke i zabavne djelatnosti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74AEA6D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B42EA6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0126838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D8F8D8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0,38%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47347D0F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38,4%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3AE7CA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78,1%</w:t>
            </w:r>
          </w:p>
        </w:tc>
        <w:tc>
          <w:tcPr>
            <w:tcW w:w="809" w:type="pct"/>
          </w:tcPr>
          <w:p w14:paraId="17F18C42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Iskustvene industrije</w:t>
            </w:r>
          </w:p>
        </w:tc>
        <w:tc>
          <w:tcPr>
            <w:tcW w:w="253" w:type="pct"/>
          </w:tcPr>
          <w:p w14:paraId="289E752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620217D6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56955510" w14:textId="77777777" w:rsidTr="00860624">
        <w:trPr>
          <w:cantSplit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4FEF518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931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2B1795E4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Sportske djelatnosti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2DE0A3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5B3BD22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20F8FB2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0AC7E5B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0,44%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1C4F341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27,7%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6BB4C08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100,6%</w:t>
            </w:r>
          </w:p>
        </w:tc>
        <w:tc>
          <w:tcPr>
            <w:tcW w:w="809" w:type="pct"/>
          </w:tcPr>
          <w:p w14:paraId="104BED6B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Ugostiteljstvo i turizam; Iskustvene industrije</w:t>
            </w:r>
          </w:p>
        </w:tc>
        <w:tc>
          <w:tcPr>
            <w:tcW w:w="253" w:type="pct"/>
          </w:tcPr>
          <w:p w14:paraId="4BDFCFA7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642E12D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  <w:tr w:rsidR="000B22C3" w:rsidRPr="00593418" w14:paraId="0FA4C265" w14:textId="77777777" w:rsidTr="00860624">
        <w:trPr>
          <w:cantSplit/>
          <w:trHeight w:val="408"/>
          <w:jc w:val="center"/>
        </w:trPr>
        <w:tc>
          <w:tcPr>
            <w:tcW w:w="212" w:type="pct"/>
            <w:shd w:val="clear" w:color="auto" w:fill="auto"/>
            <w:noWrap/>
            <w:hideMark/>
          </w:tcPr>
          <w:p w14:paraId="39ED1EEE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949</w:t>
            </w:r>
          </w:p>
        </w:tc>
        <w:tc>
          <w:tcPr>
            <w:tcW w:w="927" w:type="pct"/>
            <w:shd w:val="clear" w:color="auto" w:fill="auto"/>
            <w:noWrap/>
            <w:hideMark/>
          </w:tcPr>
          <w:p w14:paraId="58C85B50" w14:textId="77777777" w:rsidR="000B22C3" w:rsidRPr="00593418" w:rsidRDefault="000B22C3" w:rsidP="00860624">
            <w:pPr>
              <w:spacing w:after="0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 xml:space="preserve">Djelatnost ostalih organizacija na bazi učlanjenja 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963F78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</w:p>
        </w:tc>
        <w:tc>
          <w:tcPr>
            <w:tcW w:w="385" w:type="pct"/>
            <w:shd w:val="clear" w:color="auto" w:fill="auto"/>
            <w:noWrap/>
            <w:hideMark/>
          </w:tcPr>
          <w:p w14:paraId="2B1B223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4AFBCE8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×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392FD0C3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0,75%</w:t>
            </w:r>
          </w:p>
        </w:tc>
        <w:tc>
          <w:tcPr>
            <w:tcW w:w="385" w:type="pct"/>
            <w:shd w:val="clear" w:color="000000" w:fill="C6EFCE"/>
            <w:noWrap/>
            <w:hideMark/>
          </w:tcPr>
          <w:p w14:paraId="7A68A50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36,1%</w:t>
            </w:r>
          </w:p>
        </w:tc>
        <w:tc>
          <w:tcPr>
            <w:tcW w:w="385" w:type="pct"/>
            <w:shd w:val="clear" w:color="auto" w:fill="auto"/>
            <w:noWrap/>
            <w:hideMark/>
          </w:tcPr>
          <w:p w14:paraId="1B8EDAE0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cstheme="minorHAnsi"/>
                <w:noProof/>
                <w:sz w:val="15"/>
                <w:szCs w:val="15"/>
              </w:rPr>
              <w:t>101,6%</w:t>
            </w:r>
          </w:p>
        </w:tc>
        <w:tc>
          <w:tcPr>
            <w:tcW w:w="809" w:type="pct"/>
          </w:tcPr>
          <w:p w14:paraId="526F902D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253" w:type="pct"/>
          </w:tcPr>
          <w:p w14:paraId="1CFAEF28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  <w:tc>
          <w:tcPr>
            <w:tcW w:w="489" w:type="pct"/>
          </w:tcPr>
          <w:p w14:paraId="61B59F15" w14:textId="77777777" w:rsidR="000B22C3" w:rsidRPr="00593418" w:rsidRDefault="000B22C3" w:rsidP="00860624">
            <w:pPr>
              <w:spacing w:after="0"/>
              <w:jc w:val="center"/>
              <w:rPr>
                <w:rFonts w:cstheme="minorHAnsi"/>
                <w:noProof/>
                <w:sz w:val="15"/>
                <w:szCs w:val="15"/>
              </w:rPr>
            </w:pPr>
            <w:r w:rsidRPr="00593418">
              <w:rPr>
                <w:rFonts w:eastAsia="Times New Roman"/>
                <w:noProof/>
                <w:sz w:val="15"/>
                <w:szCs w:val="15"/>
                <w:lang w:eastAsia="en-GB"/>
              </w:rPr>
              <w:t>--</w:t>
            </w:r>
          </w:p>
        </w:tc>
      </w:tr>
    </w:tbl>
    <w:p w14:paraId="4FF47962" w14:textId="4003C380" w:rsidR="00733016" w:rsidRPr="00593418" w:rsidRDefault="00733016" w:rsidP="008B704C">
      <w:pPr>
        <w:rPr>
          <w:b/>
          <w:sz w:val="32"/>
          <w:szCs w:val="32"/>
        </w:rPr>
      </w:pPr>
    </w:p>
    <w:sectPr w:rsidR="00733016" w:rsidRPr="00593418" w:rsidSect="00F336FB">
      <w:footerReference w:type="default" r:id="rId40"/>
      <w:pgSz w:w="11906" w:h="16838" w:code="9"/>
      <w:pgMar w:top="1440" w:right="1440" w:bottom="1440" w:left="1440" w:header="720" w:footer="720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452F" w14:textId="77777777" w:rsidR="00647CDE" w:rsidRDefault="00647CDE" w:rsidP="001B3075">
      <w:pPr>
        <w:spacing w:after="0" w:line="240" w:lineRule="auto"/>
      </w:pPr>
      <w:r>
        <w:separator/>
      </w:r>
    </w:p>
  </w:endnote>
  <w:endnote w:type="continuationSeparator" w:id="0">
    <w:p w14:paraId="1DC7271A" w14:textId="77777777" w:rsidR="00647CDE" w:rsidRDefault="00647CDE" w:rsidP="001B3075">
      <w:pPr>
        <w:spacing w:after="0" w:line="240" w:lineRule="auto"/>
      </w:pPr>
      <w:r>
        <w:continuationSeparator/>
      </w:r>
    </w:p>
  </w:endnote>
  <w:endnote w:type="continuationNotice" w:id="1">
    <w:p w14:paraId="6A5D15FB" w14:textId="77777777" w:rsidR="00647CDE" w:rsidRDefault="00647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32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 Cond Medium">
    <w:altName w:val="Proxima Nova Con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2">
    <w:altName w:val="Times New Roman"/>
    <w:charset w:val="01"/>
    <w:family w:val="auto"/>
    <w:pitch w:val="variable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15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AD65F" w14:textId="006391B8" w:rsidR="00A327C7" w:rsidRDefault="00A32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A1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03EB2A2" w14:textId="77777777" w:rsidR="00A327C7" w:rsidRDefault="00A32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1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5C18A" w14:textId="0D3B5E56" w:rsidR="00A327C7" w:rsidRDefault="00A32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65A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309E75B1" w14:textId="77777777" w:rsidR="00A327C7" w:rsidRDefault="00A32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515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6A499" w14:textId="73A432E8" w:rsidR="00A327C7" w:rsidRDefault="00A32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65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44D56E61" w14:textId="77777777" w:rsidR="00A327C7" w:rsidRDefault="00A32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1E91" w14:textId="77777777" w:rsidR="00647CDE" w:rsidRDefault="00647CDE" w:rsidP="001B3075">
      <w:pPr>
        <w:spacing w:after="0" w:line="240" w:lineRule="auto"/>
      </w:pPr>
      <w:r>
        <w:separator/>
      </w:r>
    </w:p>
  </w:footnote>
  <w:footnote w:type="continuationSeparator" w:id="0">
    <w:p w14:paraId="705A1A2E" w14:textId="77777777" w:rsidR="00647CDE" w:rsidRDefault="00647CDE" w:rsidP="001B3075">
      <w:pPr>
        <w:spacing w:after="0" w:line="240" w:lineRule="auto"/>
      </w:pPr>
      <w:r>
        <w:continuationSeparator/>
      </w:r>
    </w:p>
  </w:footnote>
  <w:footnote w:type="continuationNotice" w:id="1">
    <w:p w14:paraId="0543B701" w14:textId="77777777" w:rsidR="00647CDE" w:rsidRDefault="00647CDE">
      <w:pPr>
        <w:spacing w:after="0" w:line="240" w:lineRule="auto"/>
      </w:pPr>
    </w:p>
  </w:footnote>
  <w:footnote w:id="2">
    <w:p w14:paraId="2F90C019" w14:textId="00A15DFD" w:rsidR="00A327C7" w:rsidRPr="00A573FD" w:rsidRDefault="00A327C7" w:rsidP="00206AB0">
      <w:pPr>
        <w:pStyle w:val="FootnoteText"/>
        <w:spacing w:before="0"/>
        <w:rPr>
          <w:rFonts w:asciiTheme="minorHAnsi" w:hAnsiTheme="minorHAnsi" w:cstheme="minorHAnsi"/>
          <w:lang w:val="sr-Latn-ME"/>
        </w:rPr>
      </w:pPr>
      <w:r w:rsidRPr="00A573FD">
        <w:rPr>
          <w:rStyle w:val="FootnoteReference"/>
          <w:rFonts w:asciiTheme="minorHAnsi" w:hAnsiTheme="minorHAnsi" w:cstheme="minorHAnsi"/>
        </w:rPr>
        <w:footnoteRef/>
      </w:r>
      <w:r w:rsidRPr="00923467">
        <w:rPr>
          <w:rFonts w:asciiTheme="minorHAnsi" w:hAnsiTheme="minorHAnsi" w:cstheme="minorHAnsi"/>
          <w:lang w:val="pt-BR"/>
        </w:rPr>
        <w:t xml:space="preserve"> Strategija pametne specijalizacije (S3) ili Istraživačko-inovaciona strategija pametne specijalizacije (RIS3)</w:t>
      </w:r>
    </w:p>
  </w:footnote>
  <w:footnote w:id="3">
    <w:p w14:paraId="0A33A803" w14:textId="77777777" w:rsidR="00A327C7" w:rsidRPr="00CE52EF" w:rsidRDefault="00A327C7" w:rsidP="00206AB0">
      <w:pPr>
        <w:pStyle w:val="FootnoteText"/>
        <w:spacing w:before="0"/>
        <w:rPr>
          <w:rFonts w:asciiTheme="minorHAnsi" w:hAnsiTheme="minorHAnsi" w:cstheme="minorHAnsi"/>
          <w:lang w:val="it-IT"/>
        </w:rPr>
      </w:pPr>
      <w:r w:rsidRPr="00A573FD">
        <w:rPr>
          <w:rStyle w:val="FootnoteReference"/>
          <w:rFonts w:asciiTheme="minorHAnsi" w:hAnsiTheme="minorHAnsi" w:cstheme="minorHAnsi"/>
        </w:rPr>
        <w:footnoteRef/>
      </w:r>
      <w:r w:rsidRPr="00CE52EF">
        <w:rPr>
          <w:rFonts w:asciiTheme="minorHAnsi" w:hAnsiTheme="minorHAnsi" w:cstheme="minorHAnsi"/>
          <w:lang w:val="it-IT"/>
        </w:rPr>
        <w:t xml:space="preserve"> Uredba (EU) 1301/2013 Evropskog parlamenta i Vijeća donijeta 17. decembra 2013. godine</w:t>
      </w:r>
    </w:p>
  </w:footnote>
  <w:footnote w:id="4">
    <w:p w14:paraId="6BEB3B69" w14:textId="700CCAFF" w:rsidR="00A327C7" w:rsidRPr="00E31764" w:rsidRDefault="00A327C7" w:rsidP="00E8725A">
      <w:pPr>
        <w:pStyle w:val="CommentText"/>
      </w:pPr>
      <w:r>
        <w:rPr>
          <w:rStyle w:val="FootnoteReference"/>
        </w:rPr>
        <w:footnoteRef/>
      </w:r>
      <w:r>
        <w:t xml:space="preserve"> </w:t>
      </w:r>
      <w:r w:rsidRPr="00881A9E">
        <w:t xml:space="preserve">Nomenklatura teritorijalnih jedinica za statistiku </w:t>
      </w:r>
      <w:r>
        <w:rPr>
          <w:rFonts w:asciiTheme="minorHAnsi" w:hAnsiTheme="minorHAnsi"/>
        </w:rPr>
        <w:t xml:space="preserve">(eng. Nomenclature of Territorial Units for Statistics); u ovom smislu Crna Gora je </w:t>
      </w:r>
      <w:r w:rsidRPr="00666272">
        <w:t>definisana</w:t>
      </w:r>
      <w:r w:rsidRPr="00E31764">
        <w:t xml:space="preserve"> </w:t>
      </w:r>
      <w:r w:rsidRPr="00666272">
        <w:t>kao</w:t>
      </w:r>
      <w:r w:rsidRPr="00E31764">
        <w:t xml:space="preserve"> </w:t>
      </w:r>
      <w:r w:rsidRPr="00666272">
        <w:t>jedan</w:t>
      </w:r>
      <w:r w:rsidRPr="00E31764">
        <w:t xml:space="preserve"> </w:t>
      </w:r>
      <w:r w:rsidRPr="00666272">
        <w:t>NUTS</w:t>
      </w:r>
      <w:r w:rsidRPr="00E31764">
        <w:t xml:space="preserve"> </w:t>
      </w:r>
      <w:r w:rsidRPr="00666272">
        <w:t>region</w:t>
      </w:r>
      <w:r w:rsidRPr="00E31764">
        <w:t xml:space="preserve"> </w:t>
      </w:r>
      <w:r w:rsidRPr="00666272">
        <w:t>na</w:t>
      </w:r>
      <w:r w:rsidRPr="00E31764">
        <w:t xml:space="preserve"> </w:t>
      </w:r>
      <w:r w:rsidRPr="00666272">
        <w:t>sva</w:t>
      </w:r>
      <w:r w:rsidRPr="00E31764">
        <w:t xml:space="preserve"> </w:t>
      </w:r>
      <w:r w:rsidRPr="00666272">
        <w:t>tri</w:t>
      </w:r>
      <w:r w:rsidRPr="00E31764">
        <w:t xml:space="preserve"> </w:t>
      </w:r>
      <w:r w:rsidRPr="00666272">
        <w:t>nivoa</w:t>
      </w:r>
      <w:r w:rsidRPr="00E31764">
        <w:t xml:space="preserve"> (</w:t>
      </w:r>
      <w:r w:rsidRPr="00666272">
        <w:t>NUTS</w:t>
      </w:r>
      <w:r w:rsidRPr="00E31764">
        <w:t xml:space="preserve"> 1=</w:t>
      </w:r>
      <w:r w:rsidRPr="00666272">
        <w:t>NUTS</w:t>
      </w:r>
      <w:r w:rsidRPr="00E31764">
        <w:t xml:space="preserve"> 2=</w:t>
      </w:r>
      <w:r w:rsidRPr="00666272">
        <w:t>NUTS</w:t>
      </w:r>
      <w:r>
        <w:t xml:space="preserve"> 3).</w:t>
      </w:r>
    </w:p>
  </w:footnote>
  <w:footnote w:id="5">
    <w:p w14:paraId="7FE1126A" w14:textId="3FBFD267" w:rsidR="00A327C7" w:rsidRPr="00E8725A" w:rsidRDefault="00A327C7" w:rsidP="00E8725A">
      <w:pPr>
        <w:pStyle w:val="FootnoteText"/>
        <w:spacing w:before="0"/>
        <w:rPr>
          <w:lang w:val="sr-Latn-ME"/>
        </w:rPr>
      </w:pPr>
      <w:r w:rsidRPr="00E8725A">
        <w:rPr>
          <w:rStyle w:val="FootnoteReference"/>
          <w:rFonts w:asciiTheme="minorHAnsi" w:hAnsiTheme="minorHAnsi" w:cstheme="minorHAnsi"/>
        </w:rPr>
        <w:footnoteRef/>
      </w:r>
      <w:r w:rsidRPr="00E8725A">
        <w:rPr>
          <w:rStyle w:val="FootnoteReference"/>
          <w:rFonts w:asciiTheme="minorHAnsi" w:hAnsiTheme="minorHAnsi" w:cstheme="minorHAnsi"/>
          <w:lang w:val="it-IT"/>
        </w:rPr>
        <w:t xml:space="preserve"> </w:t>
      </w:r>
      <w:r w:rsidRPr="00E8725A">
        <w:rPr>
          <w:rFonts w:asciiTheme="minorHAnsi" w:hAnsiTheme="minorHAnsi" w:cstheme="minorHAnsi"/>
          <w:lang w:val="it-IT"/>
        </w:rPr>
        <w:t>Prema podacima popisa od 2011 godine.</w:t>
      </w:r>
    </w:p>
  </w:footnote>
  <w:footnote w:id="6">
    <w:p w14:paraId="062E5A98" w14:textId="6FD7BCB7" w:rsidR="00A327C7" w:rsidRPr="00205426" w:rsidRDefault="00A327C7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F412B1">
        <w:rPr>
          <w:lang w:val="sr-Latn-ME"/>
        </w:rPr>
        <w:t xml:space="preserve"> </w:t>
      </w:r>
      <w:r w:rsidRPr="00F412B1">
        <w:rPr>
          <w:rFonts w:asciiTheme="minorHAnsi" w:hAnsiTheme="minorHAnsi"/>
          <w:lang w:val="it-IT"/>
        </w:rPr>
        <w:t>Udru</w:t>
      </w:r>
      <w:r w:rsidRPr="00F412B1">
        <w:rPr>
          <w:rFonts w:asciiTheme="minorHAnsi" w:hAnsiTheme="minorHAnsi"/>
          <w:lang w:val="sr-Latn-ME"/>
        </w:rPr>
        <w:t>ž</w:t>
      </w:r>
      <w:r w:rsidRPr="00F412B1">
        <w:rPr>
          <w:rFonts w:asciiTheme="minorHAnsi" w:hAnsiTheme="minorHAnsi"/>
          <w:lang w:val="it-IT"/>
        </w:rPr>
        <w:t>eni</w:t>
      </w:r>
      <w:r w:rsidRPr="00F412B1">
        <w:rPr>
          <w:rFonts w:asciiTheme="minorHAnsi" w:hAnsiTheme="minorHAnsi"/>
          <w:lang w:val="sr-Latn-ME"/>
        </w:rPr>
        <w:t xml:space="preserve"> </w:t>
      </w:r>
      <w:r w:rsidRPr="00F412B1">
        <w:rPr>
          <w:rFonts w:asciiTheme="minorHAnsi" w:hAnsiTheme="minorHAnsi"/>
          <w:lang w:val="it-IT"/>
        </w:rPr>
        <w:t>istra</w:t>
      </w:r>
      <w:r w:rsidRPr="00F412B1">
        <w:rPr>
          <w:rFonts w:asciiTheme="minorHAnsi" w:hAnsiTheme="minorHAnsi"/>
          <w:lang w:val="sr-Latn-ME"/>
        </w:rPr>
        <w:t>ž</w:t>
      </w:r>
      <w:r w:rsidRPr="00F412B1">
        <w:rPr>
          <w:rFonts w:asciiTheme="minorHAnsi" w:hAnsiTheme="minorHAnsi"/>
          <w:lang w:val="it-IT"/>
        </w:rPr>
        <w:t>iva</w:t>
      </w:r>
      <w:r w:rsidRPr="00F412B1">
        <w:rPr>
          <w:rFonts w:asciiTheme="minorHAnsi" w:hAnsiTheme="minorHAnsi"/>
          <w:lang w:val="sr-Latn-ME"/>
        </w:rPr>
        <w:t>č</w:t>
      </w:r>
      <w:r w:rsidRPr="00F412B1">
        <w:rPr>
          <w:rFonts w:asciiTheme="minorHAnsi" w:hAnsiTheme="minorHAnsi"/>
          <w:lang w:val="it-IT"/>
        </w:rPr>
        <w:t>ki</w:t>
      </w:r>
      <w:r w:rsidRPr="00F412B1">
        <w:rPr>
          <w:rFonts w:asciiTheme="minorHAnsi" w:hAnsiTheme="minorHAnsi"/>
          <w:lang w:val="sr-Latn-ME"/>
        </w:rPr>
        <w:t xml:space="preserve"> </w:t>
      </w:r>
      <w:r w:rsidRPr="00F412B1">
        <w:rPr>
          <w:rFonts w:asciiTheme="minorHAnsi" w:hAnsiTheme="minorHAnsi"/>
          <w:lang w:val="it-IT"/>
        </w:rPr>
        <w:t>centar</w:t>
      </w:r>
      <w:r w:rsidRPr="00F412B1">
        <w:rPr>
          <w:rFonts w:asciiTheme="minorHAnsi" w:hAnsiTheme="minorHAnsi"/>
          <w:lang w:val="sr-Latn-ME"/>
        </w:rPr>
        <w:t xml:space="preserve">, </w:t>
      </w:r>
      <w:r w:rsidRPr="00F412B1">
        <w:rPr>
          <w:rFonts w:asciiTheme="minorHAnsi" w:hAnsiTheme="minorHAnsi"/>
          <w:lang w:val="it-IT"/>
        </w:rPr>
        <w:t>jedan</w:t>
      </w:r>
      <w:r w:rsidRPr="00F412B1">
        <w:rPr>
          <w:rFonts w:asciiTheme="minorHAnsi" w:hAnsiTheme="minorHAnsi"/>
          <w:lang w:val="sr-Latn-ME"/>
        </w:rPr>
        <w:t xml:space="preserve"> </w:t>
      </w:r>
      <w:r w:rsidRPr="00F412B1">
        <w:rPr>
          <w:rFonts w:asciiTheme="minorHAnsi" w:hAnsiTheme="minorHAnsi"/>
          <w:lang w:val="it-IT"/>
        </w:rPr>
        <w:t>od</w:t>
      </w:r>
      <w:r w:rsidRPr="00F412B1">
        <w:rPr>
          <w:rFonts w:asciiTheme="minorHAnsi" w:hAnsiTheme="minorHAnsi"/>
          <w:lang w:val="sr-Latn-ME"/>
        </w:rPr>
        <w:t xml:space="preserve"> </w:t>
      </w:r>
      <w:r w:rsidRPr="00F412B1">
        <w:rPr>
          <w:rFonts w:asciiTheme="minorHAnsi" w:hAnsiTheme="minorHAnsi"/>
          <w:lang w:val="it-IT"/>
        </w:rPr>
        <w:t>generalnih</w:t>
      </w:r>
      <w:r w:rsidRPr="00F412B1">
        <w:rPr>
          <w:rFonts w:asciiTheme="minorHAnsi" w:hAnsiTheme="minorHAnsi"/>
          <w:lang w:val="sr-Latn-ME"/>
        </w:rPr>
        <w:t xml:space="preserve"> </w:t>
      </w:r>
      <w:r w:rsidRPr="00F412B1">
        <w:rPr>
          <w:rFonts w:asciiTheme="minorHAnsi" w:hAnsiTheme="minorHAnsi"/>
          <w:lang w:val="it-IT"/>
        </w:rPr>
        <w:t>direktorata</w:t>
      </w:r>
      <w:r w:rsidRPr="00F412B1">
        <w:rPr>
          <w:rFonts w:asciiTheme="minorHAnsi" w:hAnsiTheme="minorHAnsi"/>
          <w:lang w:val="sr-Latn-ME"/>
        </w:rPr>
        <w:t xml:space="preserve"> </w:t>
      </w:r>
      <w:r w:rsidRPr="00F412B1">
        <w:rPr>
          <w:rFonts w:asciiTheme="minorHAnsi" w:hAnsiTheme="minorHAnsi"/>
          <w:lang w:val="it-IT"/>
        </w:rPr>
        <w:t>Evropske</w:t>
      </w:r>
      <w:r w:rsidRPr="00F412B1">
        <w:rPr>
          <w:rFonts w:asciiTheme="minorHAnsi" w:hAnsiTheme="minorHAnsi"/>
          <w:lang w:val="sr-Latn-ME"/>
        </w:rPr>
        <w:t xml:space="preserve"> </w:t>
      </w:r>
      <w:r w:rsidRPr="00F412B1">
        <w:rPr>
          <w:rFonts w:asciiTheme="minorHAnsi" w:hAnsiTheme="minorHAnsi"/>
          <w:lang w:val="it-IT"/>
        </w:rPr>
        <w:t>komisije</w:t>
      </w:r>
      <w:r w:rsidRPr="00F412B1">
        <w:rPr>
          <w:rFonts w:asciiTheme="minorHAnsi" w:hAnsiTheme="minorHAnsi"/>
          <w:lang w:val="sr-Latn-ME"/>
        </w:rPr>
        <w:t xml:space="preserve">, </w:t>
      </w:r>
      <w:r w:rsidRPr="00F412B1">
        <w:rPr>
          <w:rFonts w:asciiTheme="minorHAnsi" w:hAnsiTheme="minorHAnsi"/>
          <w:lang w:val="it-IT"/>
        </w:rPr>
        <w:t>eng</w:t>
      </w:r>
      <w:r w:rsidRPr="00F412B1">
        <w:rPr>
          <w:rFonts w:asciiTheme="minorHAnsi" w:hAnsiTheme="minorHAnsi"/>
          <w:lang w:val="sr-Latn-ME"/>
        </w:rPr>
        <w:t xml:space="preserve">. </w:t>
      </w:r>
      <w:r>
        <w:rPr>
          <w:rFonts w:asciiTheme="minorHAnsi" w:hAnsiTheme="minorHAnsi"/>
        </w:rPr>
        <w:t>Joint</w:t>
      </w:r>
      <w:r w:rsidRPr="00205426">
        <w:rPr>
          <w:rFonts w:asciiTheme="minorHAnsi" w:hAnsiTheme="minorHAnsi"/>
          <w:lang w:val="sr-Latn-ME"/>
        </w:rPr>
        <w:t xml:space="preserve"> </w:t>
      </w:r>
      <w:r>
        <w:rPr>
          <w:rFonts w:asciiTheme="minorHAnsi" w:hAnsiTheme="minorHAnsi"/>
        </w:rPr>
        <w:t>Research</w:t>
      </w:r>
      <w:r w:rsidRPr="00205426">
        <w:rPr>
          <w:rFonts w:asciiTheme="minorHAnsi" w:hAnsiTheme="minorHAnsi"/>
          <w:lang w:val="sr-Latn-ME"/>
        </w:rPr>
        <w:t xml:space="preserve"> </w:t>
      </w:r>
      <w:r>
        <w:rPr>
          <w:rFonts w:asciiTheme="minorHAnsi" w:hAnsiTheme="minorHAnsi"/>
        </w:rPr>
        <w:t>Center</w:t>
      </w:r>
      <w:r w:rsidRPr="00205426">
        <w:rPr>
          <w:rFonts w:asciiTheme="minorHAnsi" w:hAnsiTheme="minorHAnsi"/>
          <w:lang w:val="sr-Latn-ME"/>
        </w:rPr>
        <w:t xml:space="preserve"> (</w:t>
      </w:r>
      <w:r w:rsidRPr="00593418">
        <w:rPr>
          <w:rFonts w:asciiTheme="minorHAnsi" w:hAnsiTheme="minorHAnsi"/>
        </w:rPr>
        <w:t>JRC</w:t>
      </w:r>
      <w:r w:rsidRPr="00205426">
        <w:rPr>
          <w:rFonts w:asciiTheme="minorHAnsi" w:hAnsiTheme="minorHAnsi"/>
          <w:lang w:val="sr-Latn-ME"/>
        </w:rPr>
        <w:t xml:space="preserve">) </w:t>
      </w:r>
      <w:r>
        <w:rPr>
          <w:rFonts w:asciiTheme="minorHAnsi" w:hAnsiTheme="minorHAnsi"/>
        </w:rPr>
        <w:t>u</w:t>
      </w:r>
      <w:r w:rsidRPr="00205426">
        <w:rPr>
          <w:rFonts w:asciiTheme="minorHAnsi" w:hAnsiTheme="minorHAnsi"/>
          <w:lang w:val="sr-Latn-ME"/>
        </w:rPr>
        <w:t xml:space="preserve"> </w:t>
      </w:r>
      <w:r>
        <w:rPr>
          <w:rFonts w:asciiTheme="minorHAnsi" w:hAnsiTheme="minorHAnsi"/>
        </w:rPr>
        <w:t>daljem</w:t>
      </w:r>
      <w:r w:rsidRPr="00205426">
        <w:rPr>
          <w:rFonts w:asciiTheme="minorHAnsi" w:hAnsiTheme="minorHAnsi"/>
          <w:lang w:val="sr-Latn-ME"/>
        </w:rPr>
        <w:t xml:space="preserve"> </w:t>
      </w:r>
      <w:r>
        <w:rPr>
          <w:rFonts w:asciiTheme="minorHAnsi" w:hAnsiTheme="minorHAnsi"/>
        </w:rPr>
        <w:t>tekstu</w:t>
      </w:r>
      <w:r w:rsidRPr="00205426">
        <w:rPr>
          <w:rFonts w:asciiTheme="minorHAnsi" w:hAnsiTheme="minorHAnsi"/>
          <w:lang w:val="sr-Latn-ME"/>
        </w:rPr>
        <w:t xml:space="preserve"> </w:t>
      </w:r>
      <w:r>
        <w:rPr>
          <w:rFonts w:asciiTheme="minorHAnsi" w:hAnsiTheme="minorHAnsi"/>
        </w:rPr>
        <w:t>JRC</w:t>
      </w:r>
      <w:r w:rsidRPr="00205426">
        <w:rPr>
          <w:rFonts w:asciiTheme="minorHAnsi" w:hAnsiTheme="minorHAnsi"/>
          <w:lang w:val="sr-Latn-ME"/>
        </w:rPr>
        <w:t>.</w:t>
      </w:r>
    </w:p>
  </w:footnote>
  <w:footnote w:id="7">
    <w:p w14:paraId="753B70D6" w14:textId="77777777" w:rsidR="00A327C7" w:rsidRPr="00F412B1" w:rsidRDefault="00A327C7" w:rsidP="00A81864">
      <w:pPr>
        <w:pStyle w:val="FootnoteText"/>
        <w:spacing w:before="0"/>
        <w:rPr>
          <w:lang w:val="sr-Latn-ME"/>
        </w:rPr>
      </w:pPr>
      <w:r>
        <w:rPr>
          <w:rStyle w:val="FootnoteReference"/>
        </w:rPr>
        <w:footnoteRef/>
      </w:r>
      <w:r w:rsidRPr="00F412B1">
        <w:rPr>
          <w:lang w:val="it-IT"/>
        </w:rPr>
        <w:t xml:space="preserve"> </w:t>
      </w:r>
      <w:r w:rsidRPr="00F412B1">
        <w:rPr>
          <w:lang w:val="sr-Latn-ME"/>
        </w:rPr>
        <w:t>Pariteti kupovne moći (PKM) su stope za prevođenje valuta koje se primjenjuju kako bi se izvršilo</w:t>
      </w:r>
    </w:p>
    <w:p w14:paraId="0464CA91" w14:textId="499F70CD" w:rsidR="00A327C7" w:rsidRPr="00F412B1" w:rsidRDefault="00A327C7" w:rsidP="00A81864">
      <w:pPr>
        <w:pStyle w:val="FootnoteText"/>
        <w:spacing w:before="0"/>
        <w:rPr>
          <w:lang w:val="sr-Latn-ME"/>
        </w:rPr>
      </w:pPr>
      <w:r w:rsidRPr="00F412B1">
        <w:rPr>
          <w:lang w:val="sr-Latn-ME"/>
        </w:rPr>
        <w:t>pretvaranje ekonomskih indikatora izraženih u nacionalnim valutama u zajedničku vještačku valutu</w:t>
      </w:r>
    </w:p>
  </w:footnote>
  <w:footnote w:id="8">
    <w:p w14:paraId="3119A8D1" w14:textId="45CC5449" w:rsidR="00A327C7" w:rsidRPr="00F412B1" w:rsidRDefault="00A327C7" w:rsidP="00206AB0">
      <w:pPr>
        <w:pStyle w:val="FootnoteText"/>
        <w:spacing w:before="0"/>
        <w:rPr>
          <w:rFonts w:asciiTheme="minorHAnsi" w:hAnsiTheme="minorHAnsi" w:cstheme="minorHAnsi"/>
          <w:lang w:val="sr-Latn-ME"/>
        </w:rPr>
      </w:pPr>
      <w:r w:rsidRPr="00F412B1">
        <w:rPr>
          <w:rStyle w:val="FootnoteReference"/>
          <w:rFonts w:asciiTheme="minorHAnsi" w:hAnsiTheme="minorHAnsi" w:cstheme="minorHAnsi"/>
          <w:lang w:val="sr-Latn-ME"/>
        </w:rPr>
        <w:footnoteRef/>
      </w:r>
      <w:r w:rsidRPr="00F412B1">
        <w:rPr>
          <w:rFonts w:asciiTheme="minorHAnsi" w:hAnsiTheme="minorHAnsi" w:cstheme="minorHAnsi"/>
          <w:lang w:val="sr-Latn-ME"/>
        </w:rPr>
        <w:t xml:space="preserve"> Godišnji makroekonomski izvještaj CBCG 2017. godina</w:t>
      </w:r>
    </w:p>
  </w:footnote>
  <w:footnote w:id="9">
    <w:p w14:paraId="718E9CF1" w14:textId="04B743AA" w:rsidR="00A327C7" w:rsidRPr="00F412B1" w:rsidRDefault="00A327C7" w:rsidP="00206AB0">
      <w:pPr>
        <w:pStyle w:val="FootnoteText"/>
        <w:spacing w:before="0"/>
        <w:rPr>
          <w:rFonts w:asciiTheme="minorHAnsi" w:hAnsiTheme="minorHAnsi" w:cstheme="minorHAnsi"/>
          <w:lang w:val="sr-Latn-ME"/>
        </w:rPr>
      </w:pPr>
      <w:r w:rsidRPr="00A573FD">
        <w:rPr>
          <w:rStyle w:val="FootnoteReference"/>
          <w:rFonts w:asciiTheme="minorHAnsi" w:hAnsiTheme="minorHAnsi" w:cstheme="minorHAnsi"/>
        </w:rPr>
        <w:footnoteRef/>
      </w:r>
      <w:r w:rsidRPr="00F412B1">
        <w:rPr>
          <w:rFonts w:asciiTheme="minorHAnsi" w:hAnsiTheme="minorHAnsi" w:cstheme="minorHAnsi"/>
          <w:lang w:val="sr-Latn-ME"/>
        </w:rPr>
        <w:t xml:space="preserve"> Faktori koji utiču na konkurentnost grupisani su u 12 stubova konkurentnosti: institucije, infrastruktura, makroekonomska stabilnost, zdravstvo i osnovno obrazovanje, visoko obrazovanje i obuka, efikasnost tržišta dobara, efikasnost tržišta rada, razvijenost finansijskog tržišta, tehnološka spremnost, veličina tržišta, sofisticiranost poslovnih procesa i inovacije.</w:t>
      </w:r>
    </w:p>
  </w:footnote>
  <w:footnote w:id="10">
    <w:p w14:paraId="42AB5E65" w14:textId="3149FEED" w:rsidR="00A327C7" w:rsidRPr="00573C36" w:rsidRDefault="00A327C7">
      <w:pPr>
        <w:pStyle w:val="FootnoteText"/>
        <w:rPr>
          <w:lang w:val="sr-Latn-ME"/>
        </w:rPr>
      </w:pPr>
      <w:r w:rsidRPr="00573C36">
        <w:rPr>
          <w:rStyle w:val="FootnoteReference"/>
          <w:lang w:val="sr-Latn-ME"/>
        </w:rPr>
        <w:footnoteRef/>
      </w:r>
      <w:r w:rsidRPr="00573C36">
        <w:rPr>
          <w:lang w:val="sr-Latn-ME"/>
        </w:rPr>
        <w:t xml:space="preserve"> </w:t>
      </w:r>
      <w:r w:rsidRPr="00573C36">
        <w:rPr>
          <w:noProof/>
          <w:lang w:val="sr-Latn-ME"/>
        </w:rPr>
        <w:t xml:space="preserve">NACE je statistička klasifikacija ekonomskih djelatnosti koju koristi Eurostat, kancelarija za statistiku Evropske unije, kao i nacionalne statističke kancelarije evropskih zemalja. </w:t>
      </w:r>
    </w:p>
  </w:footnote>
  <w:footnote w:id="11">
    <w:p w14:paraId="0C4A4DDB" w14:textId="08F1DB23" w:rsidR="00A327C7" w:rsidRPr="00923467" w:rsidRDefault="00A327C7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923467">
        <w:rPr>
          <w:lang w:val="sr-Latn-ME"/>
        </w:rPr>
        <w:t xml:space="preserve"> </w:t>
      </w:r>
      <w:r>
        <w:rPr>
          <w:rFonts w:asciiTheme="minorHAnsi" w:hAnsiTheme="minorHAnsi"/>
          <w:shd w:val="clear" w:color="auto" w:fill="FFFFFF"/>
        </w:rPr>
        <w:t>Indeks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>
        <w:rPr>
          <w:rFonts w:asciiTheme="minorHAnsi" w:hAnsiTheme="minorHAnsi"/>
          <w:shd w:val="clear" w:color="auto" w:fill="FFFFFF"/>
        </w:rPr>
        <w:t>ilustruje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multidimenzionalne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aspekte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inovacija</w:t>
      </w:r>
      <w:r w:rsidRPr="00923467">
        <w:rPr>
          <w:rFonts w:asciiTheme="minorHAnsi" w:hAnsiTheme="minorHAnsi"/>
          <w:shd w:val="clear" w:color="auto" w:fill="FFFFFF"/>
          <w:lang w:val="sr-Latn-ME"/>
        </w:rPr>
        <w:t>,</w:t>
      </w:r>
      <w:r w:rsidRPr="00923467">
        <w:rPr>
          <w:rFonts w:asciiTheme="minorHAnsi" w:hAnsiTheme="minorHAnsi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pru</w:t>
      </w:r>
      <w:r w:rsidRPr="00923467">
        <w:rPr>
          <w:rFonts w:asciiTheme="minorHAnsi" w:hAnsiTheme="minorHAnsi"/>
          <w:shd w:val="clear" w:color="auto" w:fill="FFFFFF"/>
          <w:lang w:val="sr-Latn-ME"/>
        </w:rPr>
        <w:t>ž</w:t>
      </w:r>
      <w:r w:rsidRPr="00593418">
        <w:rPr>
          <w:rFonts w:asciiTheme="minorHAnsi" w:hAnsiTheme="minorHAnsi"/>
          <w:shd w:val="clear" w:color="auto" w:fill="FFFFFF"/>
        </w:rPr>
        <w:t>ajuc</w:t>
      </w:r>
      <w:r w:rsidRPr="00923467">
        <w:rPr>
          <w:rFonts w:asciiTheme="minorHAnsi" w:hAnsiTheme="minorHAnsi"/>
          <w:shd w:val="clear" w:color="auto" w:fill="FFFFFF"/>
          <w:lang w:val="sr-Latn-ME"/>
        </w:rPr>
        <w:t>́</w:t>
      </w:r>
      <w:r w:rsidRPr="00593418">
        <w:rPr>
          <w:rFonts w:asciiTheme="minorHAnsi" w:hAnsiTheme="minorHAnsi"/>
          <w:shd w:val="clear" w:color="auto" w:fill="FFFFFF"/>
        </w:rPr>
        <w:t>i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bogatu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i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detaljnu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bazu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podataka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>
        <w:rPr>
          <w:rFonts w:asciiTheme="minorHAnsi" w:hAnsiTheme="minorHAnsi"/>
          <w:shd w:val="clear" w:color="auto" w:fill="FFFFFF"/>
        </w:rPr>
        <w:t>na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>
        <w:rPr>
          <w:rFonts w:asciiTheme="minorHAnsi" w:hAnsiTheme="minorHAnsi"/>
          <w:shd w:val="clear" w:color="auto" w:fill="FFFFFF"/>
        </w:rPr>
        <w:t>globalnom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>
        <w:rPr>
          <w:rFonts w:asciiTheme="minorHAnsi" w:hAnsiTheme="minorHAnsi"/>
          <w:shd w:val="clear" w:color="auto" w:fill="FFFFFF"/>
        </w:rPr>
        <w:t>nivou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, </w:t>
      </w:r>
      <w:r>
        <w:rPr>
          <w:rFonts w:asciiTheme="minorHAnsi" w:hAnsiTheme="minorHAnsi"/>
          <w:shd w:val="clear" w:color="auto" w:fill="FFFFFF"/>
          <w:lang w:val="sr-Latn-ME"/>
        </w:rPr>
        <w:t>obuhvatajući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90,8% </w:t>
      </w:r>
      <w:r w:rsidRPr="00593418">
        <w:rPr>
          <w:rFonts w:asciiTheme="minorHAnsi" w:hAnsiTheme="minorHAnsi"/>
          <w:shd w:val="clear" w:color="auto" w:fill="FFFFFF"/>
        </w:rPr>
        <w:t>svjetskog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stanovni</w:t>
      </w:r>
      <w:r w:rsidRPr="00923467">
        <w:rPr>
          <w:rFonts w:asciiTheme="minorHAnsi" w:hAnsiTheme="minorHAnsi"/>
          <w:shd w:val="clear" w:color="auto" w:fill="FFFFFF"/>
          <w:lang w:val="sr-Latn-ME"/>
        </w:rPr>
        <w:t>š</w:t>
      </w:r>
      <w:r w:rsidRPr="00593418">
        <w:rPr>
          <w:rFonts w:asciiTheme="minorHAnsi" w:hAnsiTheme="minorHAnsi"/>
          <w:shd w:val="clear" w:color="auto" w:fill="FFFFFF"/>
        </w:rPr>
        <w:t>tva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</w:t>
      </w:r>
      <w:r w:rsidRPr="00593418">
        <w:rPr>
          <w:rFonts w:asciiTheme="minorHAnsi" w:hAnsiTheme="minorHAnsi"/>
          <w:shd w:val="clear" w:color="auto" w:fill="FFFFFF"/>
        </w:rPr>
        <w:t>i</w:t>
      </w:r>
      <w:r w:rsidRPr="00923467">
        <w:rPr>
          <w:rFonts w:asciiTheme="minorHAnsi" w:hAnsiTheme="minorHAnsi"/>
          <w:shd w:val="clear" w:color="auto" w:fill="FFFFFF"/>
          <w:lang w:val="sr-Latn-ME"/>
        </w:rPr>
        <w:t xml:space="preserve"> 96,3% </w:t>
      </w:r>
      <w:r w:rsidRPr="00593418">
        <w:rPr>
          <w:rFonts w:asciiTheme="minorHAnsi" w:hAnsiTheme="minorHAnsi"/>
          <w:shd w:val="clear" w:color="auto" w:fill="FFFFFF"/>
        </w:rPr>
        <w:t>BDP</w:t>
      </w:r>
      <w:r w:rsidRPr="00923467">
        <w:rPr>
          <w:rFonts w:asciiTheme="minorHAnsi" w:hAnsiTheme="minorHAnsi"/>
          <w:shd w:val="clear" w:color="auto" w:fill="FFFFFF"/>
          <w:lang w:val="sr-Latn-ME"/>
        </w:rPr>
        <w:t>-</w:t>
      </w:r>
      <w:r w:rsidRPr="00593418">
        <w:rPr>
          <w:rFonts w:asciiTheme="minorHAnsi" w:hAnsiTheme="minorHAnsi"/>
          <w:shd w:val="clear" w:color="auto" w:fill="FFFFFF"/>
        </w:rPr>
        <w:t>a</w:t>
      </w:r>
      <w:r w:rsidRPr="00923467">
        <w:rPr>
          <w:rFonts w:asciiTheme="minorHAnsi" w:hAnsiTheme="minorHAnsi"/>
          <w:shd w:val="clear" w:color="auto" w:fill="FFFFFF"/>
          <w:lang w:val="sr-Latn-ME"/>
        </w:rPr>
        <w:t>.</w:t>
      </w:r>
    </w:p>
  </w:footnote>
  <w:footnote w:id="12">
    <w:p w14:paraId="4D03B2D2" w14:textId="1466AE7C" w:rsidR="00A327C7" w:rsidRPr="00923467" w:rsidRDefault="00A327C7">
      <w:pPr>
        <w:pStyle w:val="FootnoteText"/>
        <w:rPr>
          <w:lang w:val="sr-Latn-ME"/>
        </w:rPr>
      </w:pPr>
      <w:r w:rsidRPr="00923467">
        <w:rPr>
          <w:rStyle w:val="FootnoteReference"/>
          <w:lang w:val="sr-Latn-ME"/>
        </w:rPr>
        <w:footnoteRef/>
      </w:r>
      <w:r w:rsidRPr="00923467">
        <w:rPr>
          <w:lang w:val="sr-Latn-ME"/>
        </w:rPr>
        <w:t xml:space="preserve"> </w:t>
      </w:r>
      <w:r w:rsidRPr="00923467">
        <w:rPr>
          <w:rFonts w:asciiTheme="minorHAnsi" w:hAnsiTheme="minorHAnsi" w:cstheme="minorHAnsi"/>
          <w:lang w:val="sr-Latn-ME"/>
        </w:rPr>
        <w:t>Ova klasifikacija obuhvata sve oblasti znanja koje se mogu smatrati pogodnim za dobijanje patentne zaštite za pronalazak.</w:t>
      </w:r>
    </w:p>
  </w:footnote>
  <w:footnote w:id="13">
    <w:p w14:paraId="18A7B577" w14:textId="35AD65B3" w:rsidR="00A327C7" w:rsidRPr="00A573FD" w:rsidRDefault="00A327C7" w:rsidP="00206AB0">
      <w:pPr>
        <w:pStyle w:val="FootnoteText"/>
        <w:spacing w:before="0"/>
        <w:rPr>
          <w:rFonts w:asciiTheme="minorHAnsi" w:hAnsiTheme="minorHAnsi" w:cstheme="minorHAnsi"/>
          <w:lang w:val="sr-Latn-ME"/>
        </w:rPr>
      </w:pPr>
      <w:r w:rsidRPr="00A573FD">
        <w:rPr>
          <w:rStyle w:val="FootnoteReference"/>
          <w:rFonts w:asciiTheme="minorHAnsi" w:hAnsiTheme="minorHAnsi" w:cstheme="minorHAnsi"/>
        </w:rPr>
        <w:footnoteRef/>
      </w:r>
      <w:r w:rsidRPr="00A573FD">
        <w:rPr>
          <w:rFonts w:asciiTheme="minorHAnsi" w:hAnsiTheme="minorHAnsi" w:cstheme="minorHAnsi"/>
        </w:rPr>
        <w:t xml:space="preserve"> (World Economic Forum, 2008) (World Economic Forum, 2017)</w:t>
      </w:r>
    </w:p>
  </w:footnote>
  <w:footnote w:id="14">
    <w:p w14:paraId="4DC3FC7C" w14:textId="77777777" w:rsidR="00A327C7" w:rsidRPr="00A573FD" w:rsidRDefault="00A327C7" w:rsidP="00206AB0">
      <w:pPr>
        <w:pStyle w:val="FootnoteText"/>
        <w:spacing w:before="0"/>
        <w:rPr>
          <w:rFonts w:asciiTheme="minorHAnsi" w:hAnsiTheme="minorHAnsi" w:cstheme="minorHAnsi"/>
          <w:lang w:val="sr-Latn-ME"/>
        </w:rPr>
      </w:pPr>
      <w:r w:rsidRPr="00A573FD">
        <w:rPr>
          <w:rStyle w:val="FootnoteReference"/>
          <w:rFonts w:asciiTheme="minorHAnsi" w:hAnsiTheme="minorHAnsi" w:cstheme="minorHAnsi"/>
        </w:rPr>
        <w:footnoteRef/>
      </w:r>
      <w:r w:rsidRPr="00CE52EF">
        <w:rPr>
          <w:rFonts w:asciiTheme="minorHAnsi" w:hAnsiTheme="minorHAnsi" w:cstheme="minorHAnsi"/>
          <w:lang w:val="sr-Latn-ME"/>
        </w:rPr>
        <w:t xml:space="preserve"> </w:t>
      </w:r>
      <w:r w:rsidRPr="00923467">
        <w:rPr>
          <w:rFonts w:asciiTheme="minorHAnsi" w:hAnsiTheme="minorHAnsi" w:cstheme="minorHAnsi"/>
          <w:lang w:val="it-IT"/>
        </w:rPr>
        <w:t>The</w:t>
      </w:r>
      <w:r w:rsidRPr="00CE52EF">
        <w:rPr>
          <w:rFonts w:asciiTheme="minorHAnsi" w:hAnsiTheme="minorHAnsi" w:cstheme="minorHAnsi"/>
          <w:lang w:val="sr-Latn-ME"/>
        </w:rPr>
        <w:t xml:space="preserve"> </w:t>
      </w:r>
      <w:r w:rsidRPr="00923467">
        <w:rPr>
          <w:rFonts w:asciiTheme="minorHAnsi" w:hAnsiTheme="minorHAnsi" w:cstheme="minorHAnsi"/>
          <w:lang w:val="it-IT"/>
        </w:rPr>
        <w:t>Global</w:t>
      </w:r>
      <w:r w:rsidRPr="00CE52EF">
        <w:rPr>
          <w:rFonts w:asciiTheme="minorHAnsi" w:hAnsiTheme="minorHAnsi" w:cstheme="minorHAnsi"/>
          <w:lang w:val="sr-Latn-ME"/>
        </w:rPr>
        <w:t xml:space="preserve"> </w:t>
      </w:r>
      <w:r w:rsidRPr="00923467">
        <w:rPr>
          <w:rFonts w:asciiTheme="minorHAnsi" w:hAnsiTheme="minorHAnsi" w:cstheme="minorHAnsi"/>
          <w:lang w:val="it-IT"/>
        </w:rPr>
        <w:t>Innovation</w:t>
      </w:r>
      <w:r w:rsidRPr="00CE52EF">
        <w:rPr>
          <w:rFonts w:asciiTheme="minorHAnsi" w:hAnsiTheme="minorHAnsi" w:cstheme="minorHAnsi"/>
          <w:lang w:val="sr-Latn-ME"/>
        </w:rPr>
        <w:t xml:space="preserve"> </w:t>
      </w:r>
      <w:r w:rsidRPr="00923467">
        <w:rPr>
          <w:rFonts w:asciiTheme="minorHAnsi" w:hAnsiTheme="minorHAnsi" w:cstheme="minorHAnsi"/>
          <w:lang w:val="it-IT"/>
        </w:rPr>
        <w:t>Index</w:t>
      </w:r>
      <w:r w:rsidRPr="00CE52EF">
        <w:rPr>
          <w:rFonts w:asciiTheme="minorHAnsi" w:hAnsiTheme="minorHAnsi" w:cstheme="minorHAnsi"/>
          <w:lang w:val="sr-Latn-ME"/>
        </w:rPr>
        <w:t xml:space="preserve"> 2018</w:t>
      </w:r>
    </w:p>
  </w:footnote>
  <w:footnote w:id="15">
    <w:p w14:paraId="501AC71A" w14:textId="37087CD1" w:rsidR="00A327C7" w:rsidRPr="00A573FD" w:rsidRDefault="00A327C7" w:rsidP="00AC47E2">
      <w:pPr>
        <w:pStyle w:val="FootnoteText"/>
        <w:spacing w:before="0"/>
        <w:rPr>
          <w:rFonts w:asciiTheme="minorHAnsi" w:hAnsiTheme="minorHAnsi" w:cstheme="minorHAnsi"/>
          <w:lang w:val="sr-Latn-ME"/>
        </w:rPr>
      </w:pPr>
      <w:r w:rsidRPr="00F270D5">
        <w:rPr>
          <w:rStyle w:val="FootnoteReference"/>
          <w:rFonts w:asciiTheme="minorHAnsi" w:hAnsiTheme="minorHAnsi" w:cstheme="minorHAnsi"/>
          <w:lang w:val="sr-Latn-ME"/>
        </w:rPr>
        <w:footnoteRef/>
      </w:r>
      <w:r w:rsidRPr="00AC47E2">
        <w:rPr>
          <w:rFonts w:asciiTheme="minorHAnsi" w:hAnsiTheme="minorHAnsi" w:cstheme="minorHAnsi"/>
          <w:lang w:val="sr-Latn-ME"/>
        </w:rPr>
        <w:t xml:space="preserve"> </w:t>
      </w:r>
      <w:r w:rsidRPr="00F270D5">
        <w:rPr>
          <w:rFonts w:asciiTheme="minorHAnsi" w:hAnsiTheme="minorHAnsi" w:cstheme="minorHAnsi"/>
          <w:lang w:val="sr-Latn-ME"/>
        </w:rPr>
        <w:t>Upotreba</w:t>
      </w:r>
      <w:r w:rsidRPr="00AC47E2">
        <w:rPr>
          <w:rFonts w:asciiTheme="minorHAnsi" w:hAnsiTheme="minorHAnsi" w:cstheme="minorHAnsi"/>
          <w:lang w:val="sr-Latn-ME"/>
        </w:rPr>
        <w:t xml:space="preserve"> </w:t>
      </w:r>
      <w:r w:rsidRPr="00F270D5">
        <w:rPr>
          <w:rFonts w:asciiTheme="minorHAnsi" w:hAnsiTheme="minorHAnsi" w:cstheme="minorHAnsi"/>
          <w:lang w:val="sr-Latn-ME"/>
        </w:rPr>
        <w:t>informaciono</w:t>
      </w:r>
      <w:r w:rsidRPr="00AC47E2">
        <w:rPr>
          <w:rFonts w:asciiTheme="minorHAnsi" w:hAnsiTheme="minorHAnsi" w:cstheme="minorHAnsi"/>
          <w:lang w:val="sr-Latn-ME"/>
        </w:rPr>
        <w:t>-</w:t>
      </w:r>
      <w:r w:rsidRPr="00F270D5">
        <w:rPr>
          <w:rFonts w:asciiTheme="minorHAnsi" w:hAnsiTheme="minorHAnsi" w:cstheme="minorHAnsi"/>
          <w:lang w:val="sr-Latn-ME"/>
        </w:rPr>
        <w:t>komunikacionih</w:t>
      </w:r>
      <w:r w:rsidRPr="00AC47E2">
        <w:rPr>
          <w:rFonts w:asciiTheme="minorHAnsi" w:hAnsiTheme="minorHAnsi" w:cstheme="minorHAnsi"/>
          <w:lang w:val="sr-Latn-ME"/>
        </w:rPr>
        <w:t xml:space="preserve"> </w:t>
      </w:r>
      <w:r w:rsidRPr="00F270D5">
        <w:rPr>
          <w:rFonts w:asciiTheme="minorHAnsi" w:hAnsiTheme="minorHAnsi" w:cstheme="minorHAnsi"/>
          <w:lang w:val="sr-Latn-ME"/>
        </w:rPr>
        <w:t>tehnologija</w:t>
      </w:r>
      <w:r w:rsidRPr="00AC47E2">
        <w:rPr>
          <w:rFonts w:asciiTheme="minorHAnsi" w:hAnsiTheme="minorHAnsi" w:cstheme="minorHAnsi"/>
          <w:lang w:val="sr-Latn-ME"/>
        </w:rPr>
        <w:t xml:space="preserve"> </w:t>
      </w:r>
      <w:r w:rsidRPr="00F270D5">
        <w:rPr>
          <w:rFonts w:asciiTheme="minorHAnsi" w:hAnsiTheme="minorHAnsi" w:cstheme="minorHAnsi"/>
          <w:lang w:val="sr-Latn-ME"/>
        </w:rPr>
        <w:t>u</w:t>
      </w:r>
      <w:r w:rsidRPr="00AC47E2">
        <w:rPr>
          <w:rFonts w:asciiTheme="minorHAnsi" w:hAnsiTheme="minorHAnsi" w:cstheme="minorHAnsi"/>
          <w:lang w:val="sr-Latn-ME"/>
        </w:rPr>
        <w:t xml:space="preserve"> </w:t>
      </w:r>
      <w:r w:rsidRPr="00F270D5">
        <w:rPr>
          <w:rFonts w:asciiTheme="minorHAnsi" w:hAnsiTheme="minorHAnsi" w:cstheme="minorHAnsi"/>
          <w:lang w:val="sr-Latn-ME"/>
        </w:rPr>
        <w:t>preduze</w:t>
      </w:r>
      <w:r w:rsidRPr="00AC47E2">
        <w:rPr>
          <w:rFonts w:asciiTheme="minorHAnsi" w:hAnsiTheme="minorHAnsi" w:cstheme="minorHAnsi"/>
          <w:lang w:val="sr-Latn-ME"/>
        </w:rPr>
        <w:t>ć</w:t>
      </w:r>
      <w:r w:rsidRPr="00F270D5">
        <w:rPr>
          <w:rFonts w:asciiTheme="minorHAnsi" w:hAnsiTheme="minorHAnsi" w:cstheme="minorHAnsi"/>
          <w:lang w:val="sr-Latn-ME"/>
        </w:rPr>
        <w:t>ima</w:t>
      </w:r>
      <w:r w:rsidRPr="00AC47E2">
        <w:rPr>
          <w:rFonts w:asciiTheme="minorHAnsi" w:hAnsiTheme="minorHAnsi" w:cstheme="minorHAnsi"/>
          <w:lang w:val="sr-Latn-ME"/>
        </w:rPr>
        <w:t xml:space="preserve"> u </w:t>
      </w:r>
      <w:r w:rsidRPr="00F270D5">
        <w:rPr>
          <w:rFonts w:asciiTheme="minorHAnsi" w:hAnsiTheme="minorHAnsi" w:cstheme="minorHAnsi"/>
          <w:lang w:val="sr-Latn-ME"/>
        </w:rPr>
        <w:t>Crnoj</w:t>
      </w:r>
      <w:r w:rsidRPr="00AC47E2">
        <w:rPr>
          <w:rFonts w:asciiTheme="minorHAnsi" w:hAnsiTheme="minorHAnsi" w:cstheme="minorHAnsi"/>
          <w:lang w:val="sr-Latn-ME"/>
        </w:rPr>
        <w:t xml:space="preserve"> </w:t>
      </w:r>
      <w:r w:rsidRPr="00923467">
        <w:rPr>
          <w:rFonts w:asciiTheme="minorHAnsi" w:hAnsiTheme="minorHAnsi" w:cstheme="minorHAnsi"/>
          <w:lang w:val="sr-Latn-ME"/>
        </w:rPr>
        <w:t>Gori</w:t>
      </w:r>
      <w:r w:rsidRPr="00AC47E2">
        <w:rPr>
          <w:rFonts w:asciiTheme="minorHAnsi" w:hAnsiTheme="minorHAnsi" w:cstheme="minorHAnsi"/>
          <w:lang w:val="sr-Latn-ME"/>
        </w:rPr>
        <w:t>, 201</w:t>
      </w:r>
      <w:r>
        <w:rPr>
          <w:rFonts w:asciiTheme="minorHAnsi" w:hAnsiTheme="minorHAnsi" w:cstheme="minorHAnsi"/>
          <w:lang w:val="sr-Latn-ME"/>
        </w:rPr>
        <w:t>8</w:t>
      </w:r>
      <w:r w:rsidRPr="00AC47E2">
        <w:rPr>
          <w:rFonts w:asciiTheme="minorHAnsi" w:hAnsiTheme="minorHAnsi" w:cstheme="minorHAnsi"/>
          <w:lang w:val="sr-Latn-ME"/>
        </w:rPr>
        <w:t xml:space="preserve">. </w:t>
      </w:r>
      <w:r w:rsidRPr="00F270D5">
        <w:rPr>
          <w:rFonts w:asciiTheme="minorHAnsi" w:hAnsiTheme="minorHAnsi" w:cstheme="minorHAnsi"/>
          <w:lang w:val="sr-Latn-ME"/>
        </w:rPr>
        <w:t>godine</w:t>
      </w:r>
      <w:r w:rsidRPr="00AC47E2">
        <w:rPr>
          <w:rFonts w:asciiTheme="minorHAnsi" w:hAnsiTheme="minorHAnsi" w:cstheme="minorHAnsi"/>
          <w:lang w:val="sr-Latn-ME"/>
        </w:rPr>
        <w:t xml:space="preserve"> - </w:t>
      </w:r>
      <w:r w:rsidRPr="00923467">
        <w:rPr>
          <w:rFonts w:asciiTheme="minorHAnsi" w:hAnsiTheme="minorHAnsi" w:cstheme="minorHAnsi"/>
          <w:lang w:val="sr-Latn-ME"/>
        </w:rPr>
        <w:t>Monstat</w:t>
      </w:r>
    </w:p>
  </w:footnote>
  <w:footnote w:id="16">
    <w:p w14:paraId="4B9D1488" w14:textId="7110BAC0" w:rsidR="00A327C7" w:rsidRPr="00813707" w:rsidRDefault="00A327C7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813707">
        <w:rPr>
          <w:sz w:val="18"/>
          <w:szCs w:val="18"/>
        </w:rPr>
        <w:t>Izvor EKIP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0B9B" w14:textId="77777777" w:rsidR="00A327C7" w:rsidRDefault="00A32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64E8810E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05803CAD"/>
    <w:multiLevelType w:val="hybridMultilevel"/>
    <w:tmpl w:val="E3E8C5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06CB4C66"/>
    <w:multiLevelType w:val="hybridMultilevel"/>
    <w:tmpl w:val="49BC3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07574E02"/>
    <w:multiLevelType w:val="hybridMultilevel"/>
    <w:tmpl w:val="0B08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782C09"/>
    <w:multiLevelType w:val="hybridMultilevel"/>
    <w:tmpl w:val="0244436C"/>
    <w:lvl w:ilvl="0" w:tplc="E50A40C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D3004A"/>
    <w:multiLevelType w:val="hybridMultilevel"/>
    <w:tmpl w:val="1DAA7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10997F67"/>
    <w:multiLevelType w:val="hybridMultilevel"/>
    <w:tmpl w:val="C972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810170"/>
    <w:multiLevelType w:val="hybridMultilevel"/>
    <w:tmpl w:val="106C7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7247EEB"/>
    <w:multiLevelType w:val="hybridMultilevel"/>
    <w:tmpl w:val="7DA6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746E88"/>
    <w:multiLevelType w:val="hybridMultilevel"/>
    <w:tmpl w:val="4C523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446564C"/>
    <w:multiLevelType w:val="hybridMultilevel"/>
    <w:tmpl w:val="AF0E2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606B48"/>
    <w:multiLevelType w:val="hybridMultilevel"/>
    <w:tmpl w:val="D7DC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EB7335"/>
    <w:multiLevelType w:val="hybridMultilevel"/>
    <w:tmpl w:val="3F448F3E"/>
    <w:lvl w:ilvl="0" w:tplc="BA7008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115170"/>
    <w:multiLevelType w:val="multilevel"/>
    <w:tmpl w:val="D13A3FDE"/>
    <w:lvl w:ilvl="0">
      <w:start w:val="1"/>
      <w:numFmt w:val="decimal"/>
      <w:pStyle w:val="H1-NOTTOC"/>
      <w:lvlText w:val="%1."/>
      <w:lvlJc w:val="left"/>
      <w:pPr>
        <w:ind w:left="0" w:hanging="624"/>
      </w:pPr>
      <w:rPr>
        <w:rFonts w:hint="default"/>
        <w:b/>
        <w:i w:val="0"/>
        <w:color w:val="009DE0"/>
        <w:sz w:val="28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hanging="624"/>
      </w:pPr>
      <w:rPr>
        <w:rFonts w:ascii="Verdana" w:hAnsi="Verdana" w:hint="default"/>
        <w:b/>
        <w:i w:val="0"/>
        <w:color w:val="000000"/>
        <w:sz w:val="18"/>
      </w:rPr>
    </w:lvl>
    <w:lvl w:ilvl="2">
      <w:start w:val="1"/>
      <w:numFmt w:val="decimal"/>
      <w:pStyle w:val="H3-NOTTOC"/>
      <w:lvlText w:val="%1.%2.%3"/>
      <w:lvlJc w:val="left"/>
      <w:pPr>
        <w:tabs>
          <w:tab w:val="num" w:pos="624"/>
        </w:tabs>
        <w:ind w:left="0" w:hanging="624"/>
      </w:pPr>
      <w:rPr>
        <w:rFonts w:ascii="Verdana" w:hAnsi="Verdana" w:hint="default"/>
        <w:b w:val="0"/>
        <w:i w:val="0"/>
        <w:color w:val="000000"/>
        <w:sz w:val="17"/>
      </w:rPr>
    </w:lvl>
    <w:lvl w:ilvl="3">
      <w:start w:val="1"/>
      <w:numFmt w:val="decimal"/>
      <w:pStyle w:val="H4-NOTTOC"/>
      <w:lvlText w:val="%1.%2.%3.%4"/>
      <w:lvlJc w:val="left"/>
      <w:pPr>
        <w:tabs>
          <w:tab w:val="num" w:pos="284"/>
        </w:tabs>
        <w:ind w:left="0" w:hanging="624"/>
      </w:pPr>
      <w:rPr>
        <w:rFonts w:ascii="Verdana" w:hAnsi="Verdana" w:hint="default"/>
        <w:b w:val="0"/>
        <w:i w:val="0"/>
        <w:color w:val="auto"/>
        <w:sz w:val="17"/>
      </w:rPr>
    </w:lvl>
    <w:lvl w:ilvl="4">
      <w:start w:val="1"/>
      <w:numFmt w:val="decimal"/>
      <w:lvlRestart w:val="0"/>
      <w:lvlText w:val="%1.%2.%3.%4.%5"/>
      <w:lvlJc w:val="right"/>
      <w:pPr>
        <w:tabs>
          <w:tab w:val="num" w:pos="567"/>
        </w:tabs>
        <w:ind w:left="0" w:hanging="624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567"/>
        </w:tabs>
        <w:ind w:left="0" w:hanging="624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851"/>
        </w:tabs>
        <w:ind w:left="0" w:hanging="624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851"/>
        </w:tabs>
        <w:ind w:left="0" w:hanging="624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1134"/>
        </w:tabs>
        <w:ind w:left="0" w:hanging="624"/>
      </w:pPr>
      <w:rPr>
        <w:rFonts w:hint="default"/>
      </w:rPr>
    </w:lvl>
  </w:abstractNum>
  <w:abstractNum w:abstractNumId="41" w15:restartNumberingAfterBreak="0">
    <w:nsid w:val="377C43FC"/>
    <w:multiLevelType w:val="hybridMultilevel"/>
    <w:tmpl w:val="998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196D8C"/>
    <w:multiLevelType w:val="hybridMultilevel"/>
    <w:tmpl w:val="B0482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766BC9"/>
    <w:multiLevelType w:val="hybridMultilevel"/>
    <w:tmpl w:val="9398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F10C52"/>
    <w:multiLevelType w:val="hybridMultilevel"/>
    <w:tmpl w:val="C8F4E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D24301C"/>
    <w:multiLevelType w:val="hybridMultilevel"/>
    <w:tmpl w:val="DDAA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F42CE7"/>
    <w:multiLevelType w:val="hybridMultilevel"/>
    <w:tmpl w:val="AB12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2B52BF"/>
    <w:multiLevelType w:val="multilevel"/>
    <w:tmpl w:val="6E6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505B07DF"/>
    <w:multiLevelType w:val="hybridMultilevel"/>
    <w:tmpl w:val="59D238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17A6BF3"/>
    <w:multiLevelType w:val="hybridMultilevel"/>
    <w:tmpl w:val="99B4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0205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B00B8"/>
    <w:multiLevelType w:val="hybridMultilevel"/>
    <w:tmpl w:val="A5D8D4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46743EF"/>
    <w:multiLevelType w:val="multilevel"/>
    <w:tmpl w:val="A94C4A7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4" w:hanging="576"/>
      </w:pPr>
      <w:rPr>
        <w:rFonts w:hint="default"/>
      </w:rPr>
    </w:lvl>
    <w:lvl w:ilvl="2">
      <w:start w:val="3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5421BB0"/>
    <w:multiLevelType w:val="hybridMultilevel"/>
    <w:tmpl w:val="F57E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664837"/>
    <w:multiLevelType w:val="hybridMultilevel"/>
    <w:tmpl w:val="5C4A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E11D0"/>
    <w:multiLevelType w:val="hybridMultilevel"/>
    <w:tmpl w:val="EB4EC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670A1"/>
    <w:multiLevelType w:val="hybridMultilevel"/>
    <w:tmpl w:val="5EF093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 w15:restartNumberingAfterBreak="0">
    <w:nsid w:val="5F4240B4"/>
    <w:multiLevelType w:val="hybridMultilevel"/>
    <w:tmpl w:val="E62850F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E50A40C8">
      <w:numFmt w:val="bullet"/>
      <w:lvlText w:val="•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5FC136F3"/>
    <w:multiLevelType w:val="hybridMultilevel"/>
    <w:tmpl w:val="9CC4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DE70CF"/>
    <w:multiLevelType w:val="hybridMultilevel"/>
    <w:tmpl w:val="24E2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F22976"/>
    <w:multiLevelType w:val="multilevel"/>
    <w:tmpl w:val="ADD40F32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0" w15:restartNumberingAfterBreak="0">
    <w:nsid w:val="6DAC380C"/>
    <w:multiLevelType w:val="hybridMultilevel"/>
    <w:tmpl w:val="7EC0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7F7D9A"/>
    <w:multiLevelType w:val="hybridMultilevel"/>
    <w:tmpl w:val="AC5A8B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72631EC"/>
    <w:multiLevelType w:val="hybridMultilevel"/>
    <w:tmpl w:val="E57E93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C5D43CC"/>
    <w:multiLevelType w:val="hybridMultilevel"/>
    <w:tmpl w:val="4364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8E2102"/>
    <w:multiLevelType w:val="hybridMultilevel"/>
    <w:tmpl w:val="51C44D5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D557FD9"/>
    <w:multiLevelType w:val="hybridMultilevel"/>
    <w:tmpl w:val="32F07EC2"/>
    <w:lvl w:ilvl="0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6" w15:restartNumberingAfterBreak="0">
    <w:nsid w:val="7F623020"/>
    <w:multiLevelType w:val="hybridMultilevel"/>
    <w:tmpl w:val="045C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7B717C"/>
    <w:multiLevelType w:val="hybridMultilevel"/>
    <w:tmpl w:val="D418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1"/>
  </w:num>
  <w:num w:numId="3">
    <w:abstractNumId w:val="45"/>
  </w:num>
  <w:num w:numId="4">
    <w:abstractNumId w:val="46"/>
  </w:num>
  <w:num w:numId="5">
    <w:abstractNumId w:val="0"/>
  </w:num>
  <w:num w:numId="6">
    <w:abstractNumId w:val="40"/>
  </w:num>
  <w:num w:numId="7">
    <w:abstractNumId w:val="61"/>
  </w:num>
  <w:num w:numId="8">
    <w:abstractNumId w:val="34"/>
  </w:num>
  <w:num w:numId="9">
    <w:abstractNumId w:val="63"/>
  </w:num>
  <w:num w:numId="10">
    <w:abstractNumId w:val="39"/>
  </w:num>
  <w:num w:numId="11">
    <w:abstractNumId w:val="41"/>
  </w:num>
  <w:num w:numId="12">
    <w:abstractNumId w:val="54"/>
  </w:num>
  <w:num w:numId="13">
    <w:abstractNumId w:val="33"/>
  </w:num>
  <w:num w:numId="14">
    <w:abstractNumId w:val="38"/>
  </w:num>
  <w:num w:numId="15">
    <w:abstractNumId w:val="67"/>
  </w:num>
  <w:num w:numId="16">
    <w:abstractNumId w:val="29"/>
  </w:num>
  <w:num w:numId="17">
    <w:abstractNumId w:val="64"/>
  </w:num>
  <w:num w:numId="18">
    <w:abstractNumId w:val="56"/>
  </w:num>
  <w:num w:numId="19">
    <w:abstractNumId w:val="55"/>
  </w:num>
  <w:num w:numId="20">
    <w:abstractNumId w:val="66"/>
  </w:num>
  <w:num w:numId="21">
    <w:abstractNumId w:val="37"/>
  </w:num>
  <w:num w:numId="22">
    <w:abstractNumId w:val="49"/>
  </w:num>
  <w:num w:numId="23">
    <w:abstractNumId w:val="58"/>
  </w:num>
  <w:num w:numId="24">
    <w:abstractNumId w:val="65"/>
  </w:num>
  <w:num w:numId="25">
    <w:abstractNumId w:val="35"/>
  </w:num>
  <w:num w:numId="26">
    <w:abstractNumId w:val="36"/>
  </w:num>
  <w:num w:numId="27">
    <w:abstractNumId w:val="57"/>
  </w:num>
  <w:num w:numId="28">
    <w:abstractNumId w:val="62"/>
  </w:num>
  <w:num w:numId="29">
    <w:abstractNumId w:val="28"/>
  </w:num>
  <w:num w:numId="30">
    <w:abstractNumId w:val="48"/>
  </w:num>
  <w:num w:numId="31">
    <w:abstractNumId w:val="44"/>
  </w:num>
  <w:num w:numId="32">
    <w:abstractNumId w:val="47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2"/>
  </w:num>
  <w:num w:numId="44">
    <w:abstractNumId w:val="50"/>
  </w:num>
  <w:num w:numId="45">
    <w:abstractNumId w:val="30"/>
  </w:num>
  <w:num w:numId="46">
    <w:abstractNumId w:val="43"/>
  </w:num>
  <w:num w:numId="47">
    <w:abstractNumId w:val="53"/>
  </w:num>
  <w:num w:numId="48">
    <w:abstractNumId w:val="32"/>
  </w:num>
  <w:num w:numId="49">
    <w:abstractNumId w:val="60"/>
  </w:num>
  <w:num w:numId="50">
    <w:abstractNumId w:val="31"/>
  </w:num>
  <w:num w:numId="51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C3"/>
    <w:rsid w:val="000025A6"/>
    <w:rsid w:val="000027CB"/>
    <w:rsid w:val="00003BA2"/>
    <w:rsid w:val="000060FC"/>
    <w:rsid w:val="00006CAB"/>
    <w:rsid w:val="00007936"/>
    <w:rsid w:val="00007FFE"/>
    <w:rsid w:val="00011C1D"/>
    <w:rsid w:val="000136EA"/>
    <w:rsid w:val="00013C0A"/>
    <w:rsid w:val="000140E2"/>
    <w:rsid w:val="00016AE5"/>
    <w:rsid w:val="00017272"/>
    <w:rsid w:val="00021310"/>
    <w:rsid w:val="000215C1"/>
    <w:rsid w:val="00023594"/>
    <w:rsid w:val="00024A19"/>
    <w:rsid w:val="00025B39"/>
    <w:rsid w:val="00027CA2"/>
    <w:rsid w:val="00027F91"/>
    <w:rsid w:val="000313BE"/>
    <w:rsid w:val="00032B89"/>
    <w:rsid w:val="00036629"/>
    <w:rsid w:val="00037C2B"/>
    <w:rsid w:val="00040C76"/>
    <w:rsid w:val="000411BB"/>
    <w:rsid w:val="0004373D"/>
    <w:rsid w:val="00043811"/>
    <w:rsid w:val="00044D2B"/>
    <w:rsid w:val="000470D8"/>
    <w:rsid w:val="00047C15"/>
    <w:rsid w:val="0005273D"/>
    <w:rsid w:val="0005293F"/>
    <w:rsid w:val="00052A45"/>
    <w:rsid w:val="00052F28"/>
    <w:rsid w:val="00053704"/>
    <w:rsid w:val="00053BD8"/>
    <w:rsid w:val="00054171"/>
    <w:rsid w:val="00054809"/>
    <w:rsid w:val="00056F78"/>
    <w:rsid w:val="00056F82"/>
    <w:rsid w:val="00064904"/>
    <w:rsid w:val="00065BAE"/>
    <w:rsid w:val="00065C22"/>
    <w:rsid w:val="00070C70"/>
    <w:rsid w:val="00070C9E"/>
    <w:rsid w:val="00071F4A"/>
    <w:rsid w:val="000728B9"/>
    <w:rsid w:val="000746E1"/>
    <w:rsid w:val="00074A9E"/>
    <w:rsid w:val="00074E8D"/>
    <w:rsid w:val="00075F58"/>
    <w:rsid w:val="00077283"/>
    <w:rsid w:val="0007735B"/>
    <w:rsid w:val="0008254B"/>
    <w:rsid w:val="0008760F"/>
    <w:rsid w:val="00087AB4"/>
    <w:rsid w:val="0009006C"/>
    <w:rsid w:val="00093C0D"/>
    <w:rsid w:val="00093EFE"/>
    <w:rsid w:val="0009447F"/>
    <w:rsid w:val="00094587"/>
    <w:rsid w:val="00094664"/>
    <w:rsid w:val="000959F3"/>
    <w:rsid w:val="00096426"/>
    <w:rsid w:val="000973FC"/>
    <w:rsid w:val="000974AF"/>
    <w:rsid w:val="000A19A8"/>
    <w:rsid w:val="000A1B07"/>
    <w:rsid w:val="000A265A"/>
    <w:rsid w:val="000A4413"/>
    <w:rsid w:val="000A7FAB"/>
    <w:rsid w:val="000B12A2"/>
    <w:rsid w:val="000B22C3"/>
    <w:rsid w:val="000B2EF2"/>
    <w:rsid w:val="000B3276"/>
    <w:rsid w:val="000B4EDF"/>
    <w:rsid w:val="000B7CA0"/>
    <w:rsid w:val="000C175A"/>
    <w:rsid w:val="000C4EEB"/>
    <w:rsid w:val="000C54CE"/>
    <w:rsid w:val="000C66C9"/>
    <w:rsid w:val="000C74F8"/>
    <w:rsid w:val="000D00A3"/>
    <w:rsid w:val="000D60FF"/>
    <w:rsid w:val="000D74C4"/>
    <w:rsid w:val="000D7F77"/>
    <w:rsid w:val="000E1938"/>
    <w:rsid w:val="000E1A28"/>
    <w:rsid w:val="000E2486"/>
    <w:rsid w:val="000E7601"/>
    <w:rsid w:val="000F28A2"/>
    <w:rsid w:val="000F327E"/>
    <w:rsid w:val="000F550E"/>
    <w:rsid w:val="000F6137"/>
    <w:rsid w:val="000F6FCE"/>
    <w:rsid w:val="000F711D"/>
    <w:rsid w:val="000F7450"/>
    <w:rsid w:val="0010409B"/>
    <w:rsid w:val="001043B9"/>
    <w:rsid w:val="00104D86"/>
    <w:rsid w:val="00107460"/>
    <w:rsid w:val="001074DD"/>
    <w:rsid w:val="00110BE1"/>
    <w:rsid w:val="0011193A"/>
    <w:rsid w:val="00111BC2"/>
    <w:rsid w:val="00111E38"/>
    <w:rsid w:val="00112493"/>
    <w:rsid w:val="00113E9B"/>
    <w:rsid w:val="00115FE5"/>
    <w:rsid w:val="001165F2"/>
    <w:rsid w:val="00116C67"/>
    <w:rsid w:val="001204E0"/>
    <w:rsid w:val="00121A41"/>
    <w:rsid w:val="00121D80"/>
    <w:rsid w:val="00121F63"/>
    <w:rsid w:val="00122A32"/>
    <w:rsid w:val="00122C14"/>
    <w:rsid w:val="00124245"/>
    <w:rsid w:val="001268EB"/>
    <w:rsid w:val="00127C55"/>
    <w:rsid w:val="001305B7"/>
    <w:rsid w:val="001313A1"/>
    <w:rsid w:val="001317F6"/>
    <w:rsid w:val="0013396E"/>
    <w:rsid w:val="00133C0F"/>
    <w:rsid w:val="00134BAB"/>
    <w:rsid w:val="00135750"/>
    <w:rsid w:val="00136077"/>
    <w:rsid w:val="001365BE"/>
    <w:rsid w:val="00137F9E"/>
    <w:rsid w:val="00140FDD"/>
    <w:rsid w:val="001426E6"/>
    <w:rsid w:val="00143171"/>
    <w:rsid w:val="0014330E"/>
    <w:rsid w:val="001433C1"/>
    <w:rsid w:val="00145176"/>
    <w:rsid w:val="00145E41"/>
    <w:rsid w:val="00150D56"/>
    <w:rsid w:val="001519A7"/>
    <w:rsid w:val="0015251A"/>
    <w:rsid w:val="001534E3"/>
    <w:rsid w:val="00153864"/>
    <w:rsid w:val="00154998"/>
    <w:rsid w:val="00156E33"/>
    <w:rsid w:val="001648B9"/>
    <w:rsid w:val="00164A15"/>
    <w:rsid w:val="00167586"/>
    <w:rsid w:val="001703A9"/>
    <w:rsid w:val="00172426"/>
    <w:rsid w:val="00173BCC"/>
    <w:rsid w:val="001754B3"/>
    <w:rsid w:val="0017689D"/>
    <w:rsid w:val="00176933"/>
    <w:rsid w:val="0017747E"/>
    <w:rsid w:val="001775D2"/>
    <w:rsid w:val="00180434"/>
    <w:rsid w:val="001825EF"/>
    <w:rsid w:val="00183E2C"/>
    <w:rsid w:val="00184785"/>
    <w:rsid w:val="00187077"/>
    <w:rsid w:val="00190C6E"/>
    <w:rsid w:val="0019389C"/>
    <w:rsid w:val="001939FC"/>
    <w:rsid w:val="00196AA0"/>
    <w:rsid w:val="001974B2"/>
    <w:rsid w:val="001A4E2C"/>
    <w:rsid w:val="001A5890"/>
    <w:rsid w:val="001A688E"/>
    <w:rsid w:val="001A7AF5"/>
    <w:rsid w:val="001B1D59"/>
    <w:rsid w:val="001B272B"/>
    <w:rsid w:val="001B3075"/>
    <w:rsid w:val="001B4253"/>
    <w:rsid w:val="001B5440"/>
    <w:rsid w:val="001C0163"/>
    <w:rsid w:val="001C05D6"/>
    <w:rsid w:val="001C0F30"/>
    <w:rsid w:val="001C1DF2"/>
    <w:rsid w:val="001C2702"/>
    <w:rsid w:val="001C4818"/>
    <w:rsid w:val="001C494C"/>
    <w:rsid w:val="001C5219"/>
    <w:rsid w:val="001C5E7B"/>
    <w:rsid w:val="001C7C86"/>
    <w:rsid w:val="001D01DC"/>
    <w:rsid w:val="001D229D"/>
    <w:rsid w:val="001D3846"/>
    <w:rsid w:val="001D44C8"/>
    <w:rsid w:val="001D4DE1"/>
    <w:rsid w:val="001D5919"/>
    <w:rsid w:val="001D5A01"/>
    <w:rsid w:val="001D6287"/>
    <w:rsid w:val="001D7C4D"/>
    <w:rsid w:val="001D7F61"/>
    <w:rsid w:val="001E0713"/>
    <w:rsid w:val="001E0C3F"/>
    <w:rsid w:val="001E2D71"/>
    <w:rsid w:val="001E4A19"/>
    <w:rsid w:val="001E680A"/>
    <w:rsid w:val="001E6BBB"/>
    <w:rsid w:val="001E7DAB"/>
    <w:rsid w:val="001F072B"/>
    <w:rsid w:val="001F17AC"/>
    <w:rsid w:val="001F21DF"/>
    <w:rsid w:val="001F22D5"/>
    <w:rsid w:val="001F35B0"/>
    <w:rsid w:val="001F387B"/>
    <w:rsid w:val="001F3EE8"/>
    <w:rsid w:val="001F62A1"/>
    <w:rsid w:val="001F6DFD"/>
    <w:rsid w:val="002004BC"/>
    <w:rsid w:val="00200920"/>
    <w:rsid w:val="00201CF9"/>
    <w:rsid w:val="00205426"/>
    <w:rsid w:val="00206AB0"/>
    <w:rsid w:val="00207BB9"/>
    <w:rsid w:val="002107CD"/>
    <w:rsid w:val="00211CEA"/>
    <w:rsid w:val="00212073"/>
    <w:rsid w:val="0021212C"/>
    <w:rsid w:val="002125A7"/>
    <w:rsid w:val="002140EE"/>
    <w:rsid w:val="002144A2"/>
    <w:rsid w:val="0021499F"/>
    <w:rsid w:val="00215EB0"/>
    <w:rsid w:val="00216B4E"/>
    <w:rsid w:val="002223E5"/>
    <w:rsid w:val="00222A72"/>
    <w:rsid w:val="00222BD5"/>
    <w:rsid w:val="00224440"/>
    <w:rsid w:val="0022545E"/>
    <w:rsid w:val="002255F2"/>
    <w:rsid w:val="002276F9"/>
    <w:rsid w:val="002311B6"/>
    <w:rsid w:val="00231715"/>
    <w:rsid w:val="002320DF"/>
    <w:rsid w:val="00233564"/>
    <w:rsid w:val="00235278"/>
    <w:rsid w:val="002352DF"/>
    <w:rsid w:val="00236B92"/>
    <w:rsid w:val="00237AC5"/>
    <w:rsid w:val="00240004"/>
    <w:rsid w:val="00243FC7"/>
    <w:rsid w:val="002443D8"/>
    <w:rsid w:val="002456A8"/>
    <w:rsid w:val="00246D88"/>
    <w:rsid w:val="002478DC"/>
    <w:rsid w:val="002508EE"/>
    <w:rsid w:val="0025316A"/>
    <w:rsid w:val="002534A8"/>
    <w:rsid w:val="0025371F"/>
    <w:rsid w:val="00253B54"/>
    <w:rsid w:val="00253C58"/>
    <w:rsid w:val="002547DD"/>
    <w:rsid w:val="00254F5B"/>
    <w:rsid w:val="0025599C"/>
    <w:rsid w:val="002562FE"/>
    <w:rsid w:val="00256DFC"/>
    <w:rsid w:val="0025780B"/>
    <w:rsid w:val="00260B77"/>
    <w:rsid w:val="00262C29"/>
    <w:rsid w:val="0026429B"/>
    <w:rsid w:val="002647EB"/>
    <w:rsid w:val="00264838"/>
    <w:rsid w:val="00264923"/>
    <w:rsid w:val="00264D04"/>
    <w:rsid w:val="00266F51"/>
    <w:rsid w:val="002734F3"/>
    <w:rsid w:val="00273C05"/>
    <w:rsid w:val="00273D7B"/>
    <w:rsid w:val="002744B7"/>
    <w:rsid w:val="002761C7"/>
    <w:rsid w:val="002763D1"/>
    <w:rsid w:val="002768DC"/>
    <w:rsid w:val="00277767"/>
    <w:rsid w:val="00277BB9"/>
    <w:rsid w:val="00281207"/>
    <w:rsid w:val="0028439E"/>
    <w:rsid w:val="00285261"/>
    <w:rsid w:val="0028610F"/>
    <w:rsid w:val="002903EA"/>
    <w:rsid w:val="00290700"/>
    <w:rsid w:val="00294306"/>
    <w:rsid w:val="00294A11"/>
    <w:rsid w:val="00294EBF"/>
    <w:rsid w:val="0029716D"/>
    <w:rsid w:val="00297822"/>
    <w:rsid w:val="002A03B2"/>
    <w:rsid w:val="002A1263"/>
    <w:rsid w:val="002A2BDF"/>
    <w:rsid w:val="002A3F9F"/>
    <w:rsid w:val="002A59FA"/>
    <w:rsid w:val="002B2161"/>
    <w:rsid w:val="002B64BA"/>
    <w:rsid w:val="002B71BE"/>
    <w:rsid w:val="002C0781"/>
    <w:rsid w:val="002C1365"/>
    <w:rsid w:val="002C1728"/>
    <w:rsid w:val="002D070A"/>
    <w:rsid w:val="002D4A32"/>
    <w:rsid w:val="002D4A33"/>
    <w:rsid w:val="002D58A5"/>
    <w:rsid w:val="002D6D0A"/>
    <w:rsid w:val="002D73C0"/>
    <w:rsid w:val="002E4D1A"/>
    <w:rsid w:val="002E5DFB"/>
    <w:rsid w:val="002E63DF"/>
    <w:rsid w:val="002E6DA0"/>
    <w:rsid w:val="002E78E0"/>
    <w:rsid w:val="002F0E95"/>
    <w:rsid w:val="002F1915"/>
    <w:rsid w:val="002F21CB"/>
    <w:rsid w:val="002F5EAC"/>
    <w:rsid w:val="002F6E2E"/>
    <w:rsid w:val="00300041"/>
    <w:rsid w:val="00300AA8"/>
    <w:rsid w:val="00303B58"/>
    <w:rsid w:val="003040B2"/>
    <w:rsid w:val="00304753"/>
    <w:rsid w:val="00305A2C"/>
    <w:rsid w:val="00306247"/>
    <w:rsid w:val="00307462"/>
    <w:rsid w:val="003079F3"/>
    <w:rsid w:val="00307B3C"/>
    <w:rsid w:val="00310477"/>
    <w:rsid w:val="00310D66"/>
    <w:rsid w:val="00311F6F"/>
    <w:rsid w:val="00312666"/>
    <w:rsid w:val="00312EB0"/>
    <w:rsid w:val="00314263"/>
    <w:rsid w:val="00315B7D"/>
    <w:rsid w:val="00316942"/>
    <w:rsid w:val="00320DEB"/>
    <w:rsid w:val="003212BB"/>
    <w:rsid w:val="00322E5E"/>
    <w:rsid w:val="0032557A"/>
    <w:rsid w:val="0032564B"/>
    <w:rsid w:val="00325E83"/>
    <w:rsid w:val="003270D1"/>
    <w:rsid w:val="00331A0B"/>
    <w:rsid w:val="00331DBC"/>
    <w:rsid w:val="00335C1E"/>
    <w:rsid w:val="003364F2"/>
    <w:rsid w:val="0033668C"/>
    <w:rsid w:val="00342E5F"/>
    <w:rsid w:val="003431A1"/>
    <w:rsid w:val="003444A9"/>
    <w:rsid w:val="00345DE5"/>
    <w:rsid w:val="003528F3"/>
    <w:rsid w:val="00352E64"/>
    <w:rsid w:val="00353DF4"/>
    <w:rsid w:val="00356173"/>
    <w:rsid w:val="00356995"/>
    <w:rsid w:val="003575AB"/>
    <w:rsid w:val="0035765E"/>
    <w:rsid w:val="0035790C"/>
    <w:rsid w:val="00360197"/>
    <w:rsid w:val="00361B2A"/>
    <w:rsid w:val="00363582"/>
    <w:rsid w:val="0036430B"/>
    <w:rsid w:val="00366165"/>
    <w:rsid w:val="003704C5"/>
    <w:rsid w:val="00370DBB"/>
    <w:rsid w:val="00373F04"/>
    <w:rsid w:val="0037409A"/>
    <w:rsid w:val="0037458D"/>
    <w:rsid w:val="0037764D"/>
    <w:rsid w:val="00380A02"/>
    <w:rsid w:val="00380DFA"/>
    <w:rsid w:val="00382397"/>
    <w:rsid w:val="00382A1D"/>
    <w:rsid w:val="0038512C"/>
    <w:rsid w:val="003859F5"/>
    <w:rsid w:val="0038683F"/>
    <w:rsid w:val="0038787F"/>
    <w:rsid w:val="00390E3A"/>
    <w:rsid w:val="00391B27"/>
    <w:rsid w:val="0039415A"/>
    <w:rsid w:val="003952D2"/>
    <w:rsid w:val="00397207"/>
    <w:rsid w:val="0039737B"/>
    <w:rsid w:val="00397C00"/>
    <w:rsid w:val="003A12DB"/>
    <w:rsid w:val="003A13C0"/>
    <w:rsid w:val="003A1995"/>
    <w:rsid w:val="003A1E34"/>
    <w:rsid w:val="003A31AF"/>
    <w:rsid w:val="003A31F8"/>
    <w:rsid w:val="003A464F"/>
    <w:rsid w:val="003A6159"/>
    <w:rsid w:val="003A63A7"/>
    <w:rsid w:val="003A6D9E"/>
    <w:rsid w:val="003A7C41"/>
    <w:rsid w:val="003A7E5E"/>
    <w:rsid w:val="003B0EC2"/>
    <w:rsid w:val="003B1FB5"/>
    <w:rsid w:val="003B3057"/>
    <w:rsid w:val="003B3947"/>
    <w:rsid w:val="003B3CAC"/>
    <w:rsid w:val="003B4E96"/>
    <w:rsid w:val="003B4F0B"/>
    <w:rsid w:val="003B553E"/>
    <w:rsid w:val="003B5C93"/>
    <w:rsid w:val="003B69AD"/>
    <w:rsid w:val="003B6F59"/>
    <w:rsid w:val="003B7921"/>
    <w:rsid w:val="003C3B80"/>
    <w:rsid w:val="003C4945"/>
    <w:rsid w:val="003C4AA8"/>
    <w:rsid w:val="003C5269"/>
    <w:rsid w:val="003C52E1"/>
    <w:rsid w:val="003D00E7"/>
    <w:rsid w:val="003D1EDE"/>
    <w:rsid w:val="003D2CD2"/>
    <w:rsid w:val="003D4388"/>
    <w:rsid w:val="003D484A"/>
    <w:rsid w:val="003D5651"/>
    <w:rsid w:val="003D5E47"/>
    <w:rsid w:val="003D6228"/>
    <w:rsid w:val="003D633A"/>
    <w:rsid w:val="003D7346"/>
    <w:rsid w:val="003D7422"/>
    <w:rsid w:val="003E0A0A"/>
    <w:rsid w:val="003E2EE1"/>
    <w:rsid w:val="003E319F"/>
    <w:rsid w:val="003E4546"/>
    <w:rsid w:val="003E5040"/>
    <w:rsid w:val="003E6419"/>
    <w:rsid w:val="003E6C9F"/>
    <w:rsid w:val="003F15B1"/>
    <w:rsid w:val="003F22D2"/>
    <w:rsid w:val="003F3FFF"/>
    <w:rsid w:val="003F6C49"/>
    <w:rsid w:val="003F74D0"/>
    <w:rsid w:val="003F7FFB"/>
    <w:rsid w:val="00400E2A"/>
    <w:rsid w:val="00403D8B"/>
    <w:rsid w:val="0040422E"/>
    <w:rsid w:val="00406139"/>
    <w:rsid w:val="00415FDA"/>
    <w:rsid w:val="004167BE"/>
    <w:rsid w:val="00420B12"/>
    <w:rsid w:val="0042152F"/>
    <w:rsid w:val="004219A2"/>
    <w:rsid w:val="00422F37"/>
    <w:rsid w:val="00424E18"/>
    <w:rsid w:val="004262DC"/>
    <w:rsid w:val="004313AD"/>
    <w:rsid w:val="00436868"/>
    <w:rsid w:val="00436C7B"/>
    <w:rsid w:val="00436F96"/>
    <w:rsid w:val="00437EB7"/>
    <w:rsid w:val="0044061D"/>
    <w:rsid w:val="004412FC"/>
    <w:rsid w:val="0044405D"/>
    <w:rsid w:val="00444245"/>
    <w:rsid w:val="00445050"/>
    <w:rsid w:val="004450AB"/>
    <w:rsid w:val="00445F09"/>
    <w:rsid w:val="00446904"/>
    <w:rsid w:val="0044706D"/>
    <w:rsid w:val="004471F8"/>
    <w:rsid w:val="00447866"/>
    <w:rsid w:val="004508F0"/>
    <w:rsid w:val="0045182C"/>
    <w:rsid w:val="00452110"/>
    <w:rsid w:val="004522F7"/>
    <w:rsid w:val="00453538"/>
    <w:rsid w:val="00455A5A"/>
    <w:rsid w:val="00457533"/>
    <w:rsid w:val="00457B32"/>
    <w:rsid w:val="00457CE4"/>
    <w:rsid w:val="0046209A"/>
    <w:rsid w:val="004621B6"/>
    <w:rsid w:val="00462672"/>
    <w:rsid w:val="00462D03"/>
    <w:rsid w:val="00464720"/>
    <w:rsid w:val="00466B14"/>
    <w:rsid w:val="0047083C"/>
    <w:rsid w:val="00472DA5"/>
    <w:rsid w:val="0048132E"/>
    <w:rsid w:val="00481EFB"/>
    <w:rsid w:val="00483929"/>
    <w:rsid w:val="00485F44"/>
    <w:rsid w:val="00486067"/>
    <w:rsid w:val="00486A83"/>
    <w:rsid w:val="004906A4"/>
    <w:rsid w:val="004912A6"/>
    <w:rsid w:val="004920B7"/>
    <w:rsid w:val="004925D4"/>
    <w:rsid w:val="00493E8D"/>
    <w:rsid w:val="00495B3F"/>
    <w:rsid w:val="004963C0"/>
    <w:rsid w:val="004969F3"/>
    <w:rsid w:val="004A00D4"/>
    <w:rsid w:val="004A0244"/>
    <w:rsid w:val="004A1A97"/>
    <w:rsid w:val="004A3947"/>
    <w:rsid w:val="004A41EA"/>
    <w:rsid w:val="004A7B90"/>
    <w:rsid w:val="004B13B7"/>
    <w:rsid w:val="004B1F82"/>
    <w:rsid w:val="004B3F09"/>
    <w:rsid w:val="004B5A53"/>
    <w:rsid w:val="004B5B06"/>
    <w:rsid w:val="004B66E7"/>
    <w:rsid w:val="004B7D0C"/>
    <w:rsid w:val="004B7EB1"/>
    <w:rsid w:val="004C15F1"/>
    <w:rsid w:val="004C1F2C"/>
    <w:rsid w:val="004C303D"/>
    <w:rsid w:val="004C309E"/>
    <w:rsid w:val="004C328E"/>
    <w:rsid w:val="004C356F"/>
    <w:rsid w:val="004C5D60"/>
    <w:rsid w:val="004C5F21"/>
    <w:rsid w:val="004C6645"/>
    <w:rsid w:val="004C78CB"/>
    <w:rsid w:val="004C7AEE"/>
    <w:rsid w:val="004D090A"/>
    <w:rsid w:val="004D1ACA"/>
    <w:rsid w:val="004D1FB2"/>
    <w:rsid w:val="004D3AB0"/>
    <w:rsid w:val="004D4318"/>
    <w:rsid w:val="004D4DA4"/>
    <w:rsid w:val="004D5B07"/>
    <w:rsid w:val="004D5C37"/>
    <w:rsid w:val="004E207E"/>
    <w:rsid w:val="004E385E"/>
    <w:rsid w:val="004E4D6D"/>
    <w:rsid w:val="004E641B"/>
    <w:rsid w:val="004E7B32"/>
    <w:rsid w:val="004F236C"/>
    <w:rsid w:val="004F513E"/>
    <w:rsid w:val="004F6011"/>
    <w:rsid w:val="004F6124"/>
    <w:rsid w:val="004F626F"/>
    <w:rsid w:val="0050113C"/>
    <w:rsid w:val="005035AA"/>
    <w:rsid w:val="00503D94"/>
    <w:rsid w:val="005057E7"/>
    <w:rsid w:val="00505E23"/>
    <w:rsid w:val="005067D1"/>
    <w:rsid w:val="00507F59"/>
    <w:rsid w:val="00510198"/>
    <w:rsid w:val="00512CF2"/>
    <w:rsid w:val="0051342F"/>
    <w:rsid w:val="005136D2"/>
    <w:rsid w:val="00513D80"/>
    <w:rsid w:val="005154F3"/>
    <w:rsid w:val="00517A74"/>
    <w:rsid w:val="00517E4D"/>
    <w:rsid w:val="005204E7"/>
    <w:rsid w:val="00520D40"/>
    <w:rsid w:val="005211AA"/>
    <w:rsid w:val="005259C3"/>
    <w:rsid w:val="00526E6D"/>
    <w:rsid w:val="0053137D"/>
    <w:rsid w:val="0053424E"/>
    <w:rsid w:val="00536EDE"/>
    <w:rsid w:val="00540A07"/>
    <w:rsid w:val="00540A96"/>
    <w:rsid w:val="00542035"/>
    <w:rsid w:val="00542E97"/>
    <w:rsid w:val="00543F02"/>
    <w:rsid w:val="00544755"/>
    <w:rsid w:val="005472CC"/>
    <w:rsid w:val="00547650"/>
    <w:rsid w:val="005476AF"/>
    <w:rsid w:val="00547E4A"/>
    <w:rsid w:val="0055140C"/>
    <w:rsid w:val="00552E85"/>
    <w:rsid w:val="005554DC"/>
    <w:rsid w:val="00557A4B"/>
    <w:rsid w:val="00557BB4"/>
    <w:rsid w:val="005605E2"/>
    <w:rsid w:val="00561051"/>
    <w:rsid w:val="00561445"/>
    <w:rsid w:val="005634D8"/>
    <w:rsid w:val="00563CF3"/>
    <w:rsid w:val="0057020B"/>
    <w:rsid w:val="00571AC0"/>
    <w:rsid w:val="0057327C"/>
    <w:rsid w:val="00573C36"/>
    <w:rsid w:val="005741E1"/>
    <w:rsid w:val="005744A6"/>
    <w:rsid w:val="005754B7"/>
    <w:rsid w:val="005754CC"/>
    <w:rsid w:val="00576AA6"/>
    <w:rsid w:val="00576D46"/>
    <w:rsid w:val="00581AA2"/>
    <w:rsid w:val="005834A5"/>
    <w:rsid w:val="00590D35"/>
    <w:rsid w:val="0059133D"/>
    <w:rsid w:val="00593396"/>
    <w:rsid w:val="00593418"/>
    <w:rsid w:val="00594125"/>
    <w:rsid w:val="005952AE"/>
    <w:rsid w:val="005A18D4"/>
    <w:rsid w:val="005A47A3"/>
    <w:rsid w:val="005A5CB3"/>
    <w:rsid w:val="005A6309"/>
    <w:rsid w:val="005A658A"/>
    <w:rsid w:val="005B1C52"/>
    <w:rsid w:val="005B4003"/>
    <w:rsid w:val="005B4318"/>
    <w:rsid w:val="005B4EA9"/>
    <w:rsid w:val="005B5889"/>
    <w:rsid w:val="005B63B5"/>
    <w:rsid w:val="005B722A"/>
    <w:rsid w:val="005C13C0"/>
    <w:rsid w:val="005C20C8"/>
    <w:rsid w:val="005C3898"/>
    <w:rsid w:val="005C56DF"/>
    <w:rsid w:val="005C5D5B"/>
    <w:rsid w:val="005C6EE1"/>
    <w:rsid w:val="005D02E6"/>
    <w:rsid w:val="005D08E6"/>
    <w:rsid w:val="005D0C15"/>
    <w:rsid w:val="005D1E3B"/>
    <w:rsid w:val="005D5461"/>
    <w:rsid w:val="005D5F05"/>
    <w:rsid w:val="005D6568"/>
    <w:rsid w:val="005E0155"/>
    <w:rsid w:val="005E034D"/>
    <w:rsid w:val="005E1FB7"/>
    <w:rsid w:val="005E2346"/>
    <w:rsid w:val="005E286D"/>
    <w:rsid w:val="005E3D3E"/>
    <w:rsid w:val="005E7628"/>
    <w:rsid w:val="005F1267"/>
    <w:rsid w:val="005F1F96"/>
    <w:rsid w:val="005F3F1C"/>
    <w:rsid w:val="005F61B6"/>
    <w:rsid w:val="005F6CD7"/>
    <w:rsid w:val="005F71CE"/>
    <w:rsid w:val="005F786B"/>
    <w:rsid w:val="00600CD7"/>
    <w:rsid w:val="0060145E"/>
    <w:rsid w:val="00602866"/>
    <w:rsid w:val="006036E8"/>
    <w:rsid w:val="00605FAE"/>
    <w:rsid w:val="006063F1"/>
    <w:rsid w:val="00606ADC"/>
    <w:rsid w:val="00610E83"/>
    <w:rsid w:val="006117DC"/>
    <w:rsid w:val="00611D83"/>
    <w:rsid w:val="00612E3F"/>
    <w:rsid w:val="0061334A"/>
    <w:rsid w:val="00614F77"/>
    <w:rsid w:val="0061629B"/>
    <w:rsid w:val="0061732D"/>
    <w:rsid w:val="00622634"/>
    <w:rsid w:val="00622C4F"/>
    <w:rsid w:val="00623B93"/>
    <w:rsid w:val="00624C64"/>
    <w:rsid w:val="006258D3"/>
    <w:rsid w:val="00626A53"/>
    <w:rsid w:val="0062739D"/>
    <w:rsid w:val="006301A6"/>
    <w:rsid w:val="006308F8"/>
    <w:rsid w:val="00631706"/>
    <w:rsid w:val="006344CF"/>
    <w:rsid w:val="00634D81"/>
    <w:rsid w:val="00634E42"/>
    <w:rsid w:val="00635D40"/>
    <w:rsid w:val="00636BBF"/>
    <w:rsid w:val="00636FD9"/>
    <w:rsid w:val="006376A5"/>
    <w:rsid w:val="00637956"/>
    <w:rsid w:val="00640E25"/>
    <w:rsid w:val="00647A18"/>
    <w:rsid w:val="00647CDE"/>
    <w:rsid w:val="00650EC8"/>
    <w:rsid w:val="006511A0"/>
    <w:rsid w:val="00651ABF"/>
    <w:rsid w:val="00652067"/>
    <w:rsid w:val="00655931"/>
    <w:rsid w:val="00656344"/>
    <w:rsid w:val="00656A73"/>
    <w:rsid w:val="00656EE1"/>
    <w:rsid w:val="006571B5"/>
    <w:rsid w:val="00657EBD"/>
    <w:rsid w:val="00660BF8"/>
    <w:rsid w:val="00661200"/>
    <w:rsid w:val="00661D7C"/>
    <w:rsid w:val="00662319"/>
    <w:rsid w:val="006634A5"/>
    <w:rsid w:val="00663932"/>
    <w:rsid w:val="00666272"/>
    <w:rsid w:val="00666D5C"/>
    <w:rsid w:val="00666D62"/>
    <w:rsid w:val="00667EA5"/>
    <w:rsid w:val="00667EF9"/>
    <w:rsid w:val="00670F7B"/>
    <w:rsid w:val="0067265D"/>
    <w:rsid w:val="00672FD0"/>
    <w:rsid w:val="0067422A"/>
    <w:rsid w:val="0067612C"/>
    <w:rsid w:val="006762DC"/>
    <w:rsid w:val="00680873"/>
    <w:rsid w:val="006810A4"/>
    <w:rsid w:val="00681434"/>
    <w:rsid w:val="006819C8"/>
    <w:rsid w:val="00682887"/>
    <w:rsid w:val="00682CD3"/>
    <w:rsid w:val="006843E9"/>
    <w:rsid w:val="00684F22"/>
    <w:rsid w:val="00685D5F"/>
    <w:rsid w:val="00686A32"/>
    <w:rsid w:val="0068706C"/>
    <w:rsid w:val="00687B3A"/>
    <w:rsid w:val="00690324"/>
    <w:rsid w:val="0069045B"/>
    <w:rsid w:val="006924C2"/>
    <w:rsid w:val="006936F5"/>
    <w:rsid w:val="00693B39"/>
    <w:rsid w:val="006974A4"/>
    <w:rsid w:val="006A15FC"/>
    <w:rsid w:val="006A1F94"/>
    <w:rsid w:val="006A26D1"/>
    <w:rsid w:val="006A67B6"/>
    <w:rsid w:val="006B08C3"/>
    <w:rsid w:val="006B2306"/>
    <w:rsid w:val="006B61A1"/>
    <w:rsid w:val="006B7E4E"/>
    <w:rsid w:val="006C2255"/>
    <w:rsid w:val="006C3135"/>
    <w:rsid w:val="006C47F6"/>
    <w:rsid w:val="006C5098"/>
    <w:rsid w:val="006C6109"/>
    <w:rsid w:val="006C6C2D"/>
    <w:rsid w:val="006C6E85"/>
    <w:rsid w:val="006C72D7"/>
    <w:rsid w:val="006E0118"/>
    <w:rsid w:val="006E0198"/>
    <w:rsid w:val="006E182B"/>
    <w:rsid w:val="006E1E29"/>
    <w:rsid w:val="006E20FF"/>
    <w:rsid w:val="006E2A88"/>
    <w:rsid w:val="006E378A"/>
    <w:rsid w:val="006E37D6"/>
    <w:rsid w:val="006E45C3"/>
    <w:rsid w:val="006E4938"/>
    <w:rsid w:val="006E5120"/>
    <w:rsid w:val="006E6DC8"/>
    <w:rsid w:val="006E7706"/>
    <w:rsid w:val="006F0674"/>
    <w:rsid w:val="006F1D2A"/>
    <w:rsid w:val="006F1E09"/>
    <w:rsid w:val="006F3977"/>
    <w:rsid w:val="006F6BAA"/>
    <w:rsid w:val="0070474A"/>
    <w:rsid w:val="00710D7E"/>
    <w:rsid w:val="00711DD0"/>
    <w:rsid w:val="00711E3A"/>
    <w:rsid w:val="007121CE"/>
    <w:rsid w:val="007125FF"/>
    <w:rsid w:val="007135E6"/>
    <w:rsid w:val="007136D7"/>
    <w:rsid w:val="007138D4"/>
    <w:rsid w:val="00714F29"/>
    <w:rsid w:val="0071509B"/>
    <w:rsid w:val="00715529"/>
    <w:rsid w:val="00715D55"/>
    <w:rsid w:val="00716498"/>
    <w:rsid w:val="00720238"/>
    <w:rsid w:val="00720C6B"/>
    <w:rsid w:val="00720D19"/>
    <w:rsid w:val="00725E12"/>
    <w:rsid w:val="00727CB3"/>
    <w:rsid w:val="00730A65"/>
    <w:rsid w:val="0073169E"/>
    <w:rsid w:val="007316E9"/>
    <w:rsid w:val="00733016"/>
    <w:rsid w:val="00735B40"/>
    <w:rsid w:val="00735F96"/>
    <w:rsid w:val="007364C2"/>
    <w:rsid w:val="00736A1F"/>
    <w:rsid w:val="00737B1B"/>
    <w:rsid w:val="00740E7B"/>
    <w:rsid w:val="00741ECD"/>
    <w:rsid w:val="00743698"/>
    <w:rsid w:val="0074420E"/>
    <w:rsid w:val="00747191"/>
    <w:rsid w:val="00747782"/>
    <w:rsid w:val="00752BE3"/>
    <w:rsid w:val="00752FC0"/>
    <w:rsid w:val="007533D0"/>
    <w:rsid w:val="00753EB3"/>
    <w:rsid w:val="00754919"/>
    <w:rsid w:val="00754B98"/>
    <w:rsid w:val="00754B9F"/>
    <w:rsid w:val="007552B5"/>
    <w:rsid w:val="0075641E"/>
    <w:rsid w:val="007566EF"/>
    <w:rsid w:val="00760B80"/>
    <w:rsid w:val="007622A5"/>
    <w:rsid w:val="00763C4D"/>
    <w:rsid w:val="007643DB"/>
    <w:rsid w:val="00764F66"/>
    <w:rsid w:val="00766100"/>
    <w:rsid w:val="00770BBA"/>
    <w:rsid w:val="00771CCC"/>
    <w:rsid w:val="00772453"/>
    <w:rsid w:val="007733A0"/>
    <w:rsid w:val="00776354"/>
    <w:rsid w:val="00777B6F"/>
    <w:rsid w:val="007805D4"/>
    <w:rsid w:val="00781E08"/>
    <w:rsid w:val="00783458"/>
    <w:rsid w:val="007845A9"/>
    <w:rsid w:val="00787ECB"/>
    <w:rsid w:val="0079171D"/>
    <w:rsid w:val="00792417"/>
    <w:rsid w:val="00797413"/>
    <w:rsid w:val="007A419E"/>
    <w:rsid w:val="007A5D4F"/>
    <w:rsid w:val="007A5D75"/>
    <w:rsid w:val="007A6086"/>
    <w:rsid w:val="007A79E2"/>
    <w:rsid w:val="007B2AE7"/>
    <w:rsid w:val="007B3E0E"/>
    <w:rsid w:val="007B760B"/>
    <w:rsid w:val="007B7FF8"/>
    <w:rsid w:val="007C1048"/>
    <w:rsid w:val="007C12FA"/>
    <w:rsid w:val="007C3BDC"/>
    <w:rsid w:val="007C45A8"/>
    <w:rsid w:val="007C6410"/>
    <w:rsid w:val="007C673B"/>
    <w:rsid w:val="007C697B"/>
    <w:rsid w:val="007D273A"/>
    <w:rsid w:val="007D2B3C"/>
    <w:rsid w:val="007D34B9"/>
    <w:rsid w:val="007D3EFB"/>
    <w:rsid w:val="007D6433"/>
    <w:rsid w:val="007E0CF7"/>
    <w:rsid w:val="007E2040"/>
    <w:rsid w:val="007E3CE6"/>
    <w:rsid w:val="007F10A0"/>
    <w:rsid w:val="007F18B9"/>
    <w:rsid w:val="007F1AF3"/>
    <w:rsid w:val="007F2A42"/>
    <w:rsid w:val="007F2A5C"/>
    <w:rsid w:val="007F3016"/>
    <w:rsid w:val="007F4C74"/>
    <w:rsid w:val="007F54A5"/>
    <w:rsid w:val="007F5BDA"/>
    <w:rsid w:val="007F6C7A"/>
    <w:rsid w:val="007F724D"/>
    <w:rsid w:val="008015D0"/>
    <w:rsid w:val="00805E53"/>
    <w:rsid w:val="00810310"/>
    <w:rsid w:val="00811909"/>
    <w:rsid w:val="00813707"/>
    <w:rsid w:val="00813CAB"/>
    <w:rsid w:val="00815B20"/>
    <w:rsid w:val="008168D8"/>
    <w:rsid w:val="0081733C"/>
    <w:rsid w:val="00822FEC"/>
    <w:rsid w:val="00823DC2"/>
    <w:rsid w:val="00826F04"/>
    <w:rsid w:val="008270F8"/>
    <w:rsid w:val="008322A1"/>
    <w:rsid w:val="008356DD"/>
    <w:rsid w:val="008360F1"/>
    <w:rsid w:val="00836159"/>
    <w:rsid w:val="008363C7"/>
    <w:rsid w:val="0083763A"/>
    <w:rsid w:val="00840ACF"/>
    <w:rsid w:val="0084174E"/>
    <w:rsid w:val="00842235"/>
    <w:rsid w:val="00843F53"/>
    <w:rsid w:val="008449E1"/>
    <w:rsid w:val="00844E99"/>
    <w:rsid w:val="00850CA3"/>
    <w:rsid w:val="00850D9B"/>
    <w:rsid w:val="008518E3"/>
    <w:rsid w:val="0085232E"/>
    <w:rsid w:val="00852B53"/>
    <w:rsid w:val="00853FD9"/>
    <w:rsid w:val="00854F17"/>
    <w:rsid w:val="008560C6"/>
    <w:rsid w:val="0085629C"/>
    <w:rsid w:val="00857045"/>
    <w:rsid w:val="008576A0"/>
    <w:rsid w:val="00860624"/>
    <w:rsid w:val="0086269C"/>
    <w:rsid w:val="00863B86"/>
    <w:rsid w:val="00863B87"/>
    <w:rsid w:val="00863E59"/>
    <w:rsid w:val="008646A3"/>
    <w:rsid w:val="00864878"/>
    <w:rsid w:val="00865190"/>
    <w:rsid w:val="0086578A"/>
    <w:rsid w:val="0086723F"/>
    <w:rsid w:val="00867C51"/>
    <w:rsid w:val="00870E32"/>
    <w:rsid w:val="00871CA0"/>
    <w:rsid w:val="0087216E"/>
    <w:rsid w:val="00872923"/>
    <w:rsid w:val="00875064"/>
    <w:rsid w:val="00877046"/>
    <w:rsid w:val="008779F3"/>
    <w:rsid w:val="0088028B"/>
    <w:rsid w:val="008808D0"/>
    <w:rsid w:val="00881A9E"/>
    <w:rsid w:val="0088241D"/>
    <w:rsid w:val="00882D91"/>
    <w:rsid w:val="00882EA4"/>
    <w:rsid w:val="00883439"/>
    <w:rsid w:val="00885CFA"/>
    <w:rsid w:val="00887135"/>
    <w:rsid w:val="00887D51"/>
    <w:rsid w:val="00890548"/>
    <w:rsid w:val="00890870"/>
    <w:rsid w:val="00891117"/>
    <w:rsid w:val="00892637"/>
    <w:rsid w:val="008957A8"/>
    <w:rsid w:val="00895877"/>
    <w:rsid w:val="00896D16"/>
    <w:rsid w:val="008977F7"/>
    <w:rsid w:val="008A03F4"/>
    <w:rsid w:val="008A0A92"/>
    <w:rsid w:val="008A0AF1"/>
    <w:rsid w:val="008A1DFF"/>
    <w:rsid w:val="008A3519"/>
    <w:rsid w:val="008A4892"/>
    <w:rsid w:val="008A663F"/>
    <w:rsid w:val="008B0CB3"/>
    <w:rsid w:val="008B1317"/>
    <w:rsid w:val="008B2B5E"/>
    <w:rsid w:val="008B3116"/>
    <w:rsid w:val="008B5B4B"/>
    <w:rsid w:val="008B60DB"/>
    <w:rsid w:val="008B704C"/>
    <w:rsid w:val="008B70B8"/>
    <w:rsid w:val="008B71BA"/>
    <w:rsid w:val="008B7BB4"/>
    <w:rsid w:val="008C1B56"/>
    <w:rsid w:val="008C2C04"/>
    <w:rsid w:val="008C3BD0"/>
    <w:rsid w:val="008C5C2D"/>
    <w:rsid w:val="008C5DCE"/>
    <w:rsid w:val="008C5E20"/>
    <w:rsid w:val="008C65AF"/>
    <w:rsid w:val="008C6899"/>
    <w:rsid w:val="008D057D"/>
    <w:rsid w:val="008D133C"/>
    <w:rsid w:val="008D1B68"/>
    <w:rsid w:val="008D29E9"/>
    <w:rsid w:val="008D6674"/>
    <w:rsid w:val="008E05D9"/>
    <w:rsid w:val="008E0675"/>
    <w:rsid w:val="008E0B12"/>
    <w:rsid w:val="008E2897"/>
    <w:rsid w:val="008E3156"/>
    <w:rsid w:val="008E459E"/>
    <w:rsid w:val="008E6150"/>
    <w:rsid w:val="008F3172"/>
    <w:rsid w:val="008F456F"/>
    <w:rsid w:val="008F49AA"/>
    <w:rsid w:val="008F4A09"/>
    <w:rsid w:val="008F5A70"/>
    <w:rsid w:val="009017F4"/>
    <w:rsid w:val="00901DA5"/>
    <w:rsid w:val="0090278D"/>
    <w:rsid w:val="00902FD3"/>
    <w:rsid w:val="009038C3"/>
    <w:rsid w:val="00905A37"/>
    <w:rsid w:val="00910835"/>
    <w:rsid w:val="00911287"/>
    <w:rsid w:val="009118E5"/>
    <w:rsid w:val="0091375E"/>
    <w:rsid w:val="009162A3"/>
    <w:rsid w:val="00916719"/>
    <w:rsid w:val="009170A0"/>
    <w:rsid w:val="009174C7"/>
    <w:rsid w:val="00923255"/>
    <w:rsid w:val="00923467"/>
    <w:rsid w:val="00925944"/>
    <w:rsid w:val="009266C5"/>
    <w:rsid w:val="00930ACF"/>
    <w:rsid w:val="00931FCC"/>
    <w:rsid w:val="0093250E"/>
    <w:rsid w:val="00933997"/>
    <w:rsid w:val="00933A97"/>
    <w:rsid w:val="00934A01"/>
    <w:rsid w:val="00934A69"/>
    <w:rsid w:val="00937932"/>
    <w:rsid w:val="00942A7E"/>
    <w:rsid w:val="00942AE4"/>
    <w:rsid w:val="0094317D"/>
    <w:rsid w:val="00944A5F"/>
    <w:rsid w:val="00946B6D"/>
    <w:rsid w:val="00947A1B"/>
    <w:rsid w:val="00950E32"/>
    <w:rsid w:val="00951DD4"/>
    <w:rsid w:val="009523C1"/>
    <w:rsid w:val="00952A15"/>
    <w:rsid w:val="00953D73"/>
    <w:rsid w:val="009542A2"/>
    <w:rsid w:val="00954E7E"/>
    <w:rsid w:val="0095531D"/>
    <w:rsid w:val="009567A3"/>
    <w:rsid w:val="00956BDE"/>
    <w:rsid w:val="009577BC"/>
    <w:rsid w:val="009579FF"/>
    <w:rsid w:val="00960FFB"/>
    <w:rsid w:val="00961521"/>
    <w:rsid w:val="00961BD5"/>
    <w:rsid w:val="0096244C"/>
    <w:rsid w:val="00964FE0"/>
    <w:rsid w:val="00966B2E"/>
    <w:rsid w:val="00971FC5"/>
    <w:rsid w:val="009749F8"/>
    <w:rsid w:val="00975732"/>
    <w:rsid w:val="00976723"/>
    <w:rsid w:val="00977A82"/>
    <w:rsid w:val="00980539"/>
    <w:rsid w:val="009850D3"/>
    <w:rsid w:val="009852EE"/>
    <w:rsid w:val="0098542B"/>
    <w:rsid w:val="00987A83"/>
    <w:rsid w:val="00987E3D"/>
    <w:rsid w:val="009913A2"/>
    <w:rsid w:val="009925F1"/>
    <w:rsid w:val="00994029"/>
    <w:rsid w:val="009954BC"/>
    <w:rsid w:val="009956A5"/>
    <w:rsid w:val="00996797"/>
    <w:rsid w:val="00996C12"/>
    <w:rsid w:val="009978CF"/>
    <w:rsid w:val="009978EA"/>
    <w:rsid w:val="009A0634"/>
    <w:rsid w:val="009A0CB8"/>
    <w:rsid w:val="009A1AEC"/>
    <w:rsid w:val="009A1C6E"/>
    <w:rsid w:val="009A2896"/>
    <w:rsid w:val="009A29D2"/>
    <w:rsid w:val="009A3BF5"/>
    <w:rsid w:val="009A3DE7"/>
    <w:rsid w:val="009A4D79"/>
    <w:rsid w:val="009A7610"/>
    <w:rsid w:val="009A7E44"/>
    <w:rsid w:val="009B108A"/>
    <w:rsid w:val="009B130A"/>
    <w:rsid w:val="009B1F8C"/>
    <w:rsid w:val="009B203E"/>
    <w:rsid w:val="009B2F08"/>
    <w:rsid w:val="009B5C0F"/>
    <w:rsid w:val="009B5DAC"/>
    <w:rsid w:val="009B6010"/>
    <w:rsid w:val="009B7D9B"/>
    <w:rsid w:val="009C0499"/>
    <w:rsid w:val="009C3963"/>
    <w:rsid w:val="009C3E35"/>
    <w:rsid w:val="009C7519"/>
    <w:rsid w:val="009C7A4A"/>
    <w:rsid w:val="009D0B1C"/>
    <w:rsid w:val="009D2E51"/>
    <w:rsid w:val="009E0922"/>
    <w:rsid w:val="009E2A75"/>
    <w:rsid w:val="009E3591"/>
    <w:rsid w:val="009E56E7"/>
    <w:rsid w:val="009E5F4D"/>
    <w:rsid w:val="009E6794"/>
    <w:rsid w:val="009E6B58"/>
    <w:rsid w:val="009F1B4F"/>
    <w:rsid w:val="009F38D7"/>
    <w:rsid w:val="009F534B"/>
    <w:rsid w:val="009F5394"/>
    <w:rsid w:val="00A00614"/>
    <w:rsid w:val="00A015D5"/>
    <w:rsid w:val="00A02200"/>
    <w:rsid w:val="00A02FBB"/>
    <w:rsid w:val="00A05085"/>
    <w:rsid w:val="00A06491"/>
    <w:rsid w:val="00A11035"/>
    <w:rsid w:val="00A122F0"/>
    <w:rsid w:val="00A1342E"/>
    <w:rsid w:val="00A15F4C"/>
    <w:rsid w:val="00A16D8C"/>
    <w:rsid w:val="00A17985"/>
    <w:rsid w:val="00A22598"/>
    <w:rsid w:val="00A22FBB"/>
    <w:rsid w:val="00A23003"/>
    <w:rsid w:val="00A24F91"/>
    <w:rsid w:val="00A276A5"/>
    <w:rsid w:val="00A30C2C"/>
    <w:rsid w:val="00A327C7"/>
    <w:rsid w:val="00A355D3"/>
    <w:rsid w:val="00A36395"/>
    <w:rsid w:val="00A3660E"/>
    <w:rsid w:val="00A42EC6"/>
    <w:rsid w:val="00A4611E"/>
    <w:rsid w:val="00A4627C"/>
    <w:rsid w:val="00A50CBC"/>
    <w:rsid w:val="00A50FF4"/>
    <w:rsid w:val="00A52AB8"/>
    <w:rsid w:val="00A53E91"/>
    <w:rsid w:val="00A54EF2"/>
    <w:rsid w:val="00A56651"/>
    <w:rsid w:val="00A573FD"/>
    <w:rsid w:val="00A57AE3"/>
    <w:rsid w:val="00A60958"/>
    <w:rsid w:val="00A60C6D"/>
    <w:rsid w:val="00A623E2"/>
    <w:rsid w:val="00A627DD"/>
    <w:rsid w:val="00A6516C"/>
    <w:rsid w:val="00A651BB"/>
    <w:rsid w:val="00A6531E"/>
    <w:rsid w:val="00A67E33"/>
    <w:rsid w:val="00A72BC3"/>
    <w:rsid w:val="00A76681"/>
    <w:rsid w:val="00A7734C"/>
    <w:rsid w:val="00A80277"/>
    <w:rsid w:val="00A81864"/>
    <w:rsid w:val="00A82B72"/>
    <w:rsid w:val="00A850F3"/>
    <w:rsid w:val="00A867B5"/>
    <w:rsid w:val="00A924E8"/>
    <w:rsid w:val="00A929B2"/>
    <w:rsid w:val="00A9457D"/>
    <w:rsid w:val="00A95440"/>
    <w:rsid w:val="00A967DB"/>
    <w:rsid w:val="00A968CB"/>
    <w:rsid w:val="00A96FF1"/>
    <w:rsid w:val="00A97A2D"/>
    <w:rsid w:val="00A97ADE"/>
    <w:rsid w:val="00AA24C3"/>
    <w:rsid w:val="00AA342F"/>
    <w:rsid w:val="00AA69A0"/>
    <w:rsid w:val="00AA7715"/>
    <w:rsid w:val="00AB0937"/>
    <w:rsid w:val="00AB24A5"/>
    <w:rsid w:val="00AB2A0D"/>
    <w:rsid w:val="00AB2AD9"/>
    <w:rsid w:val="00AB4BAF"/>
    <w:rsid w:val="00AB58BD"/>
    <w:rsid w:val="00AB6F7E"/>
    <w:rsid w:val="00AB7AC1"/>
    <w:rsid w:val="00AC0C6D"/>
    <w:rsid w:val="00AC1FE3"/>
    <w:rsid w:val="00AC35E7"/>
    <w:rsid w:val="00AC3DAC"/>
    <w:rsid w:val="00AC47E2"/>
    <w:rsid w:val="00AC4B64"/>
    <w:rsid w:val="00AC4D2A"/>
    <w:rsid w:val="00AC5106"/>
    <w:rsid w:val="00AC70AA"/>
    <w:rsid w:val="00AC7C27"/>
    <w:rsid w:val="00AD149C"/>
    <w:rsid w:val="00AD18F6"/>
    <w:rsid w:val="00AD1922"/>
    <w:rsid w:val="00AD1F52"/>
    <w:rsid w:val="00AD301E"/>
    <w:rsid w:val="00AD3C2E"/>
    <w:rsid w:val="00AD3DDB"/>
    <w:rsid w:val="00AD657D"/>
    <w:rsid w:val="00AD73C9"/>
    <w:rsid w:val="00AE0267"/>
    <w:rsid w:val="00AE34F4"/>
    <w:rsid w:val="00AE34F8"/>
    <w:rsid w:val="00AE3971"/>
    <w:rsid w:val="00AE5710"/>
    <w:rsid w:val="00AE5F6A"/>
    <w:rsid w:val="00AE6E36"/>
    <w:rsid w:val="00AF1B03"/>
    <w:rsid w:val="00AF271E"/>
    <w:rsid w:val="00AF3639"/>
    <w:rsid w:val="00AF548C"/>
    <w:rsid w:val="00AF7E41"/>
    <w:rsid w:val="00B00025"/>
    <w:rsid w:val="00B008AF"/>
    <w:rsid w:val="00B01ABE"/>
    <w:rsid w:val="00B01B44"/>
    <w:rsid w:val="00B01EC2"/>
    <w:rsid w:val="00B02D9E"/>
    <w:rsid w:val="00B0302D"/>
    <w:rsid w:val="00B049C5"/>
    <w:rsid w:val="00B06F72"/>
    <w:rsid w:val="00B078A4"/>
    <w:rsid w:val="00B13D6B"/>
    <w:rsid w:val="00B1482A"/>
    <w:rsid w:val="00B152A2"/>
    <w:rsid w:val="00B1585A"/>
    <w:rsid w:val="00B17113"/>
    <w:rsid w:val="00B20BAB"/>
    <w:rsid w:val="00B242CC"/>
    <w:rsid w:val="00B254AE"/>
    <w:rsid w:val="00B25AEC"/>
    <w:rsid w:val="00B262C5"/>
    <w:rsid w:val="00B31A4D"/>
    <w:rsid w:val="00B33862"/>
    <w:rsid w:val="00B35BBC"/>
    <w:rsid w:val="00B4087E"/>
    <w:rsid w:val="00B42215"/>
    <w:rsid w:val="00B42661"/>
    <w:rsid w:val="00B440EE"/>
    <w:rsid w:val="00B44B68"/>
    <w:rsid w:val="00B45566"/>
    <w:rsid w:val="00B51285"/>
    <w:rsid w:val="00B52F78"/>
    <w:rsid w:val="00B53B30"/>
    <w:rsid w:val="00B54F95"/>
    <w:rsid w:val="00B55C98"/>
    <w:rsid w:val="00B56A23"/>
    <w:rsid w:val="00B63409"/>
    <w:rsid w:val="00B652D0"/>
    <w:rsid w:val="00B65D42"/>
    <w:rsid w:val="00B66AB7"/>
    <w:rsid w:val="00B66F3A"/>
    <w:rsid w:val="00B67DC7"/>
    <w:rsid w:val="00B70C58"/>
    <w:rsid w:val="00B71849"/>
    <w:rsid w:val="00B73663"/>
    <w:rsid w:val="00B7375E"/>
    <w:rsid w:val="00B73BFC"/>
    <w:rsid w:val="00B74ED9"/>
    <w:rsid w:val="00B768DB"/>
    <w:rsid w:val="00B80A86"/>
    <w:rsid w:val="00B8144F"/>
    <w:rsid w:val="00B81BE2"/>
    <w:rsid w:val="00B82BF0"/>
    <w:rsid w:val="00B845A4"/>
    <w:rsid w:val="00B84A35"/>
    <w:rsid w:val="00B85CDB"/>
    <w:rsid w:val="00B8625D"/>
    <w:rsid w:val="00B903A1"/>
    <w:rsid w:val="00B905F5"/>
    <w:rsid w:val="00B92EEE"/>
    <w:rsid w:val="00B9346B"/>
    <w:rsid w:val="00B947FB"/>
    <w:rsid w:val="00B95B9D"/>
    <w:rsid w:val="00B96F87"/>
    <w:rsid w:val="00B9791C"/>
    <w:rsid w:val="00B97D46"/>
    <w:rsid w:val="00BA1263"/>
    <w:rsid w:val="00BA3443"/>
    <w:rsid w:val="00BA39CC"/>
    <w:rsid w:val="00BA3EC3"/>
    <w:rsid w:val="00BA735C"/>
    <w:rsid w:val="00BB0D47"/>
    <w:rsid w:val="00BB15B5"/>
    <w:rsid w:val="00BB4478"/>
    <w:rsid w:val="00BB4CF4"/>
    <w:rsid w:val="00BB5EFD"/>
    <w:rsid w:val="00BC4828"/>
    <w:rsid w:val="00BC49C9"/>
    <w:rsid w:val="00BC4EDF"/>
    <w:rsid w:val="00BC77D5"/>
    <w:rsid w:val="00BC7DC4"/>
    <w:rsid w:val="00BD1697"/>
    <w:rsid w:val="00BD236D"/>
    <w:rsid w:val="00BD267E"/>
    <w:rsid w:val="00BD2D4C"/>
    <w:rsid w:val="00BD302D"/>
    <w:rsid w:val="00BD3BC4"/>
    <w:rsid w:val="00BD3C73"/>
    <w:rsid w:val="00BD44A3"/>
    <w:rsid w:val="00BD4DDC"/>
    <w:rsid w:val="00BD5143"/>
    <w:rsid w:val="00BD695B"/>
    <w:rsid w:val="00BE4B4B"/>
    <w:rsid w:val="00BE515F"/>
    <w:rsid w:val="00BE526A"/>
    <w:rsid w:val="00BE5691"/>
    <w:rsid w:val="00BE56FF"/>
    <w:rsid w:val="00BE6BC1"/>
    <w:rsid w:val="00BE7735"/>
    <w:rsid w:val="00BF000F"/>
    <w:rsid w:val="00BF2C34"/>
    <w:rsid w:val="00BF2DE6"/>
    <w:rsid w:val="00BF5B0E"/>
    <w:rsid w:val="00BF6184"/>
    <w:rsid w:val="00BF6DDA"/>
    <w:rsid w:val="00BF7B2E"/>
    <w:rsid w:val="00BF7E5E"/>
    <w:rsid w:val="00C019C5"/>
    <w:rsid w:val="00C047DA"/>
    <w:rsid w:val="00C05208"/>
    <w:rsid w:val="00C057E6"/>
    <w:rsid w:val="00C05DE3"/>
    <w:rsid w:val="00C05E5C"/>
    <w:rsid w:val="00C070DB"/>
    <w:rsid w:val="00C109F8"/>
    <w:rsid w:val="00C1230E"/>
    <w:rsid w:val="00C12417"/>
    <w:rsid w:val="00C13DEB"/>
    <w:rsid w:val="00C14108"/>
    <w:rsid w:val="00C15883"/>
    <w:rsid w:val="00C162F4"/>
    <w:rsid w:val="00C1683B"/>
    <w:rsid w:val="00C1754C"/>
    <w:rsid w:val="00C20566"/>
    <w:rsid w:val="00C21279"/>
    <w:rsid w:val="00C21C72"/>
    <w:rsid w:val="00C23BF6"/>
    <w:rsid w:val="00C267D2"/>
    <w:rsid w:val="00C27F9F"/>
    <w:rsid w:val="00C30B3F"/>
    <w:rsid w:val="00C3231D"/>
    <w:rsid w:val="00C326F2"/>
    <w:rsid w:val="00C32D6F"/>
    <w:rsid w:val="00C356B8"/>
    <w:rsid w:val="00C35ED6"/>
    <w:rsid w:val="00C36ED8"/>
    <w:rsid w:val="00C37694"/>
    <w:rsid w:val="00C376E0"/>
    <w:rsid w:val="00C42C0C"/>
    <w:rsid w:val="00C44C5B"/>
    <w:rsid w:val="00C44EB9"/>
    <w:rsid w:val="00C46629"/>
    <w:rsid w:val="00C47072"/>
    <w:rsid w:val="00C53725"/>
    <w:rsid w:val="00C5640D"/>
    <w:rsid w:val="00C571A3"/>
    <w:rsid w:val="00C577DE"/>
    <w:rsid w:val="00C579F4"/>
    <w:rsid w:val="00C62FF3"/>
    <w:rsid w:val="00C64C6E"/>
    <w:rsid w:val="00C66B1B"/>
    <w:rsid w:val="00C66C2B"/>
    <w:rsid w:val="00C67A8F"/>
    <w:rsid w:val="00C703F7"/>
    <w:rsid w:val="00C70DA0"/>
    <w:rsid w:val="00C72310"/>
    <w:rsid w:val="00C74AF1"/>
    <w:rsid w:val="00C77CBE"/>
    <w:rsid w:val="00C77F6B"/>
    <w:rsid w:val="00C80962"/>
    <w:rsid w:val="00C80AFF"/>
    <w:rsid w:val="00C812A1"/>
    <w:rsid w:val="00C844B2"/>
    <w:rsid w:val="00C84E5A"/>
    <w:rsid w:val="00C916D5"/>
    <w:rsid w:val="00C92E9C"/>
    <w:rsid w:val="00CA2124"/>
    <w:rsid w:val="00CA2ED4"/>
    <w:rsid w:val="00CA3FAF"/>
    <w:rsid w:val="00CA63E0"/>
    <w:rsid w:val="00CA6E92"/>
    <w:rsid w:val="00CA72A8"/>
    <w:rsid w:val="00CA773A"/>
    <w:rsid w:val="00CB1207"/>
    <w:rsid w:val="00CB178B"/>
    <w:rsid w:val="00CB4A73"/>
    <w:rsid w:val="00CB4C47"/>
    <w:rsid w:val="00CB5388"/>
    <w:rsid w:val="00CB5E74"/>
    <w:rsid w:val="00CB6288"/>
    <w:rsid w:val="00CB6347"/>
    <w:rsid w:val="00CB6A38"/>
    <w:rsid w:val="00CC36A4"/>
    <w:rsid w:val="00CC39D6"/>
    <w:rsid w:val="00CC59A9"/>
    <w:rsid w:val="00CC64E7"/>
    <w:rsid w:val="00CD01B4"/>
    <w:rsid w:val="00CD0F43"/>
    <w:rsid w:val="00CD1556"/>
    <w:rsid w:val="00CD1E19"/>
    <w:rsid w:val="00CD25FF"/>
    <w:rsid w:val="00CD28AD"/>
    <w:rsid w:val="00CE13D8"/>
    <w:rsid w:val="00CE3347"/>
    <w:rsid w:val="00CE34B0"/>
    <w:rsid w:val="00CE4F16"/>
    <w:rsid w:val="00CE52EF"/>
    <w:rsid w:val="00CE5EAE"/>
    <w:rsid w:val="00CE5EB7"/>
    <w:rsid w:val="00CF02CB"/>
    <w:rsid w:val="00CF0566"/>
    <w:rsid w:val="00CF1D5B"/>
    <w:rsid w:val="00CF2472"/>
    <w:rsid w:val="00CF31EB"/>
    <w:rsid w:val="00CF34FF"/>
    <w:rsid w:val="00CF4241"/>
    <w:rsid w:val="00CF4456"/>
    <w:rsid w:val="00CF61B0"/>
    <w:rsid w:val="00CF7130"/>
    <w:rsid w:val="00D0018C"/>
    <w:rsid w:val="00D0254E"/>
    <w:rsid w:val="00D032FE"/>
    <w:rsid w:val="00D03693"/>
    <w:rsid w:val="00D0408F"/>
    <w:rsid w:val="00D0560E"/>
    <w:rsid w:val="00D05863"/>
    <w:rsid w:val="00D05DE3"/>
    <w:rsid w:val="00D05F82"/>
    <w:rsid w:val="00D06336"/>
    <w:rsid w:val="00D06E07"/>
    <w:rsid w:val="00D101C6"/>
    <w:rsid w:val="00D10A3D"/>
    <w:rsid w:val="00D11030"/>
    <w:rsid w:val="00D14741"/>
    <w:rsid w:val="00D15D37"/>
    <w:rsid w:val="00D1605B"/>
    <w:rsid w:val="00D22194"/>
    <w:rsid w:val="00D2606D"/>
    <w:rsid w:val="00D27931"/>
    <w:rsid w:val="00D27EB2"/>
    <w:rsid w:val="00D303D7"/>
    <w:rsid w:val="00D31514"/>
    <w:rsid w:val="00D3540A"/>
    <w:rsid w:val="00D35C3B"/>
    <w:rsid w:val="00D40E5C"/>
    <w:rsid w:val="00D4205E"/>
    <w:rsid w:val="00D42479"/>
    <w:rsid w:val="00D43CB3"/>
    <w:rsid w:val="00D450C7"/>
    <w:rsid w:val="00D52274"/>
    <w:rsid w:val="00D5372B"/>
    <w:rsid w:val="00D55E8C"/>
    <w:rsid w:val="00D639B9"/>
    <w:rsid w:val="00D66F9B"/>
    <w:rsid w:val="00D67CDD"/>
    <w:rsid w:val="00D67E67"/>
    <w:rsid w:val="00D70175"/>
    <w:rsid w:val="00D71F2B"/>
    <w:rsid w:val="00D720E1"/>
    <w:rsid w:val="00D722DE"/>
    <w:rsid w:val="00D728F5"/>
    <w:rsid w:val="00D73D3C"/>
    <w:rsid w:val="00D76990"/>
    <w:rsid w:val="00D84581"/>
    <w:rsid w:val="00D85F15"/>
    <w:rsid w:val="00D91430"/>
    <w:rsid w:val="00D93418"/>
    <w:rsid w:val="00D93591"/>
    <w:rsid w:val="00D938FA"/>
    <w:rsid w:val="00D953FA"/>
    <w:rsid w:val="00DA05D8"/>
    <w:rsid w:val="00DA1852"/>
    <w:rsid w:val="00DA18A1"/>
    <w:rsid w:val="00DA22E4"/>
    <w:rsid w:val="00DA520E"/>
    <w:rsid w:val="00DA558F"/>
    <w:rsid w:val="00DA6266"/>
    <w:rsid w:val="00DA7040"/>
    <w:rsid w:val="00DA7E3C"/>
    <w:rsid w:val="00DB06D1"/>
    <w:rsid w:val="00DB09FE"/>
    <w:rsid w:val="00DB135E"/>
    <w:rsid w:val="00DB245F"/>
    <w:rsid w:val="00DB3DD7"/>
    <w:rsid w:val="00DB40B7"/>
    <w:rsid w:val="00DB5CAB"/>
    <w:rsid w:val="00DB689F"/>
    <w:rsid w:val="00DB7465"/>
    <w:rsid w:val="00DC0B98"/>
    <w:rsid w:val="00DC32CA"/>
    <w:rsid w:val="00DC5740"/>
    <w:rsid w:val="00DD0094"/>
    <w:rsid w:val="00DD1139"/>
    <w:rsid w:val="00DD2E48"/>
    <w:rsid w:val="00DD3714"/>
    <w:rsid w:val="00DD477A"/>
    <w:rsid w:val="00DD4A11"/>
    <w:rsid w:val="00DD4A13"/>
    <w:rsid w:val="00DD73BE"/>
    <w:rsid w:val="00DE074B"/>
    <w:rsid w:val="00DE501A"/>
    <w:rsid w:val="00DE742C"/>
    <w:rsid w:val="00DF01AB"/>
    <w:rsid w:val="00DF0BB0"/>
    <w:rsid w:val="00DF1AA9"/>
    <w:rsid w:val="00DF2058"/>
    <w:rsid w:val="00DF38B3"/>
    <w:rsid w:val="00DF4A91"/>
    <w:rsid w:val="00DF4A9F"/>
    <w:rsid w:val="00DF798E"/>
    <w:rsid w:val="00E00090"/>
    <w:rsid w:val="00E00CED"/>
    <w:rsid w:val="00E01CE5"/>
    <w:rsid w:val="00E02330"/>
    <w:rsid w:val="00E0278F"/>
    <w:rsid w:val="00E0396F"/>
    <w:rsid w:val="00E041C1"/>
    <w:rsid w:val="00E051CD"/>
    <w:rsid w:val="00E05AFB"/>
    <w:rsid w:val="00E064C6"/>
    <w:rsid w:val="00E06D52"/>
    <w:rsid w:val="00E07540"/>
    <w:rsid w:val="00E112C5"/>
    <w:rsid w:val="00E11756"/>
    <w:rsid w:val="00E14888"/>
    <w:rsid w:val="00E14EB8"/>
    <w:rsid w:val="00E16629"/>
    <w:rsid w:val="00E16AF5"/>
    <w:rsid w:val="00E20681"/>
    <w:rsid w:val="00E228DC"/>
    <w:rsid w:val="00E2542B"/>
    <w:rsid w:val="00E25ACC"/>
    <w:rsid w:val="00E2623A"/>
    <w:rsid w:val="00E31575"/>
    <w:rsid w:val="00E319CF"/>
    <w:rsid w:val="00E332D0"/>
    <w:rsid w:val="00E3481D"/>
    <w:rsid w:val="00E35EE6"/>
    <w:rsid w:val="00E40307"/>
    <w:rsid w:val="00E42A59"/>
    <w:rsid w:val="00E43C00"/>
    <w:rsid w:val="00E43EBF"/>
    <w:rsid w:val="00E4408E"/>
    <w:rsid w:val="00E52A74"/>
    <w:rsid w:val="00E536D1"/>
    <w:rsid w:val="00E53DDA"/>
    <w:rsid w:val="00E53E24"/>
    <w:rsid w:val="00E57314"/>
    <w:rsid w:val="00E5778B"/>
    <w:rsid w:val="00E60FF8"/>
    <w:rsid w:val="00E61A03"/>
    <w:rsid w:val="00E61A65"/>
    <w:rsid w:val="00E62844"/>
    <w:rsid w:val="00E6383C"/>
    <w:rsid w:val="00E63CC9"/>
    <w:rsid w:val="00E63E07"/>
    <w:rsid w:val="00E63F59"/>
    <w:rsid w:val="00E6480F"/>
    <w:rsid w:val="00E64923"/>
    <w:rsid w:val="00E6597F"/>
    <w:rsid w:val="00E715EF"/>
    <w:rsid w:val="00E71626"/>
    <w:rsid w:val="00E719D1"/>
    <w:rsid w:val="00E719E0"/>
    <w:rsid w:val="00E71C9A"/>
    <w:rsid w:val="00E72DDA"/>
    <w:rsid w:val="00E74C24"/>
    <w:rsid w:val="00E7576B"/>
    <w:rsid w:val="00E759AC"/>
    <w:rsid w:val="00E761AA"/>
    <w:rsid w:val="00E813AB"/>
    <w:rsid w:val="00E8358A"/>
    <w:rsid w:val="00E839F4"/>
    <w:rsid w:val="00E84459"/>
    <w:rsid w:val="00E851B8"/>
    <w:rsid w:val="00E851C2"/>
    <w:rsid w:val="00E8725A"/>
    <w:rsid w:val="00E87C79"/>
    <w:rsid w:val="00E91DD8"/>
    <w:rsid w:val="00E92421"/>
    <w:rsid w:val="00E92B5D"/>
    <w:rsid w:val="00E94683"/>
    <w:rsid w:val="00EA082A"/>
    <w:rsid w:val="00EA0F72"/>
    <w:rsid w:val="00EA1574"/>
    <w:rsid w:val="00EA3D97"/>
    <w:rsid w:val="00EA49B3"/>
    <w:rsid w:val="00EA6AD2"/>
    <w:rsid w:val="00EA6D6A"/>
    <w:rsid w:val="00EB1C06"/>
    <w:rsid w:val="00EB3FE4"/>
    <w:rsid w:val="00EB4493"/>
    <w:rsid w:val="00EB46CB"/>
    <w:rsid w:val="00EB53CB"/>
    <w:rsid w:val="00EB568D"/>
    <w:rsid w:val="00EC1B7A"/>
    <w:rsid w:val="00EC1EF1"/>
    <w:rsid w:val="00EC3C6B"/>
    <w:rsid w:val="00EC4879"/>
    <w:rsid w:val="00EC68CD"/>
    <w:rsid w:val="00EC69F9"/>
    <w:rsid w:val="00EC6EE6"/>
    <w:rsid w:val="00ED0ADF"/>
    <w:rsid w:val="00ED4AD2"/>
    <w:rsid w:val="00ED535E"/>
    <w:rsid w:val="00ED70BA"/>
    <w:rsid w:val="00EE1869"/>
    <w:rsid w:val="00EE2B2A"/>
    <w:rsid w:val="00EE3B94"/>
    <w:rsid w:val="00EE6AB7"/>
    <w:rsid w:val="00EE7421"/>
    <w:rsid w:val="00EF009F"/>
    <w:rsid w:val="00EF0326"/>
    <w:rsid w:val="00EF1C49"/>
    <w:rsid w:val="00EF2027"/>
    <w:rsid w:val="00EF38B2"/>
    <w:rsid w:val="00EF3A21"/>
    <w:rsid w:val="00EF7823"/>
    <w:rsid w:val="00EF7CD2"/>
    <w:rsid w:val="00F02505"/>
    <w:rsid w:val="00F0354F"/>
    <w:rsid w:val="00F05217"/>
    <w:rsid w:val="00F0529E"/>
    <w:rsid w:val="00F062C0"/>
    <w:rsid w:val="00F1293E"/>
    <w:rsid w:val="00F13759"/>
    <w:rsid w:val="00F14161"/>
    <w:rsid w:val="00F152DE"/>
    <w:rsid w:val="00F17001"/>
    <w:rsid w:val="00F17583"/>
    <w:rsid w:val="00F203C3"/>
    <w:rsid w:val="00F212B8"/>
    <w:rsid w:val="00F225B7"/>
    <w:rsid w:val="00F25848"/>
    <w:rsid w:val="00F264FF"/>
    <w:rsid w:val="00F265D5"/>
    <w:rsid w:val="00F267E0"/>
    <w:rsid w:val="00F26C65"/>
    <w:rsid w:val="00F270D5"/>
    <w:rsid w:val="00F27E4F"/>
    <w:rsid w:val="00F31EBC"/>
    <w:rsid w:val="00F336FB"/>
    <w:rsid w:val="00F3511A"/>
    <w:rsid w:val="00F35C75"/>
    <w:rsid w:val="00F36ABB"/>
    <w:rsid w:val="00F371ED"/>
    <w:rsid w:val="00F37B38"/>
    <w:rsid w:val="00F412B1"/>
    <w:rsid w:val="00F42B18"/>
    <w:rsid w:val="00F42ECB"/>
    <w:rsid w:val="00F42F60"/>
    <w:rsid w:val="00F4701B"/>
    <w:rsid w:val="00F52E2F"/>
    <w:rsid w:val="00F57091"/>
    <w:rsid w:val="00F573F9"/>
    <w:rsid w:val="00F60EC2"/>
    <w:rsid w:val="00F619AC"/>
    <w:rsid w:val="00F6242E"/>
    <w:rsid w:val="00F63049"/>
    <w:rsid w:val="00F632EB"/>
    <w:rsid w:val="00F63D43"/>
    <w:rsid w:val="00F649BB"/>
    <w:rsid w:val="00F665C7"/>
    <w:rsid w:val="00F71275"/>
    <w:rsid w:val="00F76A17"/>
    <w:rsid w:val="00F76B57"/>
    <w:rsid w:val="00F77317"/>
    <w:rsid w:val="00F81AC8"/>
    <w:rsid w:val="00F82744"/>
    <w:rsid w:val="00F83980"/>
    <w:rsid w:val="00F878F0"/>
    <w:rsid w:val="00F90CC2"/>
    <w:rsid w:val="00F91780"/>
    <w:rsid w:val="00F93217"/>
    <w:rsid w:val="00F93599"/>
    <w:rsid w:val="00F94AF5"/>
    <w:rsid w:val="00F95707"/>
    <w:rsid w:val="00F9613D"/>
    <w:rsid w:val="00F9615A"/>
    <w:rsid w:val="00F96B50"/>
    <w:rsid w:val="00F96FDF"/>
    <w:rsid w:val="00F97DF7"/>
    <w:rsid w:val="00FA18FE"/>
    <w:rsid w:val="00FA2FE8"/>
    <w:rsid w:val="00FA4011"/>
    <w:rsid w:val="00FA42EB"/>
    <w:rsid w:val="00FA5074"/>
    <w:rsid w:val="00FA5482"/>
    <w:rsid w:val="00FA6D70"/>
    <w:rsid w:val="00FB01B2"/>
    <w:rsid w:val="00FB0CB0"/>
    <w:rsid w:val="00FB189A"/>
    <w:rsid w:val="00FB1BD5"/>
    <w:rsid w:val="00FB1ECB"/>
    <w:rsid w:val="00FB25EB"/>
    <w:rsid w:val="00FB367B"/>
    <w:rsid w:val="00FB711C"/>
    <w:rsid w:val="00FB78BC"/>
    <w:rsid w:val="00FB7BA2"/>
    <w:rsid w:val="00FC0EC3"/>
    <w:rsid w:val="00FC167C"/>
    <w:rsid w:val="00FC6533"/>
    <w:rsid w:val="00FC746A"/>
    <w:rsid w:val="00FD39C0"/>
    <w:rsid w:val="00FE08AD"/>
    <w:rsid w:val="00FE0AE0"/>
    <w:rsid w:val="00FE1B6C"/>
    <w:rsid w:val="00FE1D72"/>
    <w:rsid w:val="00FE1F2A"/>
    <w:rsid w:val="00FE1FA5"/>
    <w:rsid w:val="00FE3B78"/>
    <w:rsid w:val="00FE4B9D"/>
    <w:rsid w:val="00FE57F1"/>
    <w:rsid w:val="00FE5DF8"/>
    <w:rsid w:val="00FE5EF2"/>
    <w:rsid w:val="00FE6845"/>
    <w:rsid w:val="00FE6F00"/>
    <w:rsid w:val="00FF26F1"/>
    <w:rsid w:val="00FF2E51"/>
    <w:rsid w:val="00FF4548"/>
    <w:rsid w:val="00FF4AFF"/>
    <w:rsid w:val="00FF576A"/>
    <w:rsid w:val="00FF680D"/>
    <w:rsid w:val="00FF6BED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399BB8"/>
  <w15:docId w15:val="{C58D5D43-0A42-4669-953B-324E860E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E7"/>
    <w:pPr>
      <w:suppressAutoHyphens/>
      <w:spacing w:after="200" w:line="276" w:lineRule="auto"/>
    </w:pPr>
    <w:rPr>
      <w:rFonts w:ascii="Calibri" w:eastAsia="Calibri" w:hAnsi="Calibri" w:cs="font332"/>
      <w:kern w:val="1"/>
      <w:sz w:val="22"/>
      <w:szCs w:val="22"/>
      <w:lang w:val="sr-Latn-ME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327C7"/>
    <w:pPr>
      <w:keepNext/>
      <w:spacing w:before="240" w:after="60"/>
      <w:outlineLvl w:val="0"/>
    </w:pPr>
    <w:rPr>
      <w:rFonts w:asciiTheme="minorHAnsi" w:eastAsia="Times New Roman" w:hAnsiTheme="minorHAnsi" w:cs="Times New Roman"/>
      <w:b/>
      <w:bCs/>
      <w:color w:val="C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327C7"/>
    <w:pPr>
      <w:keepNext/>
      <w:spacing w:before="240" w:after="60"/>
      <w:ind w:left="1080"/>
      <w:outlineLvl w:val="1"/>
    </w:pPr>
    <w:rPr>
      <w:rFonts w:asciiTheme="minorHAnsi" w:eastAsia="Times New Roman" w:hAnsiTheme="minorHAnsi" w:cs="Times New Roman"/>
      <w:b/>
      <w:bCs/>
      <w:iCs/>
      <w:noProof/>
      <w:color w:val="C00000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82744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82744"/>
    <w:pPr>
      <w:keepNext/>
      <w:numPr>
        <w:ilvl w:val="3"/>
        <w:numId w:val="2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2744"/>
    <w:pPr>
      <w:numPr>
        <w:ilvl w:val="4"/>
        <w:numId w:val="2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2744"/>
    <w:pPr>
      <w:numPr>
        <w:ilvl w:val="5"/>
        <w:numId w:val="2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82744"/>
    <w:pPr>
      <w:numPr>
        <w:ilvl w:val="6"/>
        <w:numId w:val="2"/>
      </w:num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82744"/>
    <w:pPr>
      <w:numPr>
        <w:ilvl w:val="7"/>
        <w:numId w:val="2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82744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Calibri" w:hAnsi="Calibri" w:cs="Times New Roman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libri" w:hAnsi="Calibri" w:cs="Times New Roman"/>
      <w:sz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hAnsi="Calibri" w:cs="Times New Roman"/>
      <w:b/>
      <w:color w:val="00B050"/>
      <w:sz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  <w:b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0">
    <w:name w:val="WW8Num16z0"/>
    <w:rPr>
      <w:rFonts w:ascii="Symbol" w:hAnsi="Symbol" w:cs="OpenSymbol"/>
      <w:sz w:val="24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3">
    <w:name w:val="WW8Num16z3"/>
    <w:rPr>
      <w:rFonts w:ascii="Symbol" w:hAnsi="Symbol" w:cs="OpenSymbol"/>
    </w:rPr>
  </w:style>
  <w:style w:type="character" w:customStyle="1" w:styleId="WW8Num17z0">
    <w:name w:val="WW8Num17z0"/>
    <w:rPr>
      <w:rFonts w:ascii="Symbol" w:hAnsi="Symbol" w:cs="OpenSymbol"/>
      <w:sz w:val="24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</w:rPr>
  </w:style>
  <w:style w:type="character" w:customStyle="1" w:styleId="WW8Num18z0">
    <w:name w:val="WW8Num18z0"/>
    <w:rPr>
      <w:rFonts w:ascii="Symbol" w:hAnsi="Symbol" w:cs="OpenSymbol"/>
      <w:sz w:val="24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sz w:val="24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</w:rPr>
  </w:style>
  <w:style w:type="character" w:customStyle="1" w:styleId="WW8Num20z0">
    <w:name w:val="WW8Num20z0"/>
    <w:rPr>
      <w:rFonts w:ascii="Symbol" w:hAnsi="Symbol" w:cs="OpenSymbol"/>
      <w:sz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  <w:sz w:val="24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22z0">
    <w:name w:val="WW8Num22z0"/>
    <w:rPr>
      <w:rFonts w:ascii="Symbol" w:hAnsi="Symbol" w:cs="OpenSymbol"/>
      <w:sz w:val="24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single space Char,footnote text Char,Footnote Text Char Char Char1,Footnote Text Char Char Char Char,FOOTNOTES Char,fn Char,Fußnote Char,ft Char,Footnote Text Char1 Char Char Char,Footnote Text Char Char1 Char Char Char,f Char"/>
    <w:link w:val="FootnoteText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Reference1">
    <w:name w:val="Footnote Reference1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Calibri" w:cs="Times New Roman"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Calibri" w:cs="Times New Roman"/>
      <w:b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Calibri" w:cs="Times New Roman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eastAsia="Calibri"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eastAsia="Calibri" w:cs="Times New Roman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OpenSymbol"/>
      <w:b/>
      <w:sz w:val="24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  <w:sz w:val="24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  <w:sz w:val="24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  <w:sz w:val="24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  <w:sz w:val="24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  <w:sz w:val="24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  <w:sz w:val="24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  <w:sz w:val="24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Courier New"/>
    </w:rPr>
  </w:style>
  <w:style w:type="character" w:customStyle="1" w:styleId="ListLabel136">
    <w:name w:val="ListLabel 136"/>
    <w:rPr>
      <w:rFonts w:cs="Courier New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Courier New"/>
    </w:rPr>
  </w:style>
  <w:style w:type="paragraph" w:customStyle="1" w:styleId="Heading">
    <w:name w:val="Heading"/>
    <w:basedOn w:val="Normal"/>
    <w:next w:val="BodyText"/>
    <w:autoRedefine/>
    <w:qFormat/>
    <w:rsid w:val="00043811"/>
    <w:pPr>
      <w:keepNext/>
      <w:spacing w:before="240" w:after="120"/>
      <w:jc w:val="center"/>
    </w:pPr>
    <w:rPr>
      <w:rFonts w:eastAsia="Droid Sans Fallback" w:cs="FreeSans"/>
      <w:b/>
      <w:i/>
      <w:caps/>
      <w:kern w:val="28"/>
      <w:sz w:val="44"/>
      <w:szCs w:val="44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customStyle="1" w:styleId="MediumGrid21">
    <w:name w:val="Medium Grid 21"/>
    <w:qFormat/>
    <w:pPr>
      <w:suppressAutoHyphens/>
    </w:pPr>
    <w:rPr>
      <w:rFonts w:ascii="Calibri" w:eastAsia="Calibri" w:hAnsi="Calibri" w:cs="font332"/>
      <w:kern w:val="1"/>
      <w:sz w:val="22"/>
      <w:szCs w:val="22"/>
      <w:lang w:val="sr-Latn-ME" w:eastAsia="en-US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val="sr-Latn-ME" w:eastAsia="en-US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link w:val="Heading1"/>
    <w:rsid w:val="00A327C7"/>
    <w:rPr>
      <w:rFonts w:asciiTheme="minorHAnsi" w:hAnsiTheme="minorHAnsi"/>
      <w:b/>
      <w:bCs/>
      <w:color w:val="C00000"/>
      <w:kern w:val="32"/>
      <w:sz w:val="28"/>
      <w:szCs w:val="28"/>
      <w:lang w:val="sr-Latn-ME" w:eastAsia="en-US"/>
    </w:rPr>
  </w:style>
  <w:style w:type="character" w:customStyle="1" w:styleId="Heading2Char">
    <w:name w:val="Heading 2 Char"/>
    <w:link w:val="Heading2"/>
    <w:rsid w:val="00A327C7"/>
    <w:rPr>
      <w:rFonts w:asciiTheme="minorHAnsi" w:hAnsiTheme="minorHAnsi"/>
      <w:b/>
      <w:bCs/>
      <w:iCs/>
      <w:noProof/>
      <w:color w:val="C00000"/>
      <w:kern w:val="1"/>
      <w:sz w:val="24"/>
      <w:szCs w:val="24"/>
      <w:lang w:val="sr-Latn-ME"/>
    </w:rPr>
  </w:style>
  <w:style w:type="character" w:customStyle="1" w:styleId="Heading3Char">
    <w:name w:val="Heading 3 Char"/>
    <w:link w:val="Heading3"/>
    <w:rsid w:val="00F82744"/>
    <w:rPr>
      <w:rFonts w:ascii="Cambria" w:hAnsi="Cambria"/>
      <w:b/>
      <w:bCs/>
      <w:kern w:val="1"/>
      <w:sz w:val="26"/>
      <w:szCs w:val="26"/>
      <w:lang w:val="sr-Latn-ME" w:eastAsia="en-US"/>
    </w:rPr>
  </w:style>
  <w:style w:type="character" w:customStyle="1" w:styleId="Heading4Char">
    <w:name w:val="Heading 4 Char"/>
    <w:link w:val="Heading4"/>
    <w:rsid w:val="00F82744"/>
    <w:rPr>
      <w:rFonts w:ascii="Calibri" w:hAnsi="Calibri"/>
      <w:b/>
      <w:bCs/>
      <w:kern w:val="1"/>
      <w:sz w:val="28"/>
      <w:szCs w:val="28"/>
      <w:lang w:val="sr-Latn-ME" w:eastAsia="en-US"/>
    </w:rPr>
  </w:style>
  <w:style w:type="character" w:customStyle="1" w:styleId="Heading5Char">
    <w:name w:val="Heading 5 Char"/>
    <w:link w:val="Heading5"/>
    <w:rsid w:val="00F82744"/>
    <w:rPr>
      <w:rFonts w:ascii="Calibri" w:hAnsi="Calibri"/>
      <w:b/>
      <w:bCs/>
      <w:i/>
      <w:iCs/>
      <w:kern w:val="1"/>
      <w:sz w:val="26"/>
      <w:szCs w:val="26"/>
      <w:lang w:val="sr-Latn-ME" w:eastAsia="en-US"/>
    </w:rPr>
  </w:style>
  <w:style w:type="character" w:customStyle="1" w:styleId="Heading6Char">
    <w:name w:val="Heading 6 Char"/>
    <w:link w:val="Heading6"/>
    <w:uiPriority w:val="9"/>
    <w:rsid w:val="00F82744"/>
    <w:rPr>
      <w:rFonts w:ascii="Calibri" w:hAnsi="Calibri"/>
      <w:b/>
      <w:bCs/>
      <w:kern w:val="1"/>
      <w:sz w:val="22"/>
      <w:szCs w:val="22"/>
      <w:lang w:val="sr-Latn-ME" w:eastAsia="en-US"/>
    </w:rPr>
  </w:style>
  <w:style w:type="character" w:customStyle="1" w:styleId="Heading7Char">
    <w:name w:val="Heading 7 Char"/>
    <w:link w:val="Heading7"/>
    <w:uiPriority w:val="9"/>
    <w:rsid w:val="00F82744"/>
    <w:rPr>
      <w:rFonts w:ascii="Calibri" w:hAnsi="Calibri"/>
      <w:kern w:val="1"/>
      <w:sz w:val="24"/>
      <w:szCs w:val="24"/>
      <w:lang w:val="sr-Latn-ME" w:eastAsia="en-US"/>
    </w:rPr>
  </w:style>
  <w:style w:type="character" w:customStyle="1" w:styleId="Heading8Char">
    <w:name w:val="Heading 8 Char"/>
    <w:link w:val="Heading8"/>
    <w:uiPriority w:val="9"/>
    <w:rsid w:val="00F82744"/>
    <w:rPr>
      <w:rFonts w:ascii="Calibri" w:hAnsi="Calibri"/>
      <w:i/>
      <w:iCs/>
      <w:kern w:val="1"/>
      <w:sz w:val="24"/>
      <w:szCs w:val="24"/>
      <w:lang w:val="sr-Latn-ME" w:eastAsia="en-US"/>
    </w:rPr>
  </w:style>
  <w:style w:type="character" w:customStyle="1" w:styleId="Heading9Char">
    <w:name w:val="Heading 9 Char"/>
    <w:link w:val="Heading9"/>
    <w:uiPriority w:val="9"/>
    <w:rsid w:val="00F82744"/>
    <w:rPr>
      <w:rFonts w:ascii="Cambria" w:hAnsi="Cambria"/>
      <w:kern w:val="1"/>
      <w:sz w:val="22"/>
      <w:szCs w:val="22"/>
      <w:lang w:val="sr-Latn-ME" w:eastAsia="en-US"/>
    </w:rPr>
  </w:style>
  <w:style w:type="character" w:customStyle="1" w:styleId="PlainTable31">
    <w:name w:val="Plain Table 31"/>
    <w:uiPriority w:val="19"/>
    <w:qFormat/>
    <w:rsid w:val="00F71275"/>
    <w:rPr>
      <w:i/>
      <w:iCs/>
      <w:strike w:val="0"/>
      <w:dstrike w:val="0"/>
      <w:vanish w:val="0"/>
      <w:color w:val="auto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686A32"/>
    <w:pPr>
      <w:keepLines/>
      <w:suppressAutoHyphens w:val="0"/>
      <w:spacing w:before="480" w:after="0"/>
      <w:outlineLvl w:val="9"/>
    </w:pPr>
    <w:rPr>
      <w:rFonts w:ascii="Cambria" w:hAnsi="Cambria"/>
      <w:caps/>
      <w:color w:val="365F91"/>
      <w:kern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327C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9346B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numbering" w:customStyle="1" w:styleId="Style1">
    <w:name w:val="Style1"/>
    <w:uiPriority w:val="99"/>
    <w:rsid w:val="00686A32"/>
    <w:pPr>
      <w:numPr>
        <w:numId w:val="1"/>
      </w:numPr>
    </w:pPr>
  </w:style>
  <w:style w:type="character" w:styleId="Emphasis">
    <w:name w:val="Emphasis"/>
    <w:uiPriority w:val="20"/>
    <w:qFormat/>
    <w:rsid w:val="00044D2B"/>
    <w:rPr>
      <w:i/>
      <w:iCs/>
    </w:rPr>
  </w:style>
  <w:style w:type="character" w:styleId="CommentReference">
    <w:name w:val="annotation reference"/>
    <w:uiPriority w:val="99"/>
    <w:semiHidden/>
    <w:unhideWhenUsed/>
    <w:rsid w:val="00CF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4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F2472"/>
    <w:rPr>
      <w:rFonts w:ascii="Calibri" w:eastAsia="Calibri" w:hAnsi="Calibri" w:cs="font332"/>
      <w:kern w:val="1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4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472"/>
    <w:rPr>
      <w:rFonts w:ascii="Calibri" w:eastAsia="Calibri" w:hAnsi="Calibri" w:cs="font332"/>
      <w:b/>
      <w:bCs/>
      <w:kern w:val="1"/>
      <w:lang w:val="sr-Latn-ME"/>
    </w:rPr>
  </w:style>
  <w:style w:type="table" w:styleId="TableGrid">
    <w:name w:val="Table Grid"/>
    <w:basedOn w:val="TableNormal"/>
    <w:uiPriority w:val="59"/>
    <w:rsid w:val="00DA05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s,Liste Paragraf,lp1,Table of contents numbered,Bullets,List Paragraph (numbered (a)),Akapit z listą BS,WB Para,List Square,Lapis Bulleted List"/>
    <w:basedOn w:val="Normal"/>
    <w:link w:val="ListParagraphChar"/>
    <w:qFormat/>
    <w:rsid w:val="00DA05D8"/>
    <w:pPr>
      <w:suppressAutoHyphens w:val="0"/>
      <w:spacing w:before="120" w:after="120" w:line="240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A850F3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val="en-US"/>
    </w:rPr>
  </w:style>
  <w:style w:type="character" w:customStyle="1" w:styleId="ListParagraphChar">
    <w:name w:val="List Paragraph Char"/>
    <w:aliases w:val="Bullet Points Char,Liste Paragraf Char,lp1 Char,Table of contents numbered Char,Bullets Char,List Paragraph (numbered (a)) Char,Akapit z listą BS Char,WB Para Char,List Square Char,Lapis Bulleted List Char"/>
    <w:link w:val="ListParagraph"/>
    <w:locked/>
    <w:rsid w:val="00A850F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noteText">
    <w:name w:val="footnote text"/>
    <w:aliases w:val="single space,footnote text,Footnote Text Char Char,Footnote Text Char Char Char,FOOTNOTES,fn,Fußnote,ft,Footnote Text Char1 Char Char,Footnote Text Char Char1 Char Char,Footnote Text Char Char Char Char Char Char,f,Podrozdział"/>
    <w:basedOn w:val="Normal"/>
    <w:link w:val="FootnoteTextChar"/>
    <w:uiPriority w:val="99"/>
    <w:unhideWhenUsed/>
    <w:rsid w:val="001B3075"/>
    <w:pPr>
      <w:suppressAutoHyphens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FootnoteTextChar1">
    <w:name w:val="Footnote Text Char1"/>
    <w:basedOn w:val="DefaultParagraphFont"/>
    <w:uiPriority w:val="99"/>
    <w:semiHidden/>
    <w:rsid w:val="001B3075"/>
    <w:rPr>
      <w:rFonts w:ascii="Calibri" w:eastAsia="Calibri" w:hAnsi="Calibri" w:cs="font332"/>
      <w:kern w:val="1"/>
      <w:lang w:val="sr-Latn-ME" w:eastAsia="en-US"/>
    </w:rPr>
  </w:style>
  <w:style w:type="character" w:styleId="FootnoteReference">
    <w:name w:val="footnote reference"/>
    <w:aliases w:val="Footnote symbol,Voetnootverwijzing,Footnote Reference S,Footnote Reference Superscript,Footnote s,Times 10 Point, Exposant 3 Point,Exposant 3 ,Exposant 3 Point,Expos,Exposant 3,ftref,Footnote Reference Number,Footnote Reference_LVL6"/>
    <w:basedOn w:val="DefaultParagraphFont"/>
    <w:unhideWhenUsed/>
    <w:qFormat/>
    <w:rsid w:val="001B30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35B0"/>
    <w:pPr>
      <w:suppressAutoHyphens w:val="0"/>
      <w:spacing w:before="120" w:after="0" w:line="240" w:lineRule="auto"/>
      <w:jc w:val="both"/>
    </w:pPr>
    <w:rPr>
      <w:rFonts w:asciiTheme="minorHAnsi" w:eastAsiaTheme="minorHAnsi" w:hAnsiTheme="minorHAnsi" w:cstheme="minorBidi"/>
      <w:kern w:val="0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35B0"/>
    <w:rPr>
      <w:rFonts w:asciiTheme="minorHAnsi" w:eastAsiaTheme="minorHAnsi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F35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35B0"/>
    <w:pPr>
      <w:tabs>
        <w:tab w:val="center" w:pos="4680"/>
        <w:tab w:val="right" w:pos="9360"/>
      </w:tabs>
      <w:suppressAutoHyphens w:val="0"/>
      <w:spacing w:before="120" w:after="0" w:line="240" w:lineRule="auto"/>
      <w:jc w:val="both"/>
    </w:pPr>
    <w:rPr>
      <w:rFonts w:asciiTheme="minorHAnsi" w:eastAsiaTheme="minorHAnsi" w:hAnsiTheme="minorHAnsi" w:cstheme="minorBidi"/>
      <w:kern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F35B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35B0"/>
    <w:pPr>
      <w:tabs>
        <w:tab w:val="center" w:pos="4680"/>
        <w:tab w:val="right" w:pos="9360"/>
      </w:tabs>
      <w:suppressAutoHyphens w:val="0"/>
      <w:spacing w:before="120" w:after="0" w:line="240" w:lineRule="auto"/>
      <w:jc w:val="both"/>
    </w:pPr>
    <w:rPr>
      <w:rFonts w:asciiTheme="minorHAnsi" w:eastAsiaTheme="minorHAnsi" w:hAnsiTheme="minorHAnsi" w:cstheme="minorBidi"/>
      <w:kern w:val="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F35B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F35B0"/>
    <w:rPr>
      <w:color w:val="800080"/>
      <w:u w:val="single"/>
    </w:rPr>
  </w:style>
  <w:style w:type="paragraph" w:customStyle="1" w:styleId="xl68">
    <w:name w:val="xl68"/>
    <w:basedOn w:val="Normal"/>
    <w:rsid w:val="001F35B0"/>
    <w:pPr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4"/>
      <w:szCs w:val="14"/>
      <w:lang w:val="en-US"/>
    </w:rPr>
  </w:style>
  <w:style w:type="paragraph" w:customStyle="1" w:styleId="xl69">
    <w:name w:val="xl69"/>
    <w:basedOn w:val="Normal"/>
    <w:rsid w:val="001F35B0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14"/>
      <w:szCs w:val="14"/>
      <w:lang w:val="en-US"/>
    </w:rPr>
  </w:style>
  <w:style w:type="paragraph" w:customStyle="1" w:styleId="xl70">
    <w:name w:val="xl70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4"/>
      <w:szCs w:val="14"/>
      <w:lang w:val="en-US"/>
    </w:rPr>
  </w:style>
  <w:style w:type="paragraph" w:customStyle="1" w:styleId="xl71">
    <w:name w:val="xl71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14"/>
      <w:szCs w:val="14"/>
      <w:lang w:val="en-US"/>
    </w:rPr>
  </w:style>
  <w:style w:type="paragraph" w:customStyle="1" w:styleId="xl72">
    <w:name w:val="xl72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4"/>
      <w:szCs w:val="14"/>
      <w:lang w:val="en-US"/>
    </w:rPr>
  </w:style>
  <w:style w:type="paragraph" w:customStyle="1" w:styleId="xl73">
    <w:name w:val="xl73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4"/>
      <w:szCs w:val="14"/>
      <w:lang w:val="en-US"/>
    </w:rPr>
  </w:style>
  <w:style w:type="paragraph" w:customStyle="1" w:styleId="xl74">
    <w:name w:val="xl74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4"/>
      <w:szCs w:val="14"/>
      <w:lang w:val="en-US"/>
    </w:rPr>
  </w:style>
  <w:style w:type="paragraph" w:customStyle="1" w:styleId="Annextables">
    <w:name w:val="Annex tables"/>
    <w:basedOn w:val="Normal"/>
    <w:link w:val="AnnextablesChar"/>
    <w:qFormat/>
    <w:rsid w:val="001F35B0"/>
    <w:pPr>
      <w:suppressAutoHyphens w:val="0"/>
      <w:spacing w:after="0" w:line="240" w:lineRule="auto"/>
      <w:jc w:val="both"/>
    </w:pPr>
    <w:rPr>
      <w:rFonts w:asciiTheme="minorHAnsi" w:eastAsiaTheme="minorHAnsi" w:hAnsiTheme="minorHAnsi" w:cstheme="minorHAnsi"/>
      <w:b/>
      <w:kern w:val="0"/>
      <w:sz w:val="18"/>
      <w:szCs w:val="18"/>
      <w:lang w:val="en-US"/>
    </w:rPr>
  </w:style>
  <w:style w:type="character" w:customStyle="1" w:styleId="AnnextablesChar">
    <w:name w:val="Annex tables Char"/>
    <w:basedOn w:val="DefaultParagraphFont"/>
    <w:link w:val="Annextables"/>
    <w:rsid w:val="001F35B0"/>
    <w:rPr>
      <w:rFonts w:asciiTheme="minorHAnsi" w:eastAsiaTheme="minorHAnsi" w:hAnsiTheme="minorHAnsi" w:cstheme="minorHAnsi"/>
      <w:b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F35B0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F3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xl63">
    <w:name w:val="xl63"/>
    <w:basedOn w:val="Normal"/>
    <w:rsid w:val="001F35B0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35B0"/>
    <w:pPr>
      <w:suppressAutoHyphens w:val="0"/>
      <w:spacing w:after="0" w:line="240" w:lineRule="auto"/>
      <w:jc w:val="both"/>
    </w:pPr>
    <w:rPr>
      <w:rFonts w:ascii="Tahoma" w:eastAsiaTheme="minorHAnsi" w:hAnsi="Tahoma" w:cs="Tahoma"/>
      <w:kern w:val="0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35B0"/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xl65">
    <w:name w:val="xl65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6"/>
      <w:szCs w:val="16"/>
      <w:lang w:val="en-GB" w:eastAsia="en-GB"/>
    </w:rPr>
  </w:style>
  <w:style w:type="paragraph" w:customStyle="1" w:styleId="xl66">
    <w:name w:val="xl66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6"/>
      <w:szCs w:val="16"/>
      <w:lang w:val="en-GB" w:eastAsia="en-GB"/>
    </w:rPr>
  </w:style>
  <w:style w:type="paragraph" w:customStyle="1" w:styleId="xl67">
    <w:name w:val="xl67"/>
    <w:basedOn w:val="Normal"/>
    <w:rsid w:val="001F35B0"/>
    <w:pPr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6"/>
      <w:szCs w:val="16"/>
      <w:lang w:val="en-GB" w:eastAsia="en-GB"/>
    </w:rPr>
  </w:style>
  <w:style w:type="paragraph" w:customStyle="1" w:styleId="xl75">
    <w:name w:val="xl75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val="en-GB" w:eastAsia="en-GB"/>
    </w:rPr>
  </w:style>
  <w:style w:type="paragraph" w:customStyle="1" w:styleId="xl76">
    <w:name w:val="xl76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6"/>
      <w:szCs w:val="16"/>
      <w:lang w:val="en-GB" w:eastAsia="en-GB"/>
    </w:rPr>
  </w:style>
  <w:style w:type="paragraph" w:customStyle="1" w:styleId="xl77">
    <w:name w:val="xl77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6"/>
      <w:szCs w:val="16"/>
      <w:lang w:val="en-GB" w:eastAsia="en-GB"/>
    </w:rPr>
  </w:style>
  <w:style w:type="paragraph" w:customStyle="1" w:styleId="xl78">
    <w:name w:val="xl78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F35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5B0"/>
    <w:rPr>
      <w:color w:val="808080"/>
      <w:shd w:val="clear" w:color="auto" w:fill="E6E6E6"/>
    </w:rPr>
  </w:style>
  <w:style w:type="table" w:customStyle="1" w:styleId="GridTable1Light-Accent11">
    <w:name w:val="Grid Table 1 Light - Accent 11"/>
    <w:basedOn w:val="TableNormal"/>
    <w:uiPriority w:val="46"/>
    <w:rsid w:val="001F35B0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1F35B0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35B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F35B0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1F35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font5">
    <w:name w:val="font5"/>
    <w:basedOn w:val="Normal"/>
    <w:rsid w:val="001F35B0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val="en-US"/>
    </w:rPr>
  </w:style>
  <w:style w:type="paragraph" w:customStyle="1" w:styleId="font6">
    <w:name w:val="font6"/>
    <w:basedOn w:val="Normal"/>
    <w:rsid w:val="001F35B0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val="en-US"/>
    </w:rPr>
  </w:style>
  <w:style w:type="paragraph" w:customStyle="1" w:styleId="xl79">
    <w:name w:val="xl79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6"/>
      <w:szCs w:val="16"/>
      <w:lang w:val="en-US"/>
    </w:rPr>
  </w:style>
  <w:style w:type="paragraph" w:customStyle="1" w:styleId="xl80">
    <w:name w:val="xl80"/>
    <w:basedOn w:val="Normal"/>
    <w:rsid w:val="001F35B0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val="en-US"/>
    </w:rPr>
  </w:style>
  <w:style w:type="paragraph" w:customStyle="1" w:styleId="xl81">
    <w:name w:val="xl81"/>
    <w:basedOn w:val="Normal"/>
    <w:rsid w:val="001F35B0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val="en-US"/>
    </w:rPr>
  </w:style>
  <w:style w:type="paragraph" w:customStyle="1" w:styleId="xl82">
    <w:name w:val="xl82"/>
    <w:basedOn w:val="Normal"/>
    <w:rsid w:val="001F35B0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6"/>
      <w:szCs w:val="16"/>
      <w:lang w:val="en-US"/>
    </w:rPr>
  </w:style>
  <w:style w:type="paragraph" w:customStyle="1" w:styleId="xl83">
    <w:name w:val="xl83"/>
    <w:basedOn w:val="Normal"/>
    <w:rsid w:val="001F35B0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kern w:val="0"/>
      <w:sz w:val="16"/>
      <w:szCs w:val="16"/>
      <w:lang w:val="en-US"/>
    </w:rPr>
  </w:style>
  <w:style w:type="paragraph" w:customStyle="1" w:styleId="xl84">
    <w:name w:val="xl84"/>
    <w:basedOn w:val="Normal"/>
    <w:rsid w:val="001F35B0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val="en-US"/>
    </w:rPr>
  </w:style>
  <w:style w:type="paragraph" w:customStyle="1" w:styleId="xl85">
    <w:name w:val="xl85"/>
    <w:basedOn w:val="Normal"/>
    <w:rsid w:val="001F35B0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val="en-US"/>
    </w:rPr>
  </w:style>
  <w:style w:type="paragraph" w:customStyle="1" w:styleId="xl86">
    <w:name w:val="xl86"/>
    <w:basedOn w:val="Normal"/>
    <w:rsid w:val="001F35B0"/>
    <w:pPr>
      <w:shd w:val="clear" w:color="000000" w:fill="C4D79B"/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16"/>
      <w:szCs w:val="16"/>
      <w:lang w:val="en-US"/>
    </w:rPr>
  </w:style>
  <w:style w:type="paragraph" w:customStyle="1" w:styleId="xl87">
    <w:name w:val="xl87"/>
    <w:basedOn w:val="Normal"/>
    <w:rsid w:val="001F3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val="en-US"/>
    </w:rPr>
  </w:style>
  <w:style w:type="table" w:customStyle="1" w:styleId="GridTable4-Accent11">
    <w:name w:val="Grid Table 4 - Accent 11"/>
    <w:basedOn w:val="TableNormal"/>
    <w:uiPriority w:val="49"/>
    <w:rsid w:val="001F35B0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odyTextChar">
    <w:name w:val="Body Text Char"/>
    <w:basedOn w:val="DefaultParagraphFont"/>
    <w:link w:val="BodyText"/>
    <w:uiPriority w:val="99"/>
    <w:rsid w:val="001F35B0"/>
    <w:rPr>
      <w:rFonts w:ascii="Calibri" w:eastAsia="Calibri" w:hAnsi="Calibri" w:cs="font332"/>
      <w:kern w:val="1"/>
      <w:sz w:val="22"/>
      <w:szCs w:val="22"/>
      <w:lang w:val="sr-Latn-ME" w:eastAsia="en-US"/>
    </w:rPr>
  </w:style>
  <w:style w:type="paragraph" w:styleId="ListNumber">
    <w:name w:val="List Number"/>
    <w:aliases w:val="List Number Justified"/>
    <w:basedOn w:val="Normal"/>
    <w:uiPriority w:val="2"/>
    <w:qFormat/>
    <w:rsid w:val="001F35B0"/>
    <w:pPr>
      <w:numPr>
        <w:numId w:val="5"/>
      </w:numPr>
      <w:suppressAutoHyphens w:val="0"/>
      <w:spacing w:before="60" w:after="60" w:line="240" w:lineRule="auto"/>
      <w:jc w:val="both"/>
    </w:pPr>
    <w:rPr>
      <w:rFonts w:ascii="Verdana" w:eastAsia="Times New Roman" w:hAnsi="Verdana" w:cs="Times New Roman"/>
      <w:color w:val="333333"/>
      <w:kern w:val="0"/>
      <w:sz w:val="20"/>
      <w:szCs w:val="20"/>
      <w:lang w:val="en-GB" w:eastAsia="en-GB"/>
    </w:rPr>
  </w:style>
  <w:style w:type="paragraph" w:customStyle="1" w:styleId="H1-NOTTOC">
    <w:name w:val="H1 - NOT TOC"/>
    <w:basedOn w:val="Heading1"/>
    <w:next w:val="Normal"/>
    <w:uiPriority w:val="2"/>
    <w:qFormat/>
    <w:rsid w:val="001F35B0"/>
    <w:pPr>
      <w:numPr>
        <w:numId w:val="6"/>
      </w:numPr>
      <w:suppressAutoHyphens w:val="0"/>
      <w:spacing w:before="0" w:after="240" w:line="360" w:lineRule="exact"/>
      <w:outlineLvl w:val="9"/>
    </w:pPr>
    <w:rPr>
      <w:rFonts w:ascii="Verdana" w:hAnsi="Verdana" w:cs="Arial"/>
      <w:color w:val="009DE0"/>
      <w:kern w:val="0"/>
      <w:lang w:val="en-GB" w:eastAsia="da-DK"/>
    </w:rPr>
  </w:style>
  <w:style w:type="paragraph" w:customStyle="1" w:styleId="H2-NOTTOC">
    <w:name w:val="H2 - NOT TOC"/>
    <w:basedOn w:val="Heading2"/>
    <w:next w:val="Normal"/>
    <w:uiPriority w:val="2"/>
    <w:qFormat/>
    <w:rsid w:val="001F35B0"/>
    <w:pPr>
      <w:suppressAutoHyphens w:val="0"/>
      <w:spacing w:before="0" w:after="0" w:line="240" w:lineRule="atLeast"/>
      <w:ind w:hanging="624"/>
      <w:outlineLvl w:val="9"/>
    </w:pPr>
    <w:rPr>
      <w:rFonts w:ascii="Verdana" w:hAnsi="Verdana" w:cs="Arial"/>
      <w:kern w:val="0"/>
      <w:sz w:val="18"/>
      <w:lang w:val="en-GB" w:eastAsia="da-DK"/>
    </w:rPr>
  </w:style>
  <w:style w:type="paragraph" w:customStyle="1" w:styleId="H3-NOTTOC">
    <w:name w:val="H3 - NOT TOC"/>
    <w:basedOn w:val="Heading3"/>
    <w:next w:val="Normal"/>
    <w:uiPriority w:val="2"/>
    <w:qFormat/>
    <w:rsid w:val="001F35B0"/>
    <w:pPr>
      <w:numPr>
        <w:numId w:val="6"/>
      </w:numPr>
      <w:suppressAutoHyphens w:val="0"/>
      <w:spacing w:before="0" w:after="0" w:line="240" w:lineRule="atLeast"/>
      <w:jc w:val="both"/>
      <w:outlineLvl w:val="9"/>
    </w:pPr>
    <w:rPr>
      <w:rFonts w:ascii="Verdana" w:hAnsi="Verdana" w:cs="Arial"/>
      <w:b w:val="0"/>
      <w:kern w:val="0"/>
      <w:sz w:val="17"/>
      <w:lang w:val="en-GB" w:eastAsia="da-DK"/>
    </w:rPr>
  </w:style>
  <w:style w:type="paragraph" w:customStyle="1" w:styleId="H4-NOTTOC">
    <w:name w:val="H4 - NOT TOC"/>
    <w:basedOn w:val="Heading4"/>
    <w:next w:val="Normal"/>
    <w:uiPriority w:val="2"/>
    <w:qFormat/>
    <w:rsid w:val="001F35B0"/>
    <w:pPr>
      <w:numPr>
        <w:numId w:val="6"/>
      </w:numPr>
      <w:suppressAutoHyphens w:val="0"/>
      <w:spacing w:before="0" w:line="240" w:lineRule="atLeast"/>
      <w:jc w:val="both"/>
      <w:outlineLvl w:val="9"/>
    </w:pPr>
    <w:rPr>
      <w:rFonts w:ascii="Verdana" w:hAnsi="Verdana"/>
      <w:b w:val="0"/>
      <w:kern w:val="0"/>
      <w:sz w:val="17"/>
      <w:lang w:val="en-GB" w:eastAsia="da-DK"/>
    </w:rPr>
  </w:style>
  <w:style w:type="paragraph" w:styleId="TOCHeading">
    <w:name w:val="TOC Heading"/>
    <w:basedOn w:val="Heading1"/>
    <w:next w:val="Normal"/>
    <w:uiPriority w:val="39"/>
    <w:unhideWhenUsed/>
    <w:qFormat/>
    <w:rsid w:val="001F35B0"/>
    <w:pPr>
      <w:keepLines/>
      <w:suppressAutoHyphens w:val="0"/>
      <w:spacing w:before="480" w:after="0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kern w:val="0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F35B0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RTDBody">
    <w:name w:val="RTD Body"/>
    <w:basedOn w:val="Normal"/>
    <w:link w:val="RTDBodyChar"/>
    <w:qFormat/>
    <w:rsid w:val="00635D40"/>
    <w:pPr>
      <w:suppressAutoHyphens w:val="0"/>
      <w:spacing w:after="240" w:line="240" w:lineRule="auto"/>
      <w:jc w:val="both"/>
    </w:pPr>
    <w:rPr>
      <w:rFonts w:ascii="Verdana" w:eastAsia="Times New Roman" w:hAnsi="Verdana" w:cs="Times New Roman"/>
      <w:kern w:val="0"/>
      <w:sz w:val="19"/>
      <w:szCs w:val="19"/>
      <w:lang w:val="en-GB" w:eastAsia="nl-BE"/>
    </w:rPr>
  </w:style>
  <w:style w:type="character" w:customStyle="1" w:styleId="RTDBodyChar">
    <w:name w:val="RTD Body Char"/>
    <w:link w:val="RTDBody"/>
    <w:rsid w:val="00635D40"/>
    <w:rPr>
      <w:rFonts w:ascii="Verdana" w:hAnsi="Verdana"/>
      <w:sz w:val="19"/>
      <w:szCs w:val="19"/>
      <w:lang w:eastAsia="nl-BE"/>
    </w:rPr>
  </w:style>
  <w:style w:type="character" w:customStyle="1" w:styleId="apple-converted-space">
    <w:name w:val="apple-converted-space"/>
    <w:basedOn w:val="DefaultParagraphFont"/>
    <w:rsid w:val="006063F1"/>
  </w:style>
  <w:style w:type="character" w:customStyle="1" w:styleId="st1">
    <w:name w:val="st1"/>
    <w:basedOn w:val="DefaultParagraphFont"/>
    <w:rsid w:val="006063F1"/>
  </w:style>
  <w:style w:type="paragraph" w:customStyle="1" w:styleId="Pa30">
    <w:name w:val="Pa30"/>
    <w:basedOn w:val="Default"/>
    <w:next w:val="Default"/>
    <w:uiPriority w:val="99"/>
    <w:rsid w:val="00176933"/>
    <w:pPr>
      <w:suppressAutoHyphens w:val="0"/>
      <w:autoSpaceDE w:val="0"/>
      <w:autoSpaceDN w:val="0"/>
      <w:adjustRightInd w:val="0"/>
      <w:spacing w:line="141" w:lineRule="atLeast"/>
    </w:pPr>
    <w:rPr>
      <w:rFonts w:ascii="Proxima Nova Cond Medium" w:eastAsia="Times New Roman" w:hAnsi="Proxima Nova Cond Medium"/>
      <w:color w:val="auto"/>
      <w:kern w:val="0"/>
      <w:lang w:val="en-GB" w:eastAsia="en-GB"/>
    </w:rPr>
  </w:style>
  <w:style w:type="paragraph" w:customStyle="1" w:styleId="Pa28">
    <w:name w:val="Pa28"/>
    <w:basedOn w:val="Default"/>
    <w:next w:val="Default"/>
    <w:uiPriority w:val="99"/>
    <w:rsid w:val="00176933"/>
    <w:pPr>
      <w:suppressAutoHyphens w:val="0"/>
      <w:autoSpaceDE w:val="0"/>
      <w:autoSpaceDN w:val="0"/>
      <w:adjustRightInd w:val="0"/>
      <w:spacing w:line="131" w:lineRule="atLeast"/>
    </w:pPr>
    <w:rPr>
      <w:rFonts w:ascii="Proxima Nova Cond Medium" w:eastAsia="Times New Roman" w:hAnsi="Proxima Nova Cond Medium"/>
      <w:color w:val="auto"/>
      <w:kern w:val="0"/>
      <w:lang w:val="en-GB" w:eastAsia="en-GB"/>
    </w:rPr>
  </w:style>
  <w:style w:type="paragraph" w:customStyle="1" w:styleId="TableColumn">
    <w:name w:val="Table Column"/>
    <w:basedOn w:val="Normal"/>
    <w:qFormat/>
    <w:rsid w:val="001703A9"/>
    <w:pPr>
      <w:keepNext/>
      <w:keepLines/>
      <w:tabs>
        <w:tab w:val="left" w:pos="340"/>
        <w:tab w:val="left" w:pos="680"/>
      </w:tabs>
      <w:suppressAutoHyphens w:val="0"/>
      <w:spacing w:before="20" w:after="20" w:line="240" w:lineRule="auto"/>
      <w:jc w:val="center"/>
    </w:pPr>
    <w:rPr>
      <w:rFonts w:ascii="Arial Narrow" w:eastAsia="SimSun" w:hAnsi="Arial Narrow" w:cs="Arial"/>
      <w:kern w:val="0"/>
      <w:sz w:val="17"/>
      <w:szCs w:val="18"/>
      <w:lang w:val="en-GB"/>
    </w:rPr>
  </w:style>
  <w:style w:type="paragraph" w:customStyle="1" w:styleId="Para">
    <w:name w:val="Para"/>
    <w:basedOn w:val="Normal"/>
    <w:link w:val="ParaChar"/>
    <w:uiPriority w:val="3"/>
    <w:qFormat/>
    <w:rsid w:val="001703A9"/>
    <w:pPr>
      <w:suppressAutoHyphens w:val="0"/>
      <w:spacing w:before="120" w:after="120" w:line="240" w:lineRule="auto"/>
      <w:ind w:left="680" w:right="680"/>
      <w:jc w:val="both"/>
    </w:pPr>
    <w:rPr>
      <w:rFonts w:ascii="Times New Roman" w:eastAsia="SimSun" w:hAnsi="Times New Roman" w:cs="Times New Roman"/>
      <w:kern w:val="0"/>
      <w:szCs w:val="20"/>
      <w:lang w:val="en-GB"/>
    </w:rPr>
  </w:style>
  <w:style w:type="character" w:customStyle="1" w:styleId="ParaChar">
    <w:name w:val="Para Char"/>
    <w:basedOn w:val="DefaultParagraphFont"/>
    <w:link w:val="Para"/>
    <w:uiPriority w:val="3"/>
    <w:rsid w:val="001703A9"/>
    <w:rPr>
      <w:rFonts w:eastAsia="SimSun"/>
      <w:sz w:val="22"/>
      <w:lang w:eastAsia="en-US"/>
    </w:rPr>
  </w:style>
  <w:style w:type="paragraph" w:customStyle="1" w:styleId="Sourcenotes">
    <w:name w:val="Source &amp; notes"/>
    <w:basedOn w:val="Normal"/>
    <w:qFormat/>
    <w:rsid w:val="001703A9"/>
    <w:pPr>
      <w:keepLines/>
      <w:suppressAutoHyphens w:val="0"/>
      <w:spacing w:before="120" w:after="240" w:line="240" w:lineRule="auto"/>
      <w:ind w:left="680" w:right="680"/>
      <w:contextualSpacing/>
      <w:jc w:val="both"/>
    </w:pPr>
    <w:rPr>
      <w:rFonts w:ascii="Times New Roman" w:eastAsia="SimSun" w:hAnsi="Times New Roman" w:cs="Arial"/>
      <w:kern w:val="0"/>
      <w:sz w:val="18"/>
      <w:szCs w:val="18"/>
      <w:lang w:val="en-GB"/>
    </w:rPr>
  </w:style>
  <w:style w:type="paragraph" w:styleId="NoSpacing">
    <w:name w:val="No Spacing"/>
    <w:qFormat/>
    <w:rsid w:val="00233564"/>
    <w:pPr>
      <w:suppressAutoHyphens/>
    </w:pPr>
    <w:rPr>
      <w:rFonts w:ascii="Calibri" w:eastAsia="Calibri" w:hAnsi="Calibri" w:cs="font342"/>
      <w:kern w:val="1"/>
      <w:sz w:val="22"/>
      <w:szCs w:val="22"/>
      <w:lang w:val="sr-Latn-ME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0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0F43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D0F43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F43"/>
    <w:rPr>
      <w:rFonts w:ascii="Calibri" w:eastAsiaTheme="minorHAnsi" w:hAnsi="Calibri" w:cstheme="minorBidi"/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D0F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link w:val="BalloonText"/>
    <w:uiPriority w:val="99"/>
    <w:rsid w:val="0008254B"/>
    <w:rPr>
      <w:rFonts w:ascii="Tahoma" w:eastAsia="Calibri" w:hAnsi="Tahoma" w:cs="Tahoma"/>
      <w:kern w:val="1"/>
      <w:sz w:val="16"/>
      <w:szCs w:val="16"/>
      <w:lang w:val="sr-Latn-ME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42EC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412B1"/>
    <w:rPr>
      <w:rFonts w:ascii="Calibri" w:eastAsia="Calibri" w:hAnsi="Calibri" w:cs="font332"/>
      <w:kern w:val="1"/>
      <w:sz w:val="22"/>
      <w:szCs w:val="22"/>
      <w:lang w:val="sr-Latn-ME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E034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E034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E034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E034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E034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E034D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image" Target="media/image3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diagramData" Target="diagrams/data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chart" Target="charts/chart1.xml"/><Relationship Id="rId33" Type="http://schemas.openxmlformats.org/officeDocument/2006/relationships/image" Target="media/image5.jpeg"/><Relationship Id="rId38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3.xml"/><Relationship Id="rId29" Type="http://schemas.openxmlformats.org/officeDocument/2006/relationships/chart" Target="charts/chart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3.xml"/><Relationship Id="rId32" Type="http://schemas.openxmlformats.org/officeDocument/2006/relationships/chart" Target="charts/chart3.xml"/><Relationship Id="rId37" Type="http://schemas.openxmlformats.org/officeDocument/2006/relationships/diagramColors" Target="diagrams/colors4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28" Type="http://schemas.openxmlformats.org/officeDocument/2006/relationships/footer" Target="footer1.xml"/><Relationship Id="rId36" Type="http://schemas.openxmlformats.org/officeDocument/2006/relationships/diagramQuickStyle" Target="diagrams/quickStyle4.xml"/><Relationship Id="rId10" Type="http://schemas.openxmlformats.org/officeDocument/2006/relationships/diagramLayout" Target="diagrams/layout1.xml"/><Relationship Id="rId19" Type="http://schemas.openxmlformats.org/officeDocument/2006/relationships/image" Target="media/image2.jpg"/><Relationship Id="rId31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QuickStyle" Target="diagrams/quickStyle3.xml"/><Relationship Id="rId27" Type="http://schemas.openxmlformats.org/officeDocument/2006/relationships/header" Target="header1.xml"/><Relationship Id="rId30" Type="http://schemas.openxmlformats.org/officeDocument/2006/relationships/hyperlink" Target="http://www.scimagojr.com" TargetMode="External"/><Relationship Id="rId35" Type="http://schemas.openxmlformats.org/officeDocument/2006/relationships/diagramLayout" Target="diagrams/layou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verig\Expert%20reviews\2018%20Montenegro\Scientific%20potential\Publication%20data%20until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/>
              <a:t>Bruto domaći proizvod po glavi</a:t>
            </a:r>
            <a:r>
              <a:rPr lang="sr-Latn-ME" baseline="0"/>
              <a:t> </a:t>
            </a:r>
            <a:r>
              <a:rPr lang="sr-Latn-ME"/>
              <a:t>stanovnika </a:t>
            </a:r>
            <a:r>
              <a:rPr lang="en-US"/>
              <a:t>BDP/pc (u </a:t>
            </a:r>
            <a:r>
              <a:rPr lang="sr-Latn-ME"/>
              <a:t>hilj</a:t>
            </a:r>
            <a:r>
              <a:rPr lang="en-US"/>
              <a:t>€)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[Book1]Sheet1!$B$28</c:f>
              <c:strCache>
                <c:ptCount val="1"/>
                <c:pt idx="0">
                  <c:v>BDP/pc (u €)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[Book1]Sheet1!$C$27:$M$27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[Book1]Sheet1!$C$28:$M$28</c:f>
              <c:numCache>
                <c:formatCode>#,##0</c:formatCode>
                <c:ptCount val="11"/>
                <c:pt idx="0">
                  <c:v>4282</c:v>
                </c:pt>
                <c:pt idx="1">
                  <c:v>4908</c:v>
                </c:pt>
                <c:pt idx="2">
                  <c:v>4720</c:v>
                </c:pt>
                <c:pt idx="3">
                  <c:v>5045</c:v>
                </c:pt>
                <c:pt idx="4">
                  <c:v>5265</c:v>
                </c:pt>
                <c:pt idx="5">
                  <c:v>5126</c:v>
                </c:pt>
                <c:pt idx="6">
                  <c:v>5413</c:v>
                </c:pt>
                <c:pt idx="7">
                  <c:v>5561</c:v>
                </c:pt>
                <c:pt idx="8">
                  <c:v>5779</c:v>
                </c:pt>
                <c:pt idx="9">
                  <c:v>6354</c:v>
                </c:pt>
                <c:pt idx="10">
                  <c:v>6908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1D-4A0F-83D0-B7ECF59BEC6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85716736"/>
        <c:axId val="194173568"/>
      </c:lineChart>
      <c:catAx>
        <c:axId val="18571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173568"/>
        <c:crosses val="autoZero"/>
        <c:auto val="1"/>
        <c:lblAlgn val="ctr"/>
        <c:lblOffset val="100"/>
        <c:noMultiLvlLbl val="0"/>
      </c:catAx>
      <c:valAx>
        <c:axId val="19417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16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'Papers-time (2008-2014)'!$A$35</c:f>
              <c:strCache>
                <c:ptCount val="1"/>
                <c:pt idx="0">
                  <c:v>Montenegro</c:v>
                </c:pt>
              </c:strCache>
            </c:strRef>
          </c:tx>
          <c:invertIfNegative val="0"/>
          <c:cat>
            <c:numRef>
              <c:f>'Papers-time (2008-2014)'!$G$3:$O$3</c:f>
              <c:numCache>
                <c:formatCode>General</c:formatCode>
                <c:ptCount val="9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</c:numCache>
            </c:numRef>
          </c:cat>
          <c:val>
            <c:numRef>
              <c:f>'Papers-time (2008-2014)'!$G$16:$O$16</c:f>
              <c:numCache>
                <c:formatCode>General</c:formatCode>
                <c:ptCount val="9"/>
                <c:pt idx="0">
                  <c:v>59</c:v>
                </c:pt>
                <c:pt idx="1">
                  <c:v>64</c:v>
                </c:pt>
                <c:pt idx="2">
                  <c:v>94</c:v>
                </c:pt>
                <c:pt idx="3">
                  <c:v>102</c:v>
                </c:pt>
                <c:pt idx="4">
                  <c:v>130</c:v>
                </c:pt>
                <c:pt idx="5">
                  <c:v>155</c:v>
                </c:pt>
                <c:pt idx="6">
                  <c:v>152</c:v>
                </c:pt>
                <c:pt idx="7">
                  <c:v>171</c:v>
                </c:pt>
                <c:pt idx="8">
                  <c:v>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2-4537-844C-9EA491A954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5704448"/>
        <c:axId val="185705984"/>
      </c:barChart>
      <c:catAx>
        <c:axId val="18570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GB" sz="900"/>
            </a:pPr>
            <a:endParaRPr lang="en-US"/>
          </a:p>
        </c:txPr>
        <c:crossAx val="185705984"/>
        <c:crosses val="autoZero"/>
        <c:auto val="1"/>
        <c:lblAlgn val="ctr"/>
        <c:lblOffset val="100"/>
        <c:noMultiLvlLbl val="0"/>
      </c:catAx>
      <c:valAx>
        <c:axId val="185705984"/>
        <c:scaling>
          <c:orientation val="minMax"/>
          <c:max val="2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en-GB" sz="900"/>
            </a:pPr>
            <a:endParaRPr lang="en-US"/>
          </a:p>
        </c:txPr>
        <c:crossAx val="185704448"/>
        <c:crosses val="autoZero"/>
        <c:crossBetween val="between"/>
        <c:majorUnit val="4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Uvedene proizvodne inovacije</c:v>
                </c:pt>
              </c:strCache>
            </c:strRef>
          </c:tx>
          <c:spPr>
            <a:solidFill>
              <a:srgbClr val="7F0D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Albanija</c:v>
                </c:pt>
                <c:pt idx="1">
                  <c:v>Bosna i Hercegovina</c:v>
                </c:pt>
                <c:pt idx="2">
                  <c:v>Hrvatska</c:v>
                </c:pt>
                <c:pt idx="3">
                  <c:v>Kosovo</c:v>
                </c:pt>
                <c:pt idx="4">
                  <c:v>BJR Makedonija</c:v>
                </c:pt>
                <c:pt idx="5">
                  <c:v>Crna Gora</c:v>
                </c:pt>
                <c:pt idx="6">
                  <c:v>Srbija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48</c:v>
                </c:pt>
                <c:pt idx="1">
                  <c:v>65</c:v>
                </c:pt>
                <c:pt idx="2">
                  <c:v>50</c:v>
                </c:pt>
                <c:pt idx="3">
                  <c:v>59</c:v>
                </c:pt>
                <c:pt idx="4">
                  <c:v>57</c:v>
                </c:pt>
                <c:pt idx="5">
                  <c:v>59</c:v>
                </c:pt>
                <c:pt idx="6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3F-4DC9-A0A4-C637FE6ACE0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Uvedene procesne inovacije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Albanija</c:v>
                </c:pt>
                <c:pt idx="1">
                  <c:v>Bosna i Hercegovina</c:v>
                </c:pt>
                <c:pt idx="2">
                  <c:v>Hrvatska</c:v>
                </c:pt>
                <c:pt idx="3">
                  <c:v>Kosovo</c:v>
                </c:pt>
                <c:pt idx="4">
                  <c:v>BJR Makedonija</c:v>
                </c:pt>
                <c:pt idx="5">
                  <c:v>Crna Gora</c:v>
                </c:pt>
                <c:pt idx="6">
                  <c:v>Srbija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50</c:v>
                </c:pt>
                <c:pt idx="1">
                  <c:v>58</c:v>
                </c:pt>
                <c:pt idx="2">
                  <c:v>50</c:v>
                </c:pt>
                <c:pt idx="3">
                  <c:v>37</c:v>
                </c:pt>
                <c:pt idx="4">
                  <c:v>50</c:v>
                </c:pt>
                <c:pt idx="5">
                  <c:v>53</c:v>
                </c:pt>
                <c:pt idx="6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3F-4DC9-A0A4-C637FE6ACE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5760768"/>
        <c:axId val="185762560"/>
      </c:barChart>
      <c:catAx>
        <c:axId val="18576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62560"/>
        <c:crosses val="autoZero"/>
        <c:auto val="1"/>
        <c:lblAlgn val="ctr"/>
        <c:lblOffset val="100"/>
        <c:noMultiLvlLbl val="0"/>
      </c:catAx>
      <c:valAx>
        <c:axId val="185762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607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B275F6-2162-4E1E-8071-858FFDDB393E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31F2F3B-31F1-4658-B3E8-DACCC56B7E43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sr-Latn-ME" sz="1400" b="1"/>
            <a:t>Javni sektor</a:t>
          </a:r>
          <a:endParaRPr lang="en-GB" sz="1400" b="1"/>
        </a:p>
      </dgm:t>
    </dgm:pt>
    <dgm:pt modelId="{025F844B-77F4-4A33-91D3-44A1DBBD7F47}" type="parTrans" cxnId="{47E3CCCE-EDD4-43F7-A1EB-0DB60667F2CC}">
      <dgm:prSet/>
      <dgm:spPr/>
      <dgm:t>
        <a:bodyPr/>
        <a:lstStyle/>
        <a:p>
          <a:pPr algn="ctr"/>
          <a:endParaRPr lang="en-GB"/>
        </a:p>
      </dgm:t>
    </dgm:pt>
    <dgm:pt modelId="{739C9D6D-5C01-49F3-9965-67DB7EAE9C0D}" type="sibTrans" cxnId="{47E3CCCE-EDD4-43F7-A1EB-0DB60667F2CC}">
      <dgm:prSet/>
      <dgm:spPr/>
      <dgm:t>
        <a:bodyPr/>
        <a:lstStyle/>
        <a:p>
          <a:pPr algn="ctr"/>
          <a:endParaRPr lang="en-GB"/>
        </a:p>
      </dgm:t>
    </dgm:pt>
    <dgm:pt modelId="{FC7A2F31-8857-4973-9704-85A949B7EEB8}">
      <dgm:prSet phldrT="[Text]" custT="1"/>
      <dgm:spPr/>
      <dgm:t>
        <a:bodyPr/>
        <a:lstStyle/>
        <a:p>
          <a:pPr algn="ctr"/>
          <a:r>
            <a:rPr lang="sr-Latn-ME" sz="1400" b="1"/>
            <a:t>Privredni sektor</a:t>
          </a:r>
          <a:endParaRPr lang="en-GB" sz="1400" b="1"/>
        </a:p>
      </dgm:t>
    </dgm:pt>
    <dgm:pt modelId="{FAFED2A4-09A1-4AF8-8089-86B6C44F1219}" type="parTrans" cxnId="{00196EB4-0E45-418B-A5E3-461095B3240D}">
      <dgm:prSet/>
      <dgm:spPr/>
      <dgm:t>
        <a:bodyPr/>
        <a:lstStyle/>
        <a:p>
          <a:pPr algn="ctr"/>
          <a:endParaRPr lang="en-GB"/>
        </a:p>
      </dgm:t>
    </dgm:pt>
    <dgm:pt modelId="{5CD2D60B-2345-40A0-8ADA-D67F86919440}" type="sibTrans" cxnId="{00196EB4-0E45-418B-A5E3-461095B3240D}">
      <dgm:prSet/>
      <dgm:spPr/>
      <dgm:t>
        <a:bodyPr/>
        <a:lstStyle/>
        <a:p>
          <a:pPr algn="ctr"/>
          <a:endParaRPr lang="en-GB"/>
        </a:p>
      </dgm:t>
    </dgm:pt>
    <dgm:pt modelId="{BD25B0DC-1019-4805-8112-1AC84E9D9AB4}">
      <dgm:prSet phldrT="[Text]" custT="1"/>
      <dgm:spPr>
        <a:solidFill>
          <a:srgbClr val="92D050"/>
        </a:solidFill>
      </dgm:spPr>
      <dgm:t>
        <a:bodyPr/>
        <a:lstStyle/>
        <a:p>
          <a:pPr algn="ctr"/>
          <a:r>
            <a:rPr lang="sr-Latn-ME" sz="1400" b="1"/>
            <a:t>Civilni sektor</a:t>
          </a:r>
          <a:endParaRPr lang="en-GB" sz="1400" b="1"/>
        </a:p>
      </dgm:t>
    </dgm:pt>
    <dgm:pt modelId="{65F4D630-6E61-4F71-BBA3-A64AE6C913E0}" type="parTrans" cxnId="{C9C25DB1-5E39-4E55-A764-E554500A8552}">
      <dgm:prSet/>
      <dgm:spPr/>
      <dgm:t>
        <a:bodyPr/>
        <a:lstStyle/>
        <a:p>
          <a:pPr algn="ctr"/>
          <a:endParaRPr lang="en-GB"/>
        </a:p>
      </dgm:t>
    </dgm:pt>
    <dgm:pt modelId="{D7C5F014-D74F-4A00-B7DE-1C93EB3F07CB}" type="sibTrans" cxnId="{C9C25DB1-5E39-4E55-A764-E554500A8552}">
      <dgm:prSet/>
      <dgm:spPr/>
      <dgm:t>
        <a:bodyPr/>
        <a:lstStyle/>
        <a:p>
          <a:pPr algn="ctr"/>
          <a:endParaRPr lang="en-GB"/>
        </a:p>
      </dgm:t>
    </dgm:pt>
    <dgm:pt modelId="{E6331368-A53F-4331-A077-7F7E8780DB4D}">
      <dgm:prSet phldrT="[Text]" custT="1"/>
      <dgm:spPr>
        <a:solidFill>
          <a:srgbClr val="FFC000"/>
        </a:solidFill>
      </dgm:spPr>
      <dgm:t>
        <a:bodyPr/>
        <a:lstStyle/>
        <a:p>
          <a:pPr algn="ctr"/>
          <a:r>
            <a:rPr lang="sr-Latn-ME" sz="1400" b="1"/>
            <a:t>Akademski sektor</a:t>
          </a:r>
          <a:endParaRPr lang="en-GB" sz="1400" b="1"/>
        </a:p>
      </dgm:t>
    </dgm:pt>
    <dgm:pt modelId="{9367D41E-8FF8-4D75-825B-EC6953370342}" type="parTrans" cxnId="{94F89F6A-7290-4FF2-9401-3917088B1036}">
      <dgm:prSet/>
      <dgm:spPr/>
      <dgm:t>
        <a:bodyPr/>
        <a:lstStyle/>
        <a:p>
          <a:pPr algn="ctr"/>
          <a:endParaRPr lang="en-GB"/>
        </a:p>
      </dgm:t>
    </dgm:pt>
    <dgm:pt modelId="{8506FB40-47E0-4ABC-A344-97F03DB874D9}" type="sibTrans" cxnId="{94F89F6A-7290-4FF2-9401-3917088B1036}">
      <dgm:prSet/>
      <dgm:spPr/>
      <dgm:t>
        <a:bodyPr/>
        <a:lstStyle/>
        <a:p>
          <a:pPr algn="ctr"/>
          <a:endParaRPr lang="en-GB"/>
        </a:p>
      </dgm:t>
    </dgm:pt>
    <dgm:pt modelId="{E03A331C-3240-4541-A8A6-8A31114C0973}" type="pres">
      <dgm:prSet presAssocID="{21B275F6-2162-4E1E-8071-858FFDDB393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9681835-2794-4413-95DE-EF7AC2D912EF}" type="pres">
      <dgm:prSet presAssocID="{21B275F6-2162-4E1E-8071-858FFDDB393E}" presName="children" presStyleCnt="0"/>
      <dgm:spPr/>
    </dgm:pt>
    <dgm:pt modelId="{CF9C479F-7EFA-487A-82A3-E2FD294371FF}" type="pres">
      <dgm:prSet presAssocID="{21B275F6-2162-4E1E-8071-858FFDDB393E}" presName="childPlaceholder" presStyleCnt="0"/>
      <dgm:spPr/>
    </dgm:pt>
    <dgm:pt modelId="{3494E2FB-CFE6-43CE-8E99-4440FB945B6C}" type="pres">
      <dgm:prSet presAssocID="{21B275F6-2162-4E1E-8071-858FFDDB393E}" presName="circle" presStyleCnt="0"/>
      <dgm:spPr/>
    </dgm:pt>
    <dgm:pt modelId="{8AB78E98-2605-45FD-9101-D24BAE18D387}" type="pres">
      <dgm:prSet presAssocID="{21B275F6-2162-4E1E-8071-858FFDDB393E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32EF1E-6E9F-46C1-BE55-90646C65856E}" type="pres">
      <dgm:prSet presAssocID="{21B275F6-2162-4E1E-8071-858FFDDB393E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67EFCF-A956-465F-B0BF-E8057B0C9F00}" type="pres">
      <dgm:prSet presAssocID="{21B275F6-2162-4E1E-8071-858FFDDB393E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41B33E-B252-4465-AF1A-BED57CC18E72}" type="pres">
      <dgm:prSet presAssocID="{21B275F6-2162-4E1E-8071-858FFDDB393E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7D2AB2-347A-4250-AD85-3FEA9670EA3F}" type="pres">
      <dgm:prSet presAssocID="{21B275F6-2162-4E1E-8071-858FFDDB393E}" presName="quadrantPlaceholder" presStyleCnt="0"/>
      <dgm:spPr/>
    </dgm:pt>
    <dgm:pt modelId="{DF0947A3-14C3-4F7F-9FF7-0872A1C41C5F}" type="pres">
      <dgm:prSet presAssocID="{21B275F6-2162-4E1E-8071-858FFDDB393E}" presName="center1" presStyleLbl="fgShp" presStyleIdx="0" presStyleCnt="2"/>
      <dgm:spPr/>
    </dgm:pt>
    <dgm:pt modelId="{8A2BA797-8F94-4CB8-AC73-229B735ED822}" type="pres">
      <dgm:prSet presAssocID="{21B275F6-2162-4E1E-8071-858FFDDB393E}" presName="center2" presStyleLbl="fgShp" presStyleIdx="1" presStyleCnt="2"/>
      <dgm:spPr/>
    </dgm:pt>
  </dgm:ptLst>
  <dgm:cxnLst>
    <dgm:cxn modelId="{C0FDF7F7-E8FC-419B-B1AF-1E8C0381EF50}" type="presOf" srcId="{E6331368-A53F-4331-A077-7F7E8780DB4D}" destId="{ED41B33E-B252-4465-AF1A-BED57CC18E72}" srcOrd="0" destOrd="0" presId="urn:microsoft.com/office/officeart/2005/8/layout/cycle4"/>
    <dgm:cxn modelId="{47E3CCCE-EDD4-43F7-A1EB-0DB60667F2CC}" srcId="{21B275F6-2162-4E1E-8071-858FFDDB393E}" destId="{131F2F3B-31F1-4658-B3E8-DACCC56B7E43}" srcOrd="0" destOrd="0" parTransId="{025F844B-77F4-4A33-91D3-44A1DBBD7F47}" sibTransId="{739C9D6D-5C01-49F3-9965-67DB7EAE9C0D}"/>
    <dgm:cxn modelId="{00196EB4-0E45-418B-A5E3-461095B3240D}" srcId="{21B275F6-2162-4E1E-8071-858FFDDB393E}" destId="{FC7A2F31-8857-4973-9704-85A949B7EEB8}" srcOrd="1" destOrd="0" parTransId="{FAFED2A4-09A1-4AF8-8089-86B6C44F1219}" sibTransId="{5CD2D60B-2345-40A0-8ADA-D67F86919440}"/>
    <dgm:cxn modelId="{C9C25DB1-5E39-4E55-A764-E554500A8552}" srcId="{21B275F6-2162-4E1E-8071-858FFDDB393E}" destId="{BD25B0DC-1019-4805-8112-1AC84E9D9AB4}" srcOrd="2" destOrd="0" parTransId="{65F4D630-6E61-4F71-BBA3-A64AE6C913E0}" sibTransId="{D7C5F014-D74F-4A00-B7DE-1C93EB3F07CB}"/>
    <dgm:cxn modelId="{2C9D9EBE-7A0B-4EE6-841D-4B928D2F490B}" type="presOf" srcId="{BD25B0DC-1019-4805-8112-1AC84E9D9AB4}" destId="{D067EFCF-A956-465F-B0BF-E8057B0C9F00}" srcOrd="0" destOrd="0" presId="urn:microsoft.com/office/officeart/2005/8/layout/cycle4"/>
    <dgm:cxn modelId="{BE324AA0-6506-4AC2-93D3-B669DA5BDC64}" type="presOf" srcId="{FC7A2F31-8857-4973-9704-85A949B7EEB8}" destId="{2D32EF1E-6E9F-46C1-BE55-90646C65856E}" srcOrd="0" destOrd="0" presId="urn:microsoft.com/office/officeart/2005/8/layout/cycle4"/>
    <dgm:cxn modelId="{94F89F6A-7290-4FF2-9401-3917088B1036}" srcId="{21B275F6-2162-4E1E-8071-858FFDDB393E}" destId="{E6331368-A53F-4331-A077-7F7E8780DB4D}" srcOrd="3" destOrd="0" parTransId="{9367D41E-8FF8-4D75-825B-EC6953370342}" sibTransId="{8506FB40-47E0-4ABC-A344-97F03DB874D9}"/>
    <dgm:cxn modelId="{5ECFED25-7168-4607-8897-9D1523139B50}" type="presOf" srcId="{131F2F3B-31F1-4658-B3E8-DACCC56B7E43}" destId="{8AB78E98-2605-45FD-9101-D24BAE18D387}" srcOrd="0" destOrd="0" presId="urn:microsoft.com/office/officeart/2005/8/layout/cycle4"/>
    <dgm:cxn modelId="{55A17A5F-9089-4CEC-B5F1-8C13091253E4}" type="presOf" srcId="{21B275F6-2162-4E1E-8071-858FFDDB393E}" destId="{E03A331C-3240-4541-A8A6-8A31114C0973}" srcOrd="0" destOrd="0" presId="urn:microsoft.com/office/officeart/2005/8/layout/cycle4"/>
    <dgm:cxn modelId="{EC04E7E5-95D6-4C8A-B074-2E0AD3E6CC72}" type="presParOf" srcId="{E03A331C-3240-4541-A8A6-8A31114C0973}" destId="{F9681835-2794-4413-95DE-EF7AC2D912EF}" srcOrd="0" destOrd="0" presId="urn:microsoft.com/office/officeart/2005/8/layout/cycle4"/>
    <dgm:cxn modelId="{7D14E8AC-887F-4E72-B3FB-4FCF31756BBC}" type="presParOf" srcId="{F9681835-2794-4413-95DE-EF7AC2D912EF}" destId="{CF9C479F-7EFA-487A-82A3-E2FD294371FF}" srcOrd="0" destOrd="0" presId="urn:microsoft.com/office/officeart/2005/8/layout/cycle4"/>
    <dgm:cxn modelId="{DAD96633-1875-4D4C-9290-200E627DFF89}" type="presParOf" srcId="{E03A331C-3240-4541-A8A6-8A31114C0973}" destId="{3494E2FB-CFE6-43CE-8E99-4440FB945B6C}" srcOrd="1" destOrd="0" presId="urn:microsoft.com/office/officeart/2005/8/layout/cycle4"/>
    <dgm:cxn modelId="{C25DA450-742C-4D6D-9CD4-C205B807AA5E}" type="presParOf" srcId="{3494E2FB-CFE6-43CE-8E99-4440FB945B6C}" destId="{8AB78E98-2605-45FD-9101-D24BAE18D387}" srcOrd="0" destOrd="0" presId="urn:microsoft.com/office/officeart/2005/8/layout/cycle4"/>
    <dgm:cxn modelId="{70A3C3BE-A99F-42F9-8D92-428252A9190E}" type="presParOf" srcId="{3494E2FB-CFE6-43CE-8E99-4440FB945B6C}" destId="{2D32EF1E-6E9F-46C1-BE55-90646C65856E}" srcOrd="1" destOrd="0" presId="urn:microsoft.com/office/officeart/2005/8/layout/cycle4"/>
    <dgm:cxn modelId="{D0303F75-0323-43DD-A63F-8E973D491322}" type="presParOf" srcId="{3494E2FB-CFE6-43CE-8E99-4440FB945B6C}" destId="{D067EFCF-A956-465F-B0BF-E8057B0C9F00}" srcOrd="2" destOrd="0" presId="urn:microsoft.com/office/officeart/2005/8/layout/cycle4"/>
    <dgm:cxn modelId="{6B4617A6-B38D-47A0-A3EB-BC45A708223B}" type="presParOf" srcId="{3494E2FB-CFE6-43CE-8E99-4440FB945B6C}" destId="{ED41B33E-B252-4465-AF1A-BED57CC18E72}" srcOrd="3" destOrd="0" presId="urn:microsoft.com/office/officeart/2005/8/layout/cycle4"/>
    <dgm:cxn modelId="{FA652866-72C4-4C91-A80C-A8E889E738DA}" type="presParOf" srcId="{3494E2FB-CFE6-43CE-8E99-4440FB945B6C}" destId="{DC7D2AB2-347A-4250-AD85-3FEA9670EA3F}" srcOrd="4" destOrd="0" presId="urn:microsoft.com/office/officeart/2005/8/layout/cycle4"/>
    <dgm:cxn modelId="{CEE97000-EA3C-49F6-A2CD-15BCB7157E50}" type="presParOf" srcId="{E03A331C-3240-4541-A8A6-8A31114C0973}" destId="{DF0947A3-14C3-4F7F-9FF7-0872A1C41C5F}" srcOrd="2" destOrd="0" presId="urn:microsoft.com/office/officeart/2005/8/layout/cycle4"/>
    <dgm:cxn modelId="{8C7FA7BC-1BDF-42D7-9234-20DDB57DA27A}" type="presParOf" srcId="{E03A331C-3240-4541-A8A6-8A31114C0973}" destId="{8A2BA797-8F94-4CB8-AC73-229B735ED822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819D67-17BF-4AFA-A66F-69C70C7153D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13A712C-DDB7-4D7A-AF9F-889710F853FE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sr-Latn-RS" sz="1100"/>
            <a:t>S3 operativni tim + akademski sektor</a:t>
          </a:r>
        </a:p>
        <a:p>
          <a:pPr algn="ctr"/>
          <a:r>
            <a:rPr lang="sr-Latn-RS" sz="1100"/>
            <a:t>(visoki predstavnici sva četiri univerziteta)</a:t>
          </a:r>
          <a:endParaRPr lang="en-US" sz="1100"/>
        </a:p>
      </dgm:t>
    </dgm:pt>
    <dgm:pt modelId="{82A5193B-6BDD-4453-8706-F17B90B9899D}" type="parTrans" cxnId="{5E5CE4DC-4E1A-4941-B57D-D5853C2293FD}">
      <dgm:prSet/>
      <dgm:spPr/>
      <dgm:t>
        <a:bodyPr/>
        <a:lstStyle/>
        <a:p>
          <a:pPr algn="ctr"/>
          <a:endParaRPr lang="en-US"/>
        </a:p>
      </dgm:t>
    </dgm:pt>
    <dgm:pt modelId="{53D89621-64BC-48CF-8453-A76D8DD14002}" type="sibTrans" cxnId="{5E5CE4DC-4E1A-4941-B57D-D5853C2293FD}">
      <dgm:prSet/>
      <dgm:spPr/>
      <dgm:t>
        <a:bodyPr/>
        <a:lstStyle/>
        <a:p>
          <a:pPr algn="ctr"/>
          <a:endParaRPr lang="en-US"/>
        </a:p>
      </dgm:t>
    </dgm:pt>
    <dgm:pt modelId="{266D508C-5BDA-4EBC-8D93-1E8CFC0C3F5E}">
      <dgm:prSet phldrT="[Text]" custT="1"/>
      <dgm:spPr>
        <a:solidFill>
          <a:schemeClr val="accent5"/>
        </a:solidFill>
      </dgm:spPr>
      <dgm:t>
        <a:bodyPr/>
        <a:lstStyle/>
        <a:p>
          <a:pPr algn="ctr"/>
          <a:r>
            <a:rPr lang="sr-Latn-RS" sz="1100"/>
            <a:t>S3 fokusne grupe (eksperti sa univerziteta, Privredna komora CG, Unija poslodavaca, Montengro biznis alijansa, kompanije i klasteri iz prioritetnih sektora)</a:t>
          </a:r>
          <a:endParaRPr lang="en-US" sz="1100"/>
        </a:p>
      </dgm:t>
    </dgm:pt>
    <dgm:pt modelId="{83EF0393-AA34-42B3-A24C-78195C550116}" type="parTrans" cxnId="{3ABF7F28-3A36-4FAE-8147-D1577CD7E33A}">
      <dgm:prSet/>
      <dgm:spPr/>
      <dgm:t>
        <a:bodyPr/>
        <a:lstStyle/>
        <a:p>
          <a:pPr algn="ctr"/>
          <a:endParaRPr lang="en-US"/>
        </a:p>
      </dgm:t>
    </dgm:pt>
    <dgm:pt modelId="{B95734E8-E7E3-48F7-A043-1102DEA15D78}" type="sibTrans" cxnId="{3ABF7F28-3A36-4FAE-8147-D1577CD7E33A}">
      <dgm:prSet/>
      <dgm:spPr/>
      <dgm:t>
        <a:bodyPr/>
        <a:lstStyle/>
        <a:p>
          <a:pPr algn="ctr"/>
          <a:endParaRPr lang="en-US"/>
        </a:p>
      </dgm:t>
    </dgm:pt>
    <dgm:pt modelId="{28B19C2F-4909-4784-BF48-B0EF5E2A4930}">
      <dgm:prSet custT="1"/>
      <dgm:spPr/>
      <dgm:t>
        <a:bodyPr/>
        <a:lstStyle/>
        <a:p>
          <a:pPr algn="ctr"/>
          <a:r>
            <a:rPr lang="sr-Latn-RS" sz="1100"/>
            <a:t>Interresorna radna grupa </a:t>
          </a:r>
        </a:p>
        <a:p>
          <a:pPr algn="ctr"/>
          <a:r>
            <a:rPr lang="sr-Latn-RS" sz="1100"/>
            <a:t>(predstavnici CANU, MONSTAT, četiri univerziteta, Privredna komora, Unija poslodavaca, Montenegro biznis alijansa, NVO i predstavnici 10 ministarstava)</a:t>
          </a:r>
          <a:endParaRPr lang="en-US" sz="1100"/>
        </a:p>
      </dgm:t>
    </dgm:pt>
    <dgm:pt modelId="{6D86A1B4-BB6C-4020-AE8D-14971D34FB2E}" type="parTrans" cxnId="{AD2925BA-AB67-4D8C-90AE-67428ACE03CF}">
      <dgm:prSet/>
      <dgm:spPr/>
      <dgm:t>
        <a:bodyPr/>
        <a:lstStyle/>
        <a:p>
          <a:pPr algn="ctr"/>
          <a:endParaRPr lang="en-US"/>
        </a:p>
      </dgm:t>
    </dgm:pt>
    <dgm:pt modelId="{1C969D3C-BE03-4E75-B7EC-AFD4F18167FA}" type="sibTrans" cxnId="{AD2925BA-AB67-4D8C-90AE-67428ACE03CF}">
      <dgm:prSet/>
      <dgm:spPr/>
      <dgm:t>
        <a:bodyPr/>
        <a:lstStyle/>
        <a:p>
          <a:pPr algn="ctr"/>
          <a:endParaRPr lang="en-US"/>
        </a:p>
      </dgm:t>
    </dgm:pt>
    <dgm:pt modelId="{ECA2A61D-E03D-45DA-8481-CC43628FBD8A}">
      <dgm:prSet custT="1"/>
      <dgm:spPr>
        <a:solidFill>
          <a:srgbClr val="FFC000"/>
        </a:solidFill>
      </dgm:spPr>
      <dgm:t>
        <a:bodyPr/>
        <a:lstStyle/>
        <a:p>
          <a:pPr algn="ctr"/>
          <a:r>
            <a:rPr lang="sr-Latn-RS" sz="1100">
              <a:solidFill>
                <a:srgbClr val="002060"/>
              </a:solidFill>
            </a:rPr>
            <a:t>Javna rasprava na temu S3</a:t>
          </a:r>
          <a:endParaRPr lang="en-US" sz="1100">
            <a:solidFill>
              <a:srgbClr val="002060"/>
            </a:solidFill>
          </a:endParaRPr>
        </a:p>
      </dgm:t>
    </dgm:pt>
    <dgm:pt modelId="{3FAE1418-8A0D-4BF1-BD0F-5BEBF2A5598B}" type="parTrans" cxnId="{159D016D-F4E4-43F8-A776-5BDCCC21E84C}">
      <dgm:prSet/>
      <dgm:spPr/>
      <dgm:t>
        <a:bodyPr/>
        <a:lstStyle/>
        <a:p>
          <a:pPr algn="ctr"/>
          <a:endParaRPr lang="en-US"/>
        </a:p>
      </dgm:t>
    </dgm:pt>
    <dgm:pt modelId="{813209DA-B5EF-4A91-96CF-905838B41B61}" type="sibTrans" cxnId="{159D016D-F4E4-43F8-A776-5BDCCC21E84C}">
      <dgm:prSet/>
      <dgm:spPr/>
      <dgm:t>
        <a:bodyPr/>
        <a:lstStyle/>
        <a:p>
          <a:pPr algn="ctr"/>
          <a:endParaRPr lang="en-US"/>
        </a:p>
      </dgm:t>
    </dgm:pt>
    <dgm:pt modelId="{03E2AE6E-3AC7-458F-80AD-763A09B1E940}">
      <dgm:prSet custT="1"/>
      <dgm:spPr/>
      <dgm:t>
        <a:bodyPr/>
        <a:lstStyle/>
        <a:p>
          <a:pPr algn="ctr"/>
          <a:r>
            <a:rPr lang="sr-Latn-RS" sz="1100"/>
            <a:t>Savjet za naučnoistraživačku djelatnost </a:t>
          </a:r>
        </a:p>
        <a:p>
          <a:pPr algn="ctr"/>
          <a:r>
            <a:rPr lang="sr-Latn-RS" sz="1100"/>
            <a:t>(daje mišljenje na S3)</a:t>
          </a:r>
          <a:endParaRPr lang="en-US" sz="1100"/>
        </a:p>
      </dgm:t>
    </dgm:pt>
    <dgm:pt modelId="{CB2DC8D0-83AA-42F0-9309-213398852A5B}" type="parTrans" cxnId="{DC32D54C-F9D4-4E54-B5F3-3BED87E93841}">
      <dgm:prSet/>
      <dgm:spPr/>
      <dgm:t>
        <a:bodyPr/>
        <a:lstStyle/>
        <a:p>
          <a:pPr algn="ctr"/>
          <a:endParaRPr lang="en-US"/>
        </a:p>
      </dgm:t>
    </dgm:pt>
    <dgm:pt modelId="{CBD9CEA8-7E93-4022-9811-9986467367AF}" type="sibTrans" cxnId="{DC32D54C-F9D4-4E54-B5F3-3BED87E93841}">
      <dgm:prSet/>
      <dgm:spPr/>
      <dgm:t>
        <a:bodyPr/>
        <a:lstStyle/>
        <a:p>
          <a:pPr algn="ctr"/>
          <a:endParaRPr lang="en-US"/>
        </a:p>
      </dgm:t>
    </dgm:pt>
    <dgm:pt modelId="{AD7744FD-B1E5-4818-92C3-31E6C3FE3A13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sr-Latn-RS" sz="1100"/>
            <a:t>Ministarstvo nauke i Ministarstvo ekonomije</a:t>
          </a:r>
        </a:p>
        <a:p>
          <a:pPr algn="ctr"/>
          <a:r>
            <a:rPr lang="sr-Latn-RS" sz="1100"/>
            <a:t>(S3 Operativni tim za razvoj strategije)</a:t>
          </a:r>
          <a:endParaRPr lang="en-US" sz="1100"/>
        </a:p>
      </dgm:t>
    </dgm:pt>
    <dgm:pt modelId="{6B6AE4CE-9F72-4BC0-8C97-70622C36F194}" type="sibTrans" cxnId="{86CBD986-B4C8-46EE-AE90-073816F50B15}">
      <dgm:prSet/>
      <dgm:spPr/>
      <dgm:t>
        <a:bodyPr/>
        <a:lstStyle/>
        <a:p>
          <a:pPr algn="ctr"/>
          <a:endParaRPr lang="en-US"/>
        </a:p>
      </dgm:t>
    </dgm:pt>
    <dgm:pt modelId="{196DA5B6-52C8-4DE9-8B99-7E84E595ECD2}" type="parTrans" cxnId="{86CBD986-B4C8-46EE-AE90-073816F50B15}">
      <dgm:prSet/>
      <dgm:spPr/>
      <dgm:t>
        <a:bodyPr/>
        <a:lstStyle/>
        <a:p>
          <a:pPr algn="ctr"/>
          <a:endParaRPr lang="en-US"/>
        </a:p>
      </dgm:t>
    </dgm:pt>
    <dgm:pt modelId="{EFF70C74-A5E0-4E15-9389-91E797E661C0}" type="pres">
      <dgm:prSet presAssocID="{5D819D67-17BF-4AFA-A66F-69C70C7153D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F753714-5651-4DD6-9D86-717B8C20A06C}" type="pres">
      <dgm:prSet presAssocID="{AD7744FD-B1E5-4818-92C3-31E6C3FE3A13}" presName="hierRoot1" presStyleCnt="0">
        <dgm:presLayoutVars>
          <dgm:hierBranch val="init"/>
        </dgm:presLayoutVars>
      </dgm:prSet>
      <dgm:spPr/>
    </dgm:pt>
    <dgm:pt modelId="{79A07E0E-54BF-49ED-82B4-93D63DD44F46}" type="pres">
      <dgm:prSet presAssocID="{AD7744FD-B1E5-4818-92C3-31E6C3FE3A13}" presName="rootComposite1" presStyleCnt="0"/>
      <dgm:spPr/>
    </dgm:pt>
    <dgm:pt modelId="{A1A23A66-16FC-4859-9EDA-8FA05427846C}" type="pres">
      <dgm:prSet presAssocID="{AD7744FD-B1E5-4818-92C3-31E6C3FE3A13}" presName="rootText1" presStyleLbl="node0" presStyleIdx="0" presStyleCnt="1" custScaleX="169305" custScaleY="2828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8067C1-1AB8-493C-985A-4752806DD151}" type="pres">
      <dgm:prSet presAssocID="{AD7744FD-B1E5-4818-92C3-31E6C3FE3A1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F876A4F-F1C3-4F07-80D4-E8CCA6FEA3BD}" type="pres">
      <dgm:prSet presAssocID="{AD7744FD-B1E5-4818-92C3-31E6C3FE3A13}" presName="hierChild2" presStyleCnt="0"/>
      <dgm:spPr/>
    </dgm:pt>
    <dgm:pt modelId="{3F48333A-5000-4B71-A69F-22011B1750D6}" type="pres">
      <dgm:prSet presAssocID="{82A5193B-6BDD-4453-8706-F17B90B9899D}" presName="Name37" presStyleLbl="parChTrans1D2" presStyleIdx="0" presStyleCnt="2"/>
      <dgm:spPr/>
      <dgm:t>
        <a:bodyPr/>
        <a:lstStyle/>
        <a:p>
          <a:endParaRPr lang="en-US"/>
        </a:p>
      </dgm:t>
    </dgm:pt>
    <dgm:pt modelId="{CBA6C734-CC32-475E-BC23-80A84B8EF9D3}" type="pres">
      <dgm:prSet presAssocID="{413A712C-DDB7-4D7A-AF9F-889710F853FE}" presName="hierRoot2" presStyleCnt="0">
        <dgm:presLayoutVars>
          <dgm:hierBranch val="init"/>
        </dgm:presLayoutVars>
      </dgm:prSet>
      <dgm:spPr/>
    </dgm:pt>
    <dgm:pt modelId="{FF334787-63CC-4322-B45C-B4EAE6B71EE5}" type="pres">
      <dgm:prSet presAssocID="{413A712C-DDB7-4D7A-AF9F-889710F853FE}" presName="rootComposite" presStyleCnt="0"/>
      <dgm:spPr/>
    </dgm:pt>
    <dgm:pt modelId="{68461B9E-C930-4B31-944B-0A7564575651}" type="pres">
      <dgm:prSet presAssocID="{413A712C-DDB7-4D7A-AF9F-889710F853FE}" presName="rootText" presStyleLbl="node2" presStyleIdx="0" presStyleCnt="2" custScaleX="132197" custScaleY="275836" custLinFactNeighborX="-41015" custLinFactNeighborY="-39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C0B27B-84C6-464A-8C85-A91C951692E8}" type="pres">
      <dgm:prSet presAssocID="{413A712C-DDB7-4D7A-AF9F-889710F853FE}" presName="rootConnector" presStyleLbl="node2" presStyleIdx="0" presStyleCnt="2"/>
      <dgm:spPr/>
      <dgm:t>
        <a:bodyPr/>
        <a:lstStyle/>
        <a:p>
          <a:endParaRPr lang="en-US"/>
        </a:p>
      </dgm:t>
    </dgm:pt>
    <dgm:pt modelId="{5A1804F4-3CD4-4B01-B0A5-703E38394332}" type="pres">
      <dgm:prSet presAssocID="{413A712C-DDB7-4D7A-AF9F-889710F853FE}" presName="hierChild4" presStyleCnt="0"/>
      <dgm:spPr/>
    </dgm:pt>
    <dgm:pt modelId="{09821EF9-1F2E-4734-A507-26D23339D95B}" type="pres">
      <dgm:prSet presAssocID="{413A712C-DDB7-4D7A-AF9F-889710F853FE}" presName="hierChild5" presStyleCnt="0"/>
      <dgm:spPr/>
    </dgm:pt>
    <dgm:pt modelId="{5354D47E-32FC-4B78-8F56-95DAEAE8A7B8}" type="pres">
      <dgm:prSet presAssocID="{83EF0393-AA34-42B3-A24C-78195C550116}" presName="Name37" presStyleLbl="parChTrans1D2" presStyleIdx="1" presStyleCnt="2"/>
      <dgm:spPr/>
      <dgm:t>
        <a:bodyPr/>
        <a:lstStyle/>
        <a:p>
          <a:endParaRPr lang="en-US"/>
        </a:p>
      </dgm:t>
    </dgm:pt>
    <dgm:pt modelId="{B1F286E7-A56B-44E8-9337-3A6EA7832EBA}" type="pres">
      <dgm:prSet presAssocID="{266D508C-5BDA-4EBC-8D93-1E8CFC0C3F5E}" presName="hierRoot2" presStyleCnt="0">
        <dgm:presLayoutVars>
          <dgm:hierBranch/>
        </dgm:presLayoutVars>
      </dgm:prSet>
      <dgm:spPr/>
    </dgm:pt>
    <dgm:pt modelId="{FCB50610-2FF8-4C71-BF8E-BE7D8F475213}" type="pres">
      <dgm:prSet presAssocID="{266D508C-5BDA-4EBC-8D93-1E8CFC0C3F5E}" presName="rootComposite" presStyleCnt="0"/>
      <dgm:spPr/>
    </dgm:pt>
    <dgm:pt modelId="{E9157B05-326B-4616-B5C0-B1446004BBDC}" type="pres">
      <dgm:prSet presAssocID="{266D508C-5BDA-4EBC-8D93-1E8CFC0C3F5E}" presName="rootText" presStyleLbl="node2" presStyleIdx="1" presStyleCnt="2" custScaleX="176713" custScaleY="264495" custLinFactNeighborX="56790" custLinFactNeighborY="-31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AD5939-0811-4567-B56D-BFCF96DEA9E0}" type="pres">
      <dgm:prSet presAssocID="{266D508C-5BDA-4EBC-8D93-1E8CFC0C3F5E}" presName="rootConnector" presStyleLbl="node2" presStyleIdx="1" presStyleCnt="2"/>
      <dgm:spPr/>
      <dgm:t>
        <a:bodyPr/>
        <a:lstStyle/>
        <a:p>
          <a:endParaRPr lang="en-US"/>
        </a:p>
      </dgm:t>
    </dgm:pt>
    <dgm:pt modelId="{CC39BCFF-E9D9-44BB-9922-D9192F14FD5E}" type="pres">
      <dgm:prSet presAssocID="{266D508C-5BDA-4EBC-8D93-1E8CFC0C3F5E}" presName="hierChild4" presStyleCnt="0"/>
      <dgm:spPr/>
    </dgm:pt>
    <dgm:pt modelId="{1E57CC15-03F7-432E-A541-44FB4533E84D}" type="pres">
      <dgm:prSet presAssocID="{6D86A1B4-BB6C-4020-AE8D-14971D34FB2E}" presName="Name35" presStyleLbl="parChTrans1D3" presStyleIdx="0" presStyleCnt="1"/>
      <dgm:spPr/>
      <dgm:t>
        <a:bodyPr/>
        <a:lstStyle/>
        <a:p>
          <a:endParaRPr lang="en-US"/>
        </a:p>
      </dgm:t>
    </dgm:pt>
    <dgm:pt modelId="{FBA1538C-24C8-4A4B-A763-20F4FDF8B304}" type="pres">
      <dgm:prSet presAssocID="{28B19C2F-4909-4784-BF48-B0EF5E2A4930}" presName="hierRoot2" presStyleCnt="0">
        <dgm:presLayoutVars>
          <dgm:hierBranch/>
        </dgm:presLayoutVars>
      </dgm:prSet>
      <dgm:spPr/>
    </dgm:pt>
    <dgm:pt modelId="{16B7BD6B-2C52-41F5-8F12-469A0AF85570}" type="pres">
      <dgm:prSet presAssocID="{28B19C2F-4909-4784-BF48-B0EF5E2A4930}" presName="rootComposite" presStyleCnt="0"/>
      <dgm:spPr/>
    </dgm:pt>
    <dgm:pt modelId="{A8BA4304-6FC7-410B-A4EF-102A3E215444}" type="pres">
      <dgm:prSet presAssocID="{28B19C2F-4909-4784-BF48-B0EF5E2A4930}" presName="rootText" presStyleLbl="node3" presStyleIdx="0" presStyleCnt="1" custScaleX="217193" custScaleY="240095" custLinFactNeighborX="-47162" custLinFactNeighborY="164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A43AEE-EECD-4E75-B29C-0CC7A076F983}" type="pres">
      <dgm:prSet presAssocID="{28B19C2F-4909-4784-BF48-B0EF5E2A4930}" presName="rootConnector" presStyleLbl="node3" presStyleIdx="0" presStyleCnt="1"/>
      <dgm:spPr/>
      <dgm:t>
        <a:bodyPr/>
        <a:lstStyle/>
        <a:p>
          <a:endParaRPr lang="en-US"/>
        </a:p>
      </dgm:t>
    </dgm:pt>
    <dgm:pt modelId="{10FCBB34-F8C8-4757-AE15-7D493491885B}" type="pres">
      <dgm:prSet presAssocID="{28B19C2F-4909-4784-BF48-B0EF5E2A4930}" presName="hierChild4" presStyleCnt="0"/>
      <dgm:spPr/>
    </dgm:pt>
    <dgm:pt modelId="{72D4C684-EA5C-4C88-A651-DA5E309198A2}" type="pres">
      <dgm:prSet presAssocID="{3FAE1418-8A0D-4BF1-BD0F-5BEBF2A5598B}" presName="Name35" presStyleLbl="parChTrans1D4" presStyleIdx="0" presStyleCnt="2"/>
      <dgm:spPr/>
      <dgm:t>
        <a:bodyPr/>
        <a:lstStyle/>
        <a:p>
          <a:endParaRPr lang="en-US"/>
        </a:p>
      </dgm:t>
    </dgm:pt>
    <dgm:pt modelId="{485A8A60-DCE3-4DAB-8C7D-EE87DBC3ECB0}" type="pres">
      <dgm:prSet presAssocID="{ECA2A61D-E03D-45DA-8481-CC43628FBD8A}" presName="hierRoot2" presStyleCnt="0">
        <dgm:presLayoutVars>
          <dgm:hierBranch/>
        </dgm:presLayoutVars>
      </dgm:prSet>
      <dgm:spPr/>
    </dgm:pt>
    <dgm:pt modelId="{4E35BAEA-6319-4334-B6F5-FE0B5FAF72A0}" type="pres">
      <dgm:prSet presAssocID="{ECA2A61D-E03D-45DA-8481-CC43628FBD8A}" presName="rootComposite" presStyleCnt="0"/>
      <dgm:spPr/>
    </dgm:pt>
    <dgm:pt modelId="{730E31BE-DEBB-471C-A520-2079ADAAD54F}" type="pres">
      <dgm:prSet presAssocID="{ECA2A61D-E03D-45DA-8481-CC43628FBD8A}" presName="rootText" presStyleLbl="node4" presStyleIdx="0" presStyleCnt="2" custScaleX="173737" custScaleY="148424" custLinFactNeighborX="-42916" custLinFactNeighborY="104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76661C-DE31-4540-AC36-98E2242DF451}" type="pres">
      <dgm:prSet presAssocID="{ECA2A61D-E03D-45DA-8481-CC43628FBD8A}" presName="rootConnector" presStyleLbl="node4" presStyleIdx="0" presStyleCnt="2"/>
      <dgm:spPr/>
      <dgm:t>
        <a:bodyPr/>
        <a:lstStyle/>
        <a:p>
          <a:endParaRPr lang="en-US"/>
        </a:p>
      </dgm:t>
    </dgm:pt>
    <dgm:pt modelId="{D5C93459-2325-4835-BB4A-D3489513843A}" type="pres">
      <dgm:prSet presAssocID="{ECA2A61D-E03D-45DA-8481-CC43628FBD8A}" presName="hierChild4" presStyleCnt="0"/>
      <dgm:spPr/>
    </dgm:pt>
    <dgm:pt modelId="{63069E20-2545-4E3D-B40F-09A62C94BDBC}" type="pres">
      <dgm:prSet presAssocID="{CB2DC8D0-83AA-42F0-9309-213398852A5B}" presName="Name35" presStyleLbl="parChTrans1D4" presStyleIdx="1" presStyleCnt="2"/>
      <dgm:spPr/>
      <dgm:t>
        <a:bodyPr/>
        <a:lstStyle/>
        <a:p>
          <a:endParaRPr lang="en-US"/>
        </a:p>
      </dgm:t>
    </dgm:pt>
    <dgm:pt modelId="{BEB9E790-A268-4AF2-8937-F7AE11F18DB8}" type="pres">
      <dgm:prSet presAssocID="{03E2AE6E-3AC7-458F-80AD-763A09B1E940}" presName="hierRoot2" presStyleCnt="0">
        <dgm:presLayoutVars>
          <dgm:hierBranch/>
        </dgm:presLayoutVars>
      </dgm:prSet>
      <dgm:spPr/>
    </dgm:pt>
    <dgm:pt modelId="{AD6B64C3-89E0-4F3A-948A-3A9969A88899}" type="pres">
      <dgm:prSet presAssocID="{03E2AE6E-3AC7-458F-80AD-763A09B1E940}" presName="rootComposite" presStyleCnt="0"/>
      <dgm:spPr/>
    </dgm:pt>
    <dgm:pt modelId="{F763C7A6-8564-4067-B5C3-DC43E48D3651}" type="pres">
      <dgm:prSet presAssocID="{03E2AE6E-3AC7-458F-80AD-763A09B1E940}" presName="rootText" presStyleLbl="node4" presStyleIdx="1" presStyleCnt="2" custScaleX="163258" custScaleY="176834" custLinFactNeighborX="-38636" custLinFactNeighborY="8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7D2EE6-B18A-467A-9B4E-1E6044F6201C}" type="pres">
      <dgm:prSet presAssocID="{03E2AE6E-3AC7-458F-80AD-763A09B1E940}" presName="rootConnector" presStyleLbl="node4" presStyleIdx="1" presStyleCnt="2"/>
      <dgm:spPr/>
      <dgm:t>
        <a:bodyPr/>
        <a:lstStyle/>
        <a:p>
          <a:endParaRPr lang="en-US"/>
        </a:p>
      </dgm:t>
    </dgm:pt>
    <dgm:pt modelId="{7FE92F7C-CE00-4C61-90B9-EEAD5EBBFA33}" type="pres">
      <dgm:prSet presAssocID="{03E2AE6E-3AC7-458F-80AD-763A09B1E940}" presName="hierChild4" presStyleCnt="0"/>
      <dgm:spPr/>
    </dgm:pt>
    <dgm:pt modelId="{BAAF5B83-92C4-4392-AA41-A2DB7B7CEF5F}" type="pres">
      <dgm:prSet presAssocID="{03E2AE6E-3AC7-458F-80AD-763A09B1E940}" presName="hierChild5" presStyleCnt="0"/>
      <dgm:spPr/>
    </dgm:pt>
    <dgm:pt modelId="{EE1D5B71-D4E2-4700-B971-D6A1270E62FA}" type="pres">
      <dgm:prSet presAssocID="{ECA2A61D-E03D-45DA-8481-CC43628FBD8A}" presName="hierChild5" presStyleCnt="0"/>
      <dgm:spPr/>
    </dgm:pt>
    <dgm:pt modelId="{8D23756E-055D-4010-B3BE-1B0F52E354CB}" type="pres">
      <dgm:prSet presAssocID="{28B19C2F-4909-4784-BF48-B0EF5E2A4930}" presName="hierChild5" presStyleCnt="0"/>
      <dgm:spPr/>
    </dgm:pt>
    <dgm:pt modelId="{68155715-0311-4ABC-83B7-AD5187C3B2C0}" type="pres">
      <dgm:prSet presAssocID="{266D508C-5BDA-4EBC-8D93-1E8CFC0C3F5E}" presName="hierChild5" presStyleCnt="0"/>
      <dgm:spPr/>
    </dgm:pt>
    <dgm:pt modelId="{996B11FC-0A21-4B25-8684-1F4E3CEB38BF}" type="pres">
      <dgm:prSet presAssocID="{AD7744FD-B1E5-4818-92C3-31E6C3FE3A13}" presName="hierChild3" presStyleCnt="0"/>
      <dgm:spPr/>
    </dgm:pt>
  </dgm:ptLst>
  <dgm:cxnLst>
    <dgm:cxn modelId="{2DFA4BA0-A98E-4DF4-AEA0-9B102E777416}" type="presOf" srcId="{5D819D67-17BF-4AFA-A66F-69C70C7153DF}" destId="{EFF70C74-A5E0-4E15-9389-91E797E661C0}" srcOrd="0" destOrd="0" presId="urn:microsoft.com/office/officeart/2005/8/layout/orgChart1"/>
    <dgm:cxn modelId="{A6D7FE6C-2083-4E50-8CF1-43AECE39A2D1}" type="presOf" srcId="{03E2AE6E-3AC7-458F-80AD-763A09B1E940}" destId="{FA7D2EE6-B18A-467A-9B4E-1E6044F6201C}" srcOrd="1" destOrd="0" presId="urn:microsoft.com/office/officeart/2005/8/layout/orgChart1"/>
    <dgm:cxn modelId="{AD2925BA-AB67-4D8C-90AE-67428ACE03CF}" srcId="{266D508C-5BDA-4EBC-8D93-1E8CFC0C3F5E}" destId="{28B19C2F-4909-4784-BF48-B0EF5E2A4930}" srcOrd="0" destOrd="0" parTransId="{6D86A1B4-BB6C-4020-AE8D-14971D34FB2E}" sibTransId="{1C969D3C-BE03-4E75-B7EC-AFD4F18167FA}"/>
    <dgm:cxn modelId="{2E829582-25EA-4C8C-84B3-04D103B768C1}" type="presOf" srcId="{82A5193B-6BDD-4453-8706-F17B90B9899D}" destId="{3F48333A-5000-4B71-A69F-22011B1750D6}" srcOrd="0" destOrd="0" presId="urn:microsoft.com/office/officeart/2005/8/layout/orgChart1"/>
    <dgm:cxn modelId="{892167F6-5BED-48B6-97CC-678F60D46F8F}" type="presOf" srcId="{ECA2A61D-E03D-45DA-8481-CC43628FBD8A}" destId="{6076661C-DE31-4540-AC36-98E2242DF451}" srcOrd="1" destOrd="0" presId="urn:microsoft.com/office/officeart/2005/8/layout/orgChart1"/>
    <dgm:cxn modelId="{71876CC3-FBBC-40C1-B17C-272ADE71B981}" type="presOf" srcId="{28B19C2F-4909-4784-BF48-B0EF5E2A4930}" destId="{A8BA4304-6FC7-410B-A4EF-102A3E215444}" srcOrd="0" destOrd="0" presId="urn:microsoft.com/office/officeart/2005/8/layout/orgChart1"/>
    <dgm:cxn modelId="{4E74C7E0-3557-4E88-AC3B-078E4A8E41A8}" type="presOf" srcId="{CB2DC8D0-83AA-42F0-9309-213398852A5B}" destId="{63069E20-2545-4E3D-B40F-09A62C94BDBC}" srcOrd="0" destOrd="0" presId="urn:microsoft.com/office/officeart/2005/8/layout/orgChart1"/>
    <dgm:cxn modelId="{AE8859B4-05EE-47F8-B955-41ADE34A2CC9}" type="presOf" srcId="{83EF0393-AA34-42B3-A24C-78195C550116}" destId="{5354D47E-32FC-4B78-8F56-95DAEAE8A7B8}" srcOrd="0" destOrd="0" presId="urn:microsoft.com/office/officeart/2005/8/layout/orgChart1"/>
    <dgm:cxn modelId="{80B7B13B-018C-45DE-8B88-75C8EBDAD337}" type="presOf" srcId="{413A712C-DDB7-4D7A-AF9F-889710F853FE}" destId="{68461B9E-C930-4B31-944B-0A7564575651}" srcOrd="0" destOrd="0" presId="urn:microsoft.com/office/officeart/2005/8/layout/orgChart1"/>
    <dgm:cxn modelId="{9051F923-DD8A-45BA-9621-5AA64E422591}" type="presOf" srcId="{03E2AE6E-3AC7-458F-80AD-763A09B1E940}" destId="{F763C7A6-8564-4067-B5C3-DC43E48D3651}" srcOrd="0" destOrd="0" presId="urn:microsoft.com/office/officeart/2005/8/layout/orgChart1"/>
    <dgm:cxn modelId="{86CBD986-B4C8-46EE-AE90-073816F50B15}" srcId="{5D819D67-17BF-4AFA-A66F-69C70C7153DF}" destId="{AD7744FD-B1E5-4818-92C3-31E6C3FE3A13}" srcOrd="0" destOrd="0" parTransId="{196DA5B6-52C8-4DE9-8B99-7E84E595ECD2}" sibTransId="{6B6AE4CE-9F72-4BC0-8C97-70622C36F194}"/>
    <dgm:cxn modelId="{05575C89-5BAA-43C6-8D45-FCDE095E05F6}" type="presOf" srcId="{ECA2A61D-E03D-45DA-8481-CC43628FBD8A}" destId="{730E31BE-DEBB-471C-A520-2079ADAAD54F}" srcOrd="0" destOrd="0" presId="urn:microsoft.com/office/officeart/2005/8/layout/orgChart1"/>
    <dgm:cxn modelId="{2B1375C1-0A18-45D5-BCB1-5E531CD375A7}" type="presOf" srcId="{3FAE1418-8A0D-4BF1-BD0F-5BEBF2A5598B}" destId="{72D4C684-EA5C-4C88-A651-DA5E309198A2}" srcOrd="0" destOrd="0" presId="urn:microsoft.com/office/officeart/2005/8/layout/orgChart1"/>
    <dgm:cxn modelId="{6CF4D16F-891E-4D0C-BC7D-6742917BA8D7}" type="presOf" srcId="{266D508C-5BDA-4EBC-8D93-1E8CFC0C3F5E}" destId="{27AD5939-0811-4567-B56D-BFCF96DEA9E0}" srcOrd="1" destOrd="0" presId="urn:microsoft.com/office/officeart/2005/8/layout/orgChart1"/>
    <dgm:cxn modelId="{1B872409-2731-4F3F-9A0B-9EC09FEECF36}" type="presOf" srcId="{AD7744FD-B1E5-4818-92C3-31E6C3FE3A13}" destId="{A1A23A66-16FC-4859-9EDA-8FA05427846C}" srcOrd="0" destOrd="0" presId="urn:microsoft.com/office/officeart/2005/8/layout/orgChart1"/>
    <dgm:cxn modelId="{CA06DC55-8F81-489C-BBAE-CB90FB5D25D0}" type="presOf" srcId="{266D508C-5BDA-4EBC-8D93-1E8CFC0C3F5E}" destId="{E9157B05-326B-4616-B5C0-B1446004BBDC}" srcOrd="0" destOrd="0" presId="urn:microsoft.com/office/officeart/2005/8/layout/orgChart1"/>
    <dgm:cxn modelId="{1A613E3F-6B4C-4039-B774-93A6BAB54011}" type="presOf" srcId="{AD7744FD-B1E5-4818-92C3-31E6C3FE3A13}" destId="{D88067C1-1AB8-493C-985A-4752806DD151}" srcOrd="1" destOrd="0" presId="urn:microsoft.com/office/officeart/2005/8/layout/orgChart1"/>
    <dgm:cxn modelId="{90AC5AAD-B9AB-4DB6-9DCA-62F7334D8FD0}" type="presOf" srcId="{413A712C-DDB7-4D7A-AF9F-889710F853FE}" destId="{58C0B27B-84C6-464A-8C85-A91C951692E8}" srcOrd="1" destOrd="0" presId="urn:microsoft.com/office/officeart/2005/8/layout/orgChart1"/>
    <dgm:cxn modelId="{5E5CE4DC-4E1A-4941-B57D-D5853C2293FD}" srcId="{AD7744FD-B1E5-4818-92C3-31E6C3FE3A13}" destId="{413A712C-DDB7-4D7A-AF9F-889710F853FE}" srcOrd="0" destOrd="0" parTransId="{82A5193B-6BDD-4453-8706-F17B90B9899D}" sibTransId="{53D89621-64BC-48CF-8453-A76D8DD14002}"/>
    <dgm:cxn modelId="{0DB243E1-502A-4BD5-9B57-F60A8345A6FD}" type="presOf" srcId="{28B19C2F-4909-4784-BF48-B0EF5E2A4930}" destId="{65A43AEE-EECD-4E75-B29C-0CC7A076F983}" srcOrd="1" destOrd="0" presId="urn:microsoft.com/office/officeart/2005/8/layout/orgChart1"/>
    <dgm:cxn modelId="{DC32D54C-F9D4-4E54-B5F3-3BED87E93841}" srcId="{ECA2A61D-E03D-45DA-8481-CC43628FBD8A}" destId="{03E2AE6E-3AC7-458F-80AD-763A09B1E940}" srcOrd="0" destOrd="0" parTransId="{CB2DC8D0-83AA-42F0-9309-213398852A5B}" sibTransId="{CBD9CEA8-7E93-4022-9811-9986467367AF}"/>
    <dgm:cxn modelId="{3ABF7F28-3A36-4FAE-8147-D1577CD7E33A}" srcId="{AD7744FD-B1E5-4818-92C3-31E6C3FE3A13}" destId="{266D508C-5BDA-4EBC-8D93-1E8CFC0C3F5E}" srcOrd="1" destOrd="0" parTransId="{83EF0393-AA34-42B3-A24C-78195C550116}" sibTransId="{B95734E8-E7E3-48F7-A043-1102DEA15D78}"/>
    <dgm:cxn modelId="{159D016D-F4E4-43F8-A776-5BDCCC21E84C}" srcId="{28B19C2F-4909-4784-BF48-B0EF5E2A4930}" destId="{ECA2A61D-E03D-45DA-8481-CC43628FBD8A}" srcOrd="0" destOrd="0" parTransId="{3FAE1418-8A0D-4BF1-BD0F-5BEBF2A5598B}" sibTransId="{813209DA-B5EF-4A91-96CF-905838B41B61}"/>
    <dgm:cxn modelId="{650D0FC7-0898-4096-B631-C33AC9E3E582}" type="presOf" srcId="{6D86A1B4-BB6C-4020-AE8D-14971D34FB2E}" destId="{1E57CC15-03F7-432E-A541-44FB4533E84D}" srcOrd="0" destOrd="0" presId="urn:microsoft.com/office/officeart/2005/8/layout/orgChart1"/>
    <dgm:cxn modelId="{F48A67DD-3D67-49DE-8E3A-F2A8AF9E7F04}" type="presParOf" srcId="{EFF70C74-A5E0-4E15-9389-91E797E661C0}" destId="{9F753714-5651-4DD6-9D86-717B8C20A06C}" srcOrd="0" destOrd="0" presId="urn:microsoft.com/office/officeart/2005/8/layout/orgChart1"/>
    <dgm:cxn modelId="{518CE2DB-EDDB-4369-AC9B-AF3423EF40EB}" type="presParOf" srcId="{9F753714-5651-4DD6-9D86-717B8C20A06C}" destId="{79A07E0E-54BF-49ED-82B4-93D63DD44F46}" srcOrd="0" destOrd="0" presId="urn:microsoft.com/office/officeart/2005/8/layout/orgChart1"/>
    <dgm:cxn modelId="{4F64D0F1-5E00-4AA2-AB48-06B6B5F89A80}" type="presParOf" srcId="{79A07E0E-54BF-49ED-82B4-93D63DD44F46}" destId="{A1A23A66-16FC-4859-9EDA-8FA05427846C}" srcOrd="0" destOrd="0" presId="urn:microsoft.com/office/officeart/2005/8/layout/orgChart1"/>
    <dgm:cxn modelId="{99513F3B-950E-4C61-AC07-7C63FD409B10}" type="presParOf" srcId="{79A07E0E-54BF-49ED-82B4-93D63DD44F46}" destId="{D88067C1-1AB8-493C-985A-4752806DD151}" srcOrd="1" destOrd="0" presId="urn:microsoft.com/office/officeart/2005/8/layout/orgChart1"/>
    <dgm:cxn modelId="{FD3393EE-14BA-4036-A157-5F19DC75E4C0}" type="presParOf" srcId="{9F753714-5651-4DD6-9D86-717B8C20A06C}" destId="{6F876A4F-F1C3-4F07-80D4-E8CCA6FEA3BD}" srcOrd="1" destOrd="0" presId="urn:microsoft.com/office/officeart/2005/8/layout/orgChart1"/>
    <dgm:cxn modelId="{1904B6DF-74F3-461A-A3EF-1AEFE157A3F9}" type="presParOf" srcId="{6F876A4F-F1C3-4F07-80D4-E8CCA6FEA3BD}" destId="{3F48333A-5000-4B71-A69F-22011B1750D6}" srcOrd="0" destOrd="0" presId="urn:microsoft.com/office/officeart/2005/8/layout/orgChart1"/>
    <dgm:cxn modelId="{14A66B97-0D3C-4FC9-AFB8-0D0C1DC3A2D5}" type="presParOf" srcId="{6F876A4F-F1C3-4F07-80D4-E8CCA6FEA3BD}" destId="{CBA6C734-CC32-475E-BC23-80A84B8EF9D3}" srcOrd="1" destOrd="0" presId="urn:microsoft.com/office/officeart/2005/8/layout/orgChart1"/>
    <dgm:cxn modelId="{B360C52F-8B93-48AE-AF17-FC7F292233F9}" type="presParOf" srcId="{CBA6C734-CC32-475E-BC23-80A84B8EF9D3}" destId="{FF334787-63CC-4322-B45C-B4EAE6B71EE5}" srcOrd="0" destOrd="0" presId="urn:microsoft.com/office/officeart/2005/8/layout/orgChart1"/>
    <dgm:cxn modelId="{80C55047-38B1-4574-AC55-AAE37D93BF6D}" type="presParOf" srcId="{FF334787-63CC-4322-B45C-B4EAE6B71EE5}" destId="{68461B9E-C930-4B31-944B-0A7564575651}" srcOrd="0" destOrd="0" presId="urn:microsoft.com/office/officeart/2005/8/layout/orgChart1"/>
    <dgm:cxn modelId="{43E81FC7-55B6-479C-9299-8DF33DC71DDD}" type="presParOf" srcId="{FF334787-63CC-4322-B45C-B4EAE6B71EE5}" destId="{58C0B27B-84C6-464A-8C85-A91C951692E8}" srcOrd="1" destOrd="0" presId="urn:microsoft.com/office/officeart/2005/8/layout/orgChart1"/>
    <dgm:cxn modelId="{DC48C86B-322B-4683-976C-39647DA568D1}" type="presParOf" srcId="{CBA6C734-CC32-475E-BC23-80A84B8EF9D3}" destId="{5A1804F4-3CD4-4B01-B0A5-703E38394332}" srcOrd="1" destOrd="0" presId="urn:microsoft.com/office/officeart/2005/8/layout/orgChart1"/>
    <dgm:cxn modelId="{92B0E9CD-A30A-4F6E-B4E5-E03B477D4E79}" type="presParOf" srcId="{CBA6C734-CC32-475E-BC23-80A84B8EF9D3}" destId="{09821EF9-1F2E-4734-A507-26D23339D95B}" srcOrd="2" destOrd="0" presId="urn:microsoft.com/office/officeart/2005/8/layout/orgChart1"/>
    <dgm:cxn modelId="{9ACC05A9-C783-4986-82B5-5E47B5614935}" type="presParOf" srcId="{6F876A4F-F1C3-4F07-80D4-E8CCA6FEA3BD}" destId="{5354D47E-32FC-4B78-8F56-95DAEAE8A7B8}" srcOrd="2" destOrd="0" presId="urn:microsoft.com/office/officeart/2005/8/layout/orgChart1"/>
    <dgm:cxn modelId="{DB2448AA-55AA-4313-B9BB-C468D2216A12}" type="presParOf" srcId="{6F876A4F-F1C3-4F07-80D4-E8CCA6FEA3BD}" destId="{B1F286E7-A56B-44E8-9337-3A6EA7832EBA}" srcOrd="3" destOrd="0" presId="urn:microsoft.com/office/officeart/2005/8/layout/orgChart1"/>
    <dgm:cxn modelId="{DD038052-AFC8-44B1-BEFA-ECD8F2455DB2}" type="presParOf" srcId="{B1F286E7-A56B-44E8-9337-3A6EA7832EBA}" destId="{FCB50610-2FF8-4C71-BF8E-BE7D8F475213}" srcOrd="0" destOrd="0" presId="urn:microsoft.com/office/officeart/2005/8/layout/orgChart1"/>
    <dgm:cxn modelId="{BD7C5E70-1D42-43E9-AE62-61742FEF07ED}" type="presParOf" srcId="{FCB50610-2FF8-4C71-BF8E-BE7D8F475213}" destId="{E9157B05-326B-4616-B5C0-B1446004BBDC}" srcOrd="0" destOrd="0" presId="urn:microsoft.com/office/officeart/2005/8/layout/orgChart1"/>
    <dgm:cxn modelId="{CEB8CC3F-9B07-46FF-BAF6-C097F86B8360}" type="presParOf" srcId="{FCB50610-2FF8-4C71-BF8E-BE7D8F475213}" destId="{27AD5939-0811-4567-B56D-BFCF96DEA9E0}" srcOrd="1" destOrd="0" presId="urn:microsoft.com/office/officeart/2005/8/layout/orgChart1"/>
    <dgm:cxn modelId="{AD6BF444-0687-4A1E-954C-6C03E9A58020}" type="presParOf" srcId="{B1F286E7-A56B-44E8-9337-3A6EA7832EBA}" destId="{CC39BCFF-E9D9-44BB-9922-D9192F14FD5E}" srcOrd="1" destOrd="0" presId="urn:microsoft.com/office/officeart/2005/8/layout/orgChart1"/>
    <dgm:cxn modelId="{AF91D193-5FF0-42B9-856D-6B6D1C980067}" type="presParOf" srcId="{CC39BCFF-E9D9-44BB-9922-D9192F14FD5E}" destId="{1E57CC15-03F7-432E-A541-44FB4533E84D}" srcOrd="0" destOrd="0" presId="urn:microsoft.com/office/officeart/2005/8/layout/orgChart1"/>
    <dgm:cxn modelId="{13AFE1D5-1DEB-4429-8C48-966E731DCE97}" type="presParOf" srcId="{CC39BCFF-E9D9-44BB-9922-D9192F14FD5E}" destId="{FBA1538C-24C8-4A4B-A763-20F4FDF8B304}" srcOrd="1" destOrd="0" presId="urn:microsoft.com/office/officeart/2005/8/layout/orgChart1"/>
    <dgm:cxn modelId="{0621246C-D5AA-4E18-8128-135301E45884}" type="presParOf" srcId="{FBA1538C-24C8-4A4B-A763-20F4FDF8B304}" destId="{16B7BD6B-2C52-41F5-8F12-469A0AF85570}" srcOrd="0" destOrd="0" presId="urn:microsoft.com/office/officeart/2005/8/layout/orgChart1"/>
    <dgm:cxn modelId="{2E13CEF7-FA51-49A3-832F-A0A8EE7C9B88}" type="presParOf" srcId="{16B7BD6B-2C52-41F5-8F12-469A0AF85570}" destId="{A8BA4304-6FC7-410B-A4EF-102A3E215444}" srcOrd="0" destOrd="0" presId="urn:microsoft.com/office/officeart/2005/8/layout/orgChart1"/>
    <dgm:cxn modelId="{0D4F895E-AD72-4F58-B76F-A6F1FF62CC64}" type="presParOf" srcId="{16B7BD6B-2C52-41F5-8F12-469A0AF85570}" destId="{65A43AEE-EECD-4E75-B29C-0CC7A076F983}" srcOrd="1" destOrd="0" presId="urn:microsoft.com/office/officeart/2005/8/layout/orgChart1"/>
    <dgm:cxn modelId="{7DD726DA-E8EC-4A17-9956-0A55CC21D21F}" type="presParOf" srcId="{FBA1538C-24C8-4A4B-A763-20F4FDF8B304}" destId="{10FCBB34-F8C8-4757-AE15-7D493491885B}" srcOrd="1" destOrd="0" presId="urn:microsoft.com/office/officeart/2005/8/layout/orgChart1"/>
    <dgm:cxn modelId="{46EB582E-3D39-41BF-9B65-FECD05F31C66}" type="presParOf" srcId="{10FCBB34-F8C8-4757-AE15-7D493491885B}" destId="{72D4C684-EA5C-4C88-A651-DA5E309198A2}" srcOrd="0" destOrd="0" presId="urn:microsoft.com/office/officeart/2005/8/layout/orgChart1"/>
    <dgm:cxn modelId="{76739259-AE9F-4B00-967B-20ED0EFAEB47}" type="presParOf" srcId="{10FCBB34-F8C8-4757-AE15-7D493491885B}" destId="{485A8A60-DCE3-4DAB-8C7D-EE87DBC3ECB0}" srcOrd="1" destOrd="0" presId="urn:microsoft.com/office/officeart/2005/8/layout/orgChart1"/>
    <dgm:cxn modelId="{2D7C0D92-FA82-4482-BC88-B7E424A6DB4F}" type="presParOf" srcId="{485A8A60-DCE3-4DAB-8C7D-EE87DBC3ECB0}" destId="{4E35BAEA-6319-4334-B6F5-FE0B5FAF72A0}" srcOrd="0" destOrd="0" presId="urn:microsoft.com/office/officeart/2005/8/layout/orgChart1"/>
    <dgm:cxn modelId="{308AAE7D-EF7B-4D8E-8894-7248A296052A}" type="presParOf" srcId="{4E35BAEA-6319-4334-B6F5-FE0B5FAF72A0}" destId="{730E31BE-DEBB-471C-A520-2079ADAAD54F}" srcOrd="0" destOrd="0" presId="urn:microsoft.com/office/officeart/2005/8/layout/orgChart1"/>
    <dgm:cxn modelId="{657374BB-6349-45D3-9A11-AACE632FF9CC}" type="presParOf" srcId="{4E35BAEA-6319-4334-B6F5-FE0B5FAF72A0}" destId="{6076661C-DE31-4540-AC36-98E2242DF451}" srcOrd="1" destOrd="0" presId="urn:microsoft.com/office/officeart/2005/8/layout/orgChart1"/>
    <dgm:cxn modelId="{4B50C05B-0AA2-4547-83BA-F9B151A94785}" type="presParOf" srcId="{485A8A60-DCE3-4DAB-8C7D-EE87DBC3ECB0}" destId="{D5C93459-2325-4835-BB4A-D3489513843A}" srcOrd="1" destOrd="0" presId="urn:microsoft.com/office/officeart/2005/8/layout/orgChart1"/>
    <dgm:cxn modelId="{935C8523-EA50-4F10-A63A-58A862374D08}" type="presParOf" srcId="{D5C93459-2325-4835-BB4A-D3489513843A}" destId="{63069E20-2545-4E3D-B40F-09A62C94BDBC}" srcOrd="0" destOrd="0" presId="urn:microsoft.com/office/officeart/2005/8/layout/orgChart1"/>
    <dgm:cxn modelId="{24BAA9E1-B927-4035-B274-8E20292F921E}" type="presParOf" srcId="{D5C93459-2325-4835-BB4A-D3489513843A}" destId="{BEB9E790-A268-4AF2-8937-F7AE11F18DB8}" srcOrd="1" destOrd="0" presId="urn:microsoft.com/office/officeart/2005/8/layout/orgChart1"/>
    <dgm:cxn modelId="{CA85468E-2A4E-4009-BC44-F1F4CF4D1610}" type="presParOf" srcId="{BEB9E790-A268-4AF2-8937-F7AE11F18DB8}" destId="{AD6B64C3-89E0-4F3A-948A-3A9969A88899}" srcOrd="0" destOrd="0" presId="urn:microsoft.com/office/officeart/2005/8/layout/orgChart1"/>
    <dgm:cxn modelId="{4B5BAD1A-568B-4A56-82E7-18628F853314}" type="presParOf" srcId="{AD6B64C3-89E0-4F3A-948A-3A9969A88899}" destId="{F763C7A6-8564-4067-B5C3-DC43E48D3651}" srcOrd="0" destOrd="0" presId="urn:microsoft.com/office/officeart/2005/8/layout/orgChart1"/>
    <dgm:cxn modelId="{B8417C2C-1915-4A54-B5F2-6870BC007244}" type="presParOf" srcId="{AD6B64C3-89E0-4F3A-948A-3A9969A88899}" destId="{FA7D2EE6-B18A-467A-9B4E-1E6044F6201C}" srcOrd="1" destOrd="0" presId="urn:microsoft.com/office/officeart/2005/8/layout/orgChart1"/>
    <dgm:cxn modelId="{1167CA5C-FC34-4310-9B84-77AA6E06AFC9}" type="presParOf" srcId="{BEB9E790-A268-4AF2-8937-F7AE11F18DB8}" destId="{7FE92F7C-CE00-4C61-90B9-EEAD5EBBFA33}" srcOrd="1" destOrd="0" presId="urn:microsoft.com/office/officeart/2005/8/layout/orgChart1"/>
    <dgm:cxn modelId="{67C95183-F45D-45DB-AC13-C1DAB25525D2}" type="presParOf" srcId="{BEB9E790-A268-4AF2-8937-F7AE11F18DB8}" destId="{BAAF5B83-92C4-4392-AA41-A2DB7B7CEF5F}" srcOrd="2" destOrd="0" presId="urn:microsoft.com/office/officeart/2005/8/layout/orgChart1"/>
    <dgm:cxn modelId="{DEB45F2A-DE08-4E5E-A33D-65152D155803}" type="presParOf" srcId="{485A8A60-DCE3-4DAB-8C7D-EE87DBC3ECB0}" destId="{EE1D5B71-D4E2-4700-B971-D6A1270E62FA}" srcOrd="2" destOrd="0" presId="urn:microsoft.com/office/officeart/2005/8/layout/orgChart1"/>
    <dgm:cxn modelId="{6242D019-ECC4-4003-B8DA-CAB654EA31F1}" type="presParOf" srcId="{FBA1538C-24C8-4A4B-A763-20F4FDF8B304}" destId="{8D23756E-055D-4010-B3BE-1B0F52E354CB}" srcOrd="2" destOrd="0" presId="urn:microsoft.com/office/officeart/2005/8/layout/orgChart1"/>
    <dgm:cxn modelId="{E2C62210-86A7-430A-8F7B-EEB9C30747E7}" type="presParOf" srcId="{B1F286E7-A56B-44E8-9337-3A6EA7832EBA}" destId="{68155715-0311-4ABC-83B7-AD5187C3B2C0}" srcOrd="2" destOrd="0" presId="urn:microsoft.com/office/officeart/2005/8/layout/orgChart1"/>
    <dgm:cxn modelId="{F7C8E679-9FF4-403B-B322-EED520B2E55B}" type="presParOf" srcId="{9F753714-5651-4DD6-9D86-717B8C20A06C}" destId="{996B11FC-0A21-4B25-8684-1F4E3CEB38B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1789919-7B59-4F9C-A0F0-8C58E88BA0D9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4A24680-0622-41D7-AE4F-B6E2E7EFB557}">
      <dgm:prSet phldrT="[Text]"/>
      <dgm:spPr>
        <a:solidFill>
          <a:srgbClr val="00B050"/>
        </a:solidFill>
      </dgm:spPr>
      <dgm:t>
        <a:bodyPr/>
        <a:lstStyle/>
        <a:p>
          <a:pPr algn="ctr"/>
          <a:r>
            <a:rPr lang="sr-Latn-ME"/>
            <a:t>Zdrav</a:t>
          </a:r>
          <a:r>
            <a:rPr lang="en-GB"/>
            <a:t>ij</a:t>
          </a:r>
          <a:r>
            <a:rPr lang="sr-Latn-ME"/>
            <a:t>a</a:t>
          </a:r>
          <a:endParaRPr lang="en-GB"/>
        </a:p>
      </dgm:t>
    </dgm:pt>
    <dgm:pt modelId="{03A661B5-F01B-4145-87A3-17F3D9F4BA67}" type="parTrans" cxnId="{0126EA41-DD1E-4F3C-956F-8451B83EE6FF}">
      <dgm:prSet/>
      <dgm:spPr/>
      <dgm:t>
        <a:bodyPr/>
        <a:lstStyle/>
        <a:p>
          <a:pPr algn="ctr"/>
          <a:endParaRPr lang="en-GB"/>
        </a:p>
      </dgm:t>
    </dgm:pt>
    <dgm:pt modelId="{E83CFF07-3D53-4CD1-A058-2A8164B345E7}" type="sibTrans" cxnId="{0126EA41-DD1E-4F3C-956F-8451B83EE6FF}">
      <dgm:prSet/>
      <dgm:spPr/>
      <dgm:t>
        <a:bodyPr/>
        <a:lstStyle/>
        <a:p>
          <a:pPr algn="ctr"/>
          <a:endParaRPr lang="en-GB"/>
        </a:p>
      </dgm:t>
    </dgm:pt>
    <dgm:pt modelId="{41A7517C-F366-49DA-806E-EC1FA5AE0355}">
      <dgm:prSet phldrT="[Text]"/>
      <dgm:spPr>
        <a:solidFill>
          <a:srgbClr val="FFC000"/>
        </a:solidFill>
      </dgm:spPr>
      <dgm:t>
        <a:bodyPr/>
        <a:lstStyle/>
        <a:p>
          <a:pPr algn="ctr"/>
          <a:r>
            <a:rPr lang="sr-Latn-ME"/>
            <a:t>Održiva</a:t>
          </a:r>
          <a:endParaRPr lang="en-GB"/>
        </a:p>
      </dgm:t>
    </dgm:pt>
    <dgm:pt modelId="{18E926A3-C797-4B68-9170-9F70EAA77E2F}" type="parTrans" cxnId="{F3222BDE-68FE-479C-893C-9A997E2DC509}">
      <dgm:prSet/>
      <dgm:spPr/>
      <dgm:t>
        <a:bodyPr/>
        <a:lstStyle/>
        <a:p>
          <a:pPr algn="ctr"/>
          <a:endParaRPr lang="en-GB"/>
        </a:p>
      </dgm:t>
    </dgm:pt>
    <dgm:pt modelId="{AF482375-D6B9-404F-B5AE-1AAE788300E3}" type="sibTrans" cxnId="{F3222BDE-68FE-479C-893C-9A997E2DC509}">
      <dgm:prSet/>
      <dgm:spPr/>
      <dgm:t>
        <a:bodyPr/>
        <a:lstStyle/>
        <a:p>
          <a:pPr algn="ctr"/>
          <a:endParaRPr lang="en-GB"/>
        </a:p>
      </dgm:t>
    </dgm:pt>
    <dgm:pt modelId="{2A91BF57-BB4D-4F8D-BA61-FD00DA872EE6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pPr algn="ctr"/>
          <a:r>
            <a:rPr lang="sr-Latn-ME"/>
            <a:t>Modernizovana</a:t>
          </a:r>
        </a:p>
        <a:p>
          <a:pPr algn="ctr"/>
          <a:r>
            <a:rPr lang="sr-Latn-ME"/>
            <a:t>i</a:t>
          </a:r>
        </a:p>
        <a:p>
          <a:pPr algn="ctr"/>
          <a:r>
            <a:rPr lang="sr-Latn-ME"/>
            <a:t>digitalizovana</a:t>
          </a:r>
          <a:endParaRPr lang="en-GB"/>
        </a:p>
      </dgm:t>
    </dgm:pt>
    <dgm:pt modelId="{75FB63F3-8E28-4CCB-B000-9CE5CB1C134F}" type="parTrans" cxnId="{29ABB0F4-C541-4E9C-9AA0-DE8EBD367A24}">
      <dgm:prSet/>
      <dgm:spPr/>
      <dgm:t>
        <a:bodyPr/>
        <a:lstStyle/>
        <a:p>
          <a:pPr algn="ctr"/>
          <a:endParaRPr lang="en-GB"/>
        </a:p>
      </dgm:t>
    </dgm:pt>
    <dgm:pt modelId="{5E9305CB-3CF4-4F6D-95E4-92DB291E9CEC}" type="sibTrans" cxnId="{29ABB0F4-C541-4E9C-9AA0-DE8EBD367A24}">
      <dgm:prSet/>
      <dgm:spPr/>
      <dgm:t>
        <a:bodyPr/>
        <a:lstStyle/>
        <a:p>
          <a:pPr algn="ctr"/>
          <a:endParaRPr lang="en-GB"/>
        </a:p>
      </dgm:t>
    </dgm:pt>
    <dgm:pt modelId="{8B5914EA-5CEC-44AC-A78B-B8A2DB788D9A}">
      <dgm:prSet phldrT="[Text]"/>
      <dgm:spPr>
        <a:solidFill>
          <a:srgbClr val="C00000"/>
        </a:solidFill>
      </dgm:spPr>
      <dgm:t>
        <a:bodyPr/>
        <a:lstStyle/>
        <a:p>
          <a:pPr algn="ctr"/>
          <a:r>
            <a:rPr lang="sr-Latn-ME" b="1"/>
            <a:t>Razvijena i konkurentna </a:t>
          </a:r>
          <a:endParaRPr lang="en-GB"/>
        </a:p>
      </dgm:t>
    </dgm:pt>
    <dgm:pt modelId="{0686771F-6077-429C-8290-FB2D8FB2B63D}" type="sibTrans" cxnId="{1C9A4ABB-C508-4A22-BEC8-67A081153EE4}">
      <dgm:prSet/>
      <dgm:spPr/>
      <dgm:t>
        <a:bodyPr/>
        <a:lstStyle/>
        <a:p>
          <a:pPr algn="ctr"/>
          <a:endParaRPr lang="en-GB"/>
        </a:p>
      </dgm:t>
    </dgm:pt>
    <dgm:pt modelId="{AD41320A-4B8A-45DE-BAE4-AA680EE1A253}" type="parTrans" cxnId="{1C9A4ABB-C508-4A22-BEC8-67A081153EE4}">
      <dgm:prSet/>
      <dgm:spPr/>
      <dgm:t>
        <a:bodyPr/>
        <a:lstStyle/>
        <a:p>
          <a:pPr algn="ctr"/>
          <a:endParaRPr lang="en-GB"/>
        </a:p>
      </dgm:t>
    </dgm:pt>
    <dgm:pt modelId="{245019CD-CEFD-4D2C-B0AC-2AD7BEC01CAB}" type="pres">
      <dgm:prSet presAssocID="{91789919-7B59-4F9C-A0F0-8C58E88BA0D9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DEB3D29-2294-4184-83C1-45DD9B407C3B}" type="pres">
      <dgm:prSet presAssocID="{8B5914EA-5CEC-44AC-A78B-B8A2DB788D9A}" presName="roof" presStyleLbl="dkBgShp" presStyleIdx="0" presStyleCnt="2" custLinFactNeighborX="1724" custLinFactNeighborY="551"/>
      <dgm:spPr/>
      <dgm:t>
        <a:bodyPr/>
        <a:lstStyle/>
        <a:p>
          <a:endParaRPr lang="en-US"/>
        </a:p>
      </dgm:t>
    </dgm:pt>
    <dgm:pt modelId="{13377083-2C0A-4969-9494-5AF501CC2969}" type="pres">
      <dgm:prSet presAssocID="{8B5914EA-5CEC-44AC-A78B-B8A2DB788D9A}" presName="pillars" presStyleCnt="0"/>
      <dgm:spPr/>
    </dgm:pt>
    <dgm:pt modelId="{7328DBC3-9D6B-4B87-A09A-59EF7758E76A}" type="pres">
      <dgm:prSet presAssocID="{8B5914EA-5CEC-44AC-A78B-B8A2DB788D9A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C650DE-56ED-4A60-AA8D-D09C5DC2A286}" type="pres">
      <dgm:prSet presAssocID="{41A7517C-F366-49DA-806E-EC1FA5AE0355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BDC19C-140D-4B23-BBCC-470B1C8D8868}" type="pres">
      <dgm:prSet presAssocID="{2A91BF57-BB4D-4F8D-BA61-FD00DA872EE6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B8AC8C-61EE-4C78-90A2-E95C5ACD92FA}" type="pres">
      <dgm:prSet presAssocID="{8B5914EA-5CEC-44AC-A78B-B8A2DB788D9A}" presName="base" presStyleLbl="dkBgShp" presStyleIdx="1" presStyleCnt="2" custFlipVert="1" custScaleY="28365"/>
      <dgm:spPr/>
    </dgm:pt>
  </dgm:ptLst>
  <dgm:cxnLst>
    <dgm:cxn modelId="{F3222BDE-68FE-479C-893C-9A997E2DC509}" srcId="{8B5914EA-5CEC-44AC-A78B-B8A2DB788D9A}" destId="{41A7517C-F366-49DA-806E-EC1FA5AE0355}" srcOrd="1" destOrd="0" parTransId="{18E926A3-C797-4B68-9170-9F70EAA77E2F}" sibTransId="{AF482375-D6B9-404F-B5AE-1AAE788300E3}"/>
    <dgm:cxn modelId="{02453582-29B3-4652-81C1-4D5B392C1980}" type="presOf" srcId="{F4A24680-0622-41D7-AE4F-B6E2E7EFB557}" destId="{7328DBC3-9D6B-4B87-A09A-59EF7758E76A}" srcOrd="0" destOrd="0" presId="urn:microsoft.com/office/officeart/2005/8/layout/hList3"/>
    <dgm:cxn modelId="{89B3DFE5-A468-463B-A02A-2F97B6B50634}" type="presOf" srcId="{91789919-7B59-4F9C-A0F0-8C58E88BA0D9}" destId="{245019CD-CEFD-4D2C-B0AC-2AD7BEC01CAB}" srcOrd="0" destOrd="0" presId="urn:microsoft.com/office/officeart/2005/8/layout/hList3"/>
    <dgm:cxn modelId="{0126EA41-DD1E-4F3C-956F-8451B83EE6FF}" srcId="{8B5914EA-5CEC-44AC-A78B-B8A2DB788D9A}" destId="{F4A24680-0622-41D7-AE4F-B6E2E7EFB557}" srcOrd="0" destOrd="0" parTransId="{03A661B5-F01B-4145-87A3-17F3D9F4BA67}" sibTransId="{E83CFF07-3D53-4CD1-A058-2A8164B345E7}"/>
    <dgm:cxn modelId="{C6544542-0E02-429A-BFAF-562B336A9CBF}" type="presOf" srcId="{41A7517C-F366-49DA-806E-EC1FA5AE0355}" destId="{4DC650DE-56ED-4A60-AA8D-D09C5DC2A286}" srcOrd="0" destOrd="0" presId="urn:microsoft.com/office/officeart/2005/8/layout/hList3"/>
    <dgm:cxn modelId="{0C789D89-F640-48B6-B1C7-84BB1BF4F8F5}" type="presOf" srcId="{2A91BF57-BB4D-4F8D-BA61-FD00DA872EE6}" destId="{35BDC19C-140D-4B23-BBCC-470B1C8D8868}" srcOrd="0" destOrd="0" presId="urn:microsoft.com/office/officeart/2005/8/layout/hList3"/>
    <dgm:cxn modelId="{1C9A4ABB-C508-4A22-BEC8-67A081153EE4}" srcId="{91789919-7B59-4F9C-A0F0-8C58E88BA0D9}" destId="{8B5914EA-5CEC-44AC-A78B-B8A2DB788D9A}" srcOrd="0" destOrd="0" parTransId="{AD41320A-4B8A-45DE-BAE4-AA680EE1A253}" sibTransId="{0686771F-6077-429C-8290-FB2D8FB2B63D}"/>
    <dgm:cxn modelId="{29ABB0F4-C541-4E9C-9AA0-DE8EBD367A24}" srcId="{8B5914EA-5CEC-44AC-A78B-B8A2DB788D9A}" destId="{2A91BF57-BB4D-4F8D-BA61-FD00DA872EE6}" srcOrd="2" destOrd="0" parTransId="{75FB63F3-8E28-4CCB-B000-9CE5CB1C134F}" sibTransId="{5E9305CB-3CF4-4F6D-95E4-92DB291E9CEC}"/>
    <dgm:cxn modelId="{41E0E6BE-C0A6-4E75-A7D8-96DC4E3C7B70}" type="presOf" srcId="{8B5914EA-5CEC-44AC-A78B-B8A2DB788D9A}" destId="{4DEB3D29-2294-4184-83C1-45DD9B407C3B}" srcOrd="0" destOrd="0" presId="urn:microsoft.com/office/officeart/2005/8/layout/hList3"/>
    <dgm:cxn modelId="{D5178CD0-1AE3-4B12-99D1-1A4DC4D44FBE}" type="presParOf" srcId="{245019CD-CEFD-4D2C-B0AC-2AD7BEC01CAB}" destId="{4DEB3D29-2294-4184-83C1-45DD9B407C3B}" srcOrd="0" destOrd="0" presId="urn:microsoft.com/office/officeart/2005/8/layout/hList3"/>
    <dgm:cxn modelId="{D469F165-5BD5-480E-B05E-72616CE483B4}" type="presParOf" srcId="{245019CD-CEFD-4D2C-B0AC-2AD7BEC01CAB}" destId="{13377083-2C0A-4969-9494-5AF501CC2969}" srcOrd="1" destOrd="0" presId="urn:microsoft.com/office/officeart/2005/8/layout/hList3"/>
    <dgm:cxn modelId="{759D3EDD-668B-4FCD-88CE-4A0F8C27864A}" type="presParOf" srcId="{13377083-2C0A-4969-9494-5AF501CC2969}" destId="{7328DBC3-9D6B-4B87-A09A-59EF7758E76A}" srcOrd="0" destOrd="0" presId="urn:microsoft.com/office/officeart/2005/8/layout/hList3"/>
    <dgm:cxn modelId="{1966A15E-6E28-4A1A-9217-AE464E084565}" type="presParOf" srcId="{13377083-2C0A-4969-9494-5AF501CC2969}" destId="{4DC650DE-56ED-4A60-AA8D-D09C5DC2A286}" srcOrd="1" destOrd="0" presId="urn:microsoft.com/office/officeart/2005/8/layout/hList3"/>
    <dgm:cxn modelId="{C66CC8EB-5BB8-4951-A2F7-B11399D2EA3D}" type="presParOf" srcId="{13377083-2C0A-4969-9494-5AF501CC2969}" destId="{35BDC19C-140D-4B23-BBCC-470B1C8D8868}" srcOrd="2" destOrd="0" presId="urn:microsoft.com/office/officeart/2005/8/layout/hList3"/>
    <dgm:cxn modelId="{6E924D64-55E3-4C24-AB58-9CD913B2A51E}" type="presParOf" srcId="{245019CD-CEFD-4D2C-B0AC-2AD7BEC01CAB}" destId="{88B8AC8C-61EE-4C78-90A2-E95C5ACD92FA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7E253D7-C85F-4280-885F-E08CD8AD22A9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C896300-0C8E-44E5-A12E-52C53D2C22DC}">
      <dgm:prSet phldrT="[Text]"/>
      <dgm:spPr>
        <a:solidFill>
          <a:srgbClr val="00B050"/>
        </a:solidFill>
      </dgm:spPr>
      <dgm:t>
        <a:bodyPr/>
        <a:lstStyle/>
        <a:p>
          <a:pPr algn="ctr"/>
          <a:r>
            <a:rPr lang="sr-Latn-ME"/>
            <a:t>Priprema</a:t>
          </a:r>
          <a:endParaRPr lang="en-GB"/>
        </a:p>
      </dgm:t>
    </dgm:pt>
    <dgm:pt modelId="{CE2CD8AD-FB06-43CC-8A4E-49E2C655AF6F}" type="parTrans" cxnId="{467F1265-0271-4ABB-8E94-FCDD8360B2F1}">
      <dgm:prSet/>
      <dgm:spPr/>
      <dgm:t>
        <a:bodyPr/>
        <a:lstStyle/>
        <a:p>
          <a:pPr algn="ctr"/>
          <a:endParaRPr lang="en-GB"/>
        </a:p>
      </dgm:t>
    </dgm:pt>
    <dgm:pt modelId="{5AD5A5A9-554C-4708-86FD-7BB064EFE6DD}" type="sibTrans" cxnId="{467F1265-0271-4ABB-8E94-FCDD8360B2F1}">
      <dgm:prSet/>
      <dgm:spPr/>
      <dgm:t>
        <a:bodyPr/>
        <a:lstStyle/>
        <a:p>
          <a:pPr algn="ctr"/>
          <a:endParaRPr lang="en-GB"/>
        </a:p>
      </dgm:t>
    </dgm:pt>
    <dgm:pt modelId="{7E956983-6840-4D5A-AF55-9E6E46C2F0AA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sr-Latn-ME"/>
            <a:t>Izvršenje</a:t>
          </a:r>
          <a:endParaRPr lang="en-GB"/>
        </a:p>
      </dgm:t>
    </dgm:pt>
    <dgm:pt modelId="{5F6D3710-BBEF-4571-B27A-7C7BC33480E4}" type="parTrans" cxnId="{6164A756-49E9-466D-AC53-91AF32DE05E6}">
      <dgm:prSet/>
      <dgm:spPr/>
      <dgm:t>
        <a:bodyPr/>
        <a:lstStyle/>
        <a:p>
          <a:pPr algn="ctr"/>
          <a:endParaRPr lang="en-GB"/>
        </a:p>
      </dgm:t>
    </dgm:pt>
    <dgm:pt modelId="{7779A3E8-49B6-4CB9-B2E7-B879F323CC52}" type="sibTrans" cxnId="{6164A756-49E9-466D-AC53-91AF32DE05E6}">
      <dgm:prSet/>
      <dgm:spPr/>
      <dgm:t>
        <a:bodyPr/>
        <a:lstStyle/>
        <a:p>
          <a:pPr algn="ctr"/>
          <a:endParaRPr lang="en-GB"/>
        </a:p>
      </dgm:t>
    </dgm:pt>
    <dgm:pt modelId="{528E313D-B334-429B-827D-D5CAA3177CA2}">
      <dgm:prSet phldrT="[Text]"/>
      <dgm:spPr>
        <a:solidFill>
          <a:srgbClr val="FFC000"/>
        </a:solidFill>
      </dgm:spPr>
      <dgm:t>
        <a:bodyPr/>
        <a:lstStyle/>
        <a:p>
          <a:pPr algn="ctr"/>
          <a:r>
            <a:rPr lang="sr-Latn-ME"/>
            <a:t>Monitoring</a:t>
          </a:r>
          <a:endParaRPr lang="en-GB"/>
        </a:p>
      </dgm:t>
    </dgm:pt>
    <dgm:pt modelId="{25001A2B-CE1C-47E1-9A4F-61F986906E26}" type="parTrans" cxnId="{773FA401-C6B4-4C5F-8EC3-CFE69EBFA3DC}">
      <dgm:prSet/>
      <dgm:spPr/>
      <dgm:t>
        <a:bodyPr/>
        <a:lstStyle/>
        <a:p>
          <a:pPr algn="ctr"/>
          <a:endParaRPr lang="en-GB"/>
        </a:p>
      </dgm:t>
    </dgm:pt>
    <dgm:pt modelId="{CDD26ADC-A1E9-4456-B41D-6B817FD9FB89}" type="sibTrans" cxnId="{773FA401-C6B4-4C5F-8EC3-CFE69EBFA3DC}">
      <dgm:prSet/>
      <dgm:spPr/>
      <dgm:t>
        <a:bodyPr/>
        <a:lstStyle/>
        <a:p>
          <a:pPr algn="ctr"/>
          <a:endParaRPr lang="en-GB"/>
        </a:p>
      </dgm:t>
    </dgm:pt>
    <dgm:pt modelId="{5AC753C4-8CFE-4D1C-B150-9CD6FAF0B029}">
      <dgm:prSet phldrT="[Text]"/>
      <dgm:spPr>
        <a:solidFill>
          <a:srgbClr val="C00000"/>
        </a:solidFill>
      </dgm:spPr>
      <dgm:t>
        <a:bodyPr/>
        <a:lstStyle/>
        <a:p>
          <a:pPr algn="ctr"/>
          <a:r>
            <a:rPr lang="sr-Latn-ME"/>
            <a:t>Zaključci i preporuke</a:t>
          </a:r>
          <a:endParaRPr lang="en-GB"/>
        </a:p>
      </dgm:t>
    </dgm:pt>
    <dgm:pt modelId="{881D5A9C-B69F-4901-8BC2-0DC603E4797C}" type="parTrans" cxnId="{2448525F-7F3F-4009-A25A-C1653C4EE036}">
      <dgm:prSet/>
      <dgm:spPr/>
      <dgm:t>
        <a:bodyPr/>
        <a:lstStyle/>
        <a:p>
          <a:pPr algn="ctr"/>
          <a:endParaRPr lang="en-GB"/>
        </a:p>
      </dgm:t>
    </dgm:pt>
    <dgm:pt modelId="{E903769E-4116-4293-B080-D93F7B1D898D}" type="sibTrans" cxnId="{2448525F-7F3F-4009-A25A-C1653C4EE036}">
      <dgm:prSet/>
      <dgm:spPr/>
      <dgm:t>
        <a:bodyPr/>
        <a:lstStyle/>
        <a:p>
          <a:pPr algn="ctr"/>
          <a:endParaRPr lang="en-GB"/>
        </a:p>
      </dgm:t>
    </dgm:pt>
    <dgm:pt modelId="{996A4D08-7CF3-4A4C-8D8F-6D60602CD831}">
      <dgm:prSet phldrT="[Text]"/>
      <dgm:spPr/>
      <dgm:t>
        <a:bodyPr/>
        <a:lstStyle/>
        <a:p>
          <a:pPr algn="ctr"/>
          <a:r>
            <a:rPr lang="sr-Latn-ME"/>
            <a:t>Planiranje</a:t>
          </a:r>
          <a:endParaRPr lang="en-GB"/>
        </a:p>
      </dgm:t>
    </dgm:pt>
    <dgm:pt modelId="{37AD4F84-6511-475F-BD1A-755EF4063A6E}" type="parTrans" cxnId="{D27582D0-D7E5-4F83-BDB1-FE9F8614FBA2}">
      <dgm:prSet/>
      <dgm:spPr/>
      <dgm:t>
        <a:bodyPr/>
        <a:lstStyle/>
        <a:p>
          <a:pPr algn="ctr"/>
          <a:endParaRPr lang="en-GB"/>
        </a:p>
      </dgm:t>
    </dgm:pt>
    <dgm:pt modelId="{5BD0A115-552A-4AF6-A80A-1450416D3D61}" type="sibTrans" cxnId="{D27582D0-D7E5-4F83-BDB1-FE9F8614FBA2}">
      <dgm:prSet/>
      <dgm:spPr/>
      <dgm:t>
        <a:bodyPr/>
        <a:lstStyle/>
        <a:p>
          <a:pPr algn="ctr"/>
          <a:endParaRPr lang="en-GB"/>
        </a:p>
      </dgm:t>
    </dgm:pt>
    <dgm:pt modelId="{21C68B36-2F65-4D0E-A6E6-297F242FDF7A}" type="pres">
      <dgm:prSet presAssocID="{97E253D7-C85F-4280-885F-E08CD8AD22A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3344D6C-A1D6-4899-A8B2-80C83F715503}" type="pres">
      <dgm:prSet presAssocID="{DC896300-0C8E-44E5-A12E-52C53D2C22D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705F6E-0758-42E6-806D-259F1E9B5514}" type="pres">
      <dgm:prSet presAssocID="{DC896300-0C8E-44E5-A12E-52C53D2C22DC}" presName="spNode" presStyleCnt="0"/>
      <dgm:spPr/>
    </dgm:pt>
    <dgm:pt modelId="{097D018C-01AE-448A-A7C3-C51A01D65453}" type="pres">
      <dgm:prSet presAssocID="{5AD5A5A9-554C-4708-86FD-7BB064EFE6DD}" presName="sibTrans" presStyleLbl="sibTrans1D1" presStyleIdx="0" presStyleCnt="5"/>
      <dgm:spPr/>
      <dgm:t>
        <a:bodyPr/>
        <a:lstStyle/>
        <a:p>
          <a:endParaRPr lang="en-US"/>
        </a:p>
      </dgm:t>
    </dgm:pt>
    <dgm:pt modelId="{8EDACA0A-139F-4DAD-8EF3-223B7F9CDF95}" type="pres">
      <dgm:prSet presAssocID="{7E956983-6840-4D5A-AF55-9E6E46C2F0AA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4BADF3-C333-419D-80C6-53B8B1219CCE}" type="pres">
      <dgm:prSet presAssocID="{7E956983-6840-4D5A-AF55-9E6E46C2F0AA}" presName="spNode" presStyleCnt="0"/>
      <dgm:spPr/>
    </dgm:pt>
    <dgm:pt modelId="{1CC676F6-890B-4F09-99F7-90AC8AF79561}" type="pres">
      <dgm:prSet presAssocID="{7779A3E8-49B6-4CB9-B2E7-B879F323CC52}" presName="sibTrans" presStyleLbl="sibTrans1D1" presStyleIdx="1" presStyleCnt="5"/>
      <dgm:spPr/>
      <dgm:t>
        <a:bodyPr/>
        <a:lstStyle/>
        <a:p>
          <a:endParaRPr lang="en-US"/>
        </a:p>
      </dgm:t>
    </dgm:pt>
    <dgm:pt modelId="{C88873B8-3793-4CB6-9250-EB550A3AD23B}" type="pres">
      <dgm:prSet presAssocID="{528E313D-B334-429B-827D-D5CAA3177CA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2C7DB5-8A65-4263-A240-DA828DF19820}" type="pres">
      <dgm:prSet presAssocID="{528E313D-B334-429B-827D-D5CAA3177CA2}" presName="spNode" presStyleCnt="0"/>
      <dgm:spPr/>
    </dgm:pt>
    <dgm:pt modelId="{E69BA2A1-5E8C-4A56-93C0-6ADE47713C87}" type="pres">
      <dgm:prSet presAssocID="{CDD26ADC-A1E9-4456-B41D-6B817FD9FB89}" presName="sibTrans" presStyleLbl="sibTrans1D1" presStyleIdx="2" presStyleCnt="5"/>
      <dgm:spPr/>
      <dgm:t>
        <a:bodyPr/>
        <a:lstStyle/>
        <a:p>
          <a:endParaRPr lang="en-US"/>
        </a:p>
      </dgm:t>
    </dgm:pt>
    <dgm:pt modelId="{58ABEE79-0E09-43A1-AF4E-AE2D33D21F96}" type="pres">
      <dgm:prSet presAssocID="{5AC753C4-8CFE-4D1C-B150-9CD6FAF0B029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89C6A0-13EB-4876-9DB4-2A2A9D5E0F48}" type="pres">
      <dgm:prSet presAssocID="{5AC753C4-8CFE-4D1C-B150-9CD6FAF0B029}" presName="spNode" presStyleCnt="0"/>
      <dgm:spPr/>
    </dgm:pt>
    <dgm:pt modelId="{DC3832F1-42FF-42AD-905B-ABC9CD05C0E1}" type="pres">
      <dgm:prSet presAssocID="{E903769E-4116-4293-B080-D93F7B1D898D}" presName="sibTrans" presStyleLbl="sibTrans1D1" presStyleIdx="3" presStyleCnt="5"/>
      <dgm:spPr/>
      <dgm:t>
        <a:bodyPr/>
        <a:lstStyle/>
        <a:p>
          <a:endParaRPr lang="en-US"/>
        </a:p>
      </dgm:t>
    </dgm:pt>
    <dgm:pt modelId="{EF3D6219-CD70-4361-B722-B335DAD80947}" type="pres">
      <dgm:prSet presAssocID="{996A4D08-7CF3-4A4C-8D8F-6D60602CD83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C51CE9-45E1-4657-A184-1EB938036490}" type="pres">
      <dgm:prSet presAssocID="{996A4D08-7CF3-4A4C-8D8F-6D60602CD831}" presName="spNode" presStyleCnt="0"/>
      <dgm:spPr/>
    </dgm:pt>
    <dgm:pt modelId="{7B568A32-52EE-43E1-A4F6-B28C9CD77F8C}" type="pres">
      <dgm:prSet presAssocID="{5BD0A115-552A-4AF6-A80A-1450416D3D61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6E98265A-0B25-4F8B-B03D-BCFC77326F1F}" type="presOf" srcId="{5AC753C4-8CFE-4D1C-B150-9CD6FAF0B029}" destId="{58ABEE79-0E09-43A1-AF4E-AE2D33D21F96}" srcOrd="0" destOrd="0" presId="urn:microsoft.com/office/officeart/2005/8/layout/cycle5"/>
    <dgm:cxn modelId="{773FA401-C6B4-4C5F-8EC3-CFE69EBFA3DC}" srcId="{97E253D7-C85F-4280-885F-E08CD8AD22A9}" destId="{528E313D-B334-429B-827D-D5CAA3177CA2}" srcOrd="2" destOrd="0" parTransId="{25001A2B-CE1C-47E1-9A4F-61F986906E26}" sibTransId="{CDD26ADC-A1E9-4456-B41D-6B817FD9FB89}"/>
    <dgm:cxn modelId="{235E7F4E-5F01-40DA-AAA5-0A0138A367A7}" type="presOf" srcId="{97E253D7-C85F-4280-885F-E08CD8AD22A9}" destId="{21C68B36-2F65-4D0E-A6E6-297F242FDF7A}" srcOrd="0" destOrd="0" presId="urn:microsoft.com/office/officeart/2005/8/layout/cycle5"/>
    <dgm:cxn modelId="{75479A43-3326-4765-9860-5409FE412462}" type="presOf" srcId="{CDD26ADC-A1E9-4456-B41D-6B817FD9FB89}" destId="{E69BA2A1-5E8C-4A56-93C0-6ADE47713C87}" srcOrd="0" destOrd="0" presId="urn:microsoft.com/office/officeart/2005/8/layout/cycle5"/>
    <dgm:cxn modelId="{467F1265-0271-4ABB-8E94-FCDD8360B2F1}" srcId="{97E253D7-C85F-4280-885F-E08CD8AD22A9}" destId="{DC896300-0C8E-44E5-A12E-52C53D2C22DC}" srcOrd="0" destOrd="0" parTransId="{CE2CD8AD-FB06-43CC-8A4E-49E2C655AF6F}" sibTransId="{5AD5A5A9-554C-4708-86FD-7BB064EFE6DD}"/>
    <dgm:cxn modelId="{93F9BF91-B2C8-4BB5-A0E0-5465BBEB5943}" type="presOf" srcId="{996A4D08-7CF3-4A4C-8D8F-6D60602CD831}" destId="{EF3D6219-CD70-4361-B722-B335DAD80947}" srcOrd="0" destOrd="0" presId="urn:microsoft.com/office/officeart/2005/8/layout/cycle5"/>
    <dgm:cxn modelId="{0258991B-14B2-4AE4-9BE0-8E773FBDFB78}" type="presOf" srcId="{7779A3E8-49B6-4CB9-B2E7-B879F323CC52}" destId="{1CC676F6-890B-4F09-99F7-90AC8AF79561}" srcOrd="0" destOrd="0" presId="urn:microsoft.com/office/officeart/2005/8/layout/cycle5"/>
    <dgm:cxn modelId="{EC4A2D96-BA71-4799-BD29-EF35E4A05DDD}" type="presOf" srcId="{7E956983-6840-4D5A-AF55-9E6E46C2F0AA}" destId="{8EDACA0A-139F-4DAD-8EF3-223B7F9CDF95}" srcOrd="0" destOrd="0" presId="urn:microsoft.com/office/officeart/2005/8/layout/cycle5"/>
    <dgm:cxn modelId="{2448525F-7F3F-4009-A25A-C1653C4EE036}" srcId="{97E253D7-C85F-4280-885F-E08CD8AD22A9}" destId="{5AC753C4-8CFE-4D1C-B150-9CD6FAF0B029}" srcOrd="3" destOrd="0" parTransId="{881D5A9C-B69F-4901-8BC2-0DC603E4797C}" sibTransId="{E903769E-4116-4293-B080-D93F7B1D898D}"/>
    <dgm:cxn modelId="{1D3FB9C3-A9F1-4852-82E7-1EA03130FF36}" type="presOf" srcId="{DC896300-0C8E-44E5-A12E-52C53D2C22DC}" destId="{83344D6C-A1D6-4899-A8B2-80C83F715503}" srcOrd="0" destOrd="0" presId="urn:microsoft.com/office/officeart/2005/8/layout/cycle5"/>
    <dgm:cxn modelId="{6164A756-49E9-466D-AC53-91AF32DE05E6}" srcId="{97E253D7-C85F-4280-885F-E08CD8AD22A9}" destId="{7E956983-6840-4D5A-AF55-9E6E46C2F0AA}" srcOrd="1" destOrd="0" parTransId="{5F6D3710-BBEF-4571-B27A-7C7BC33480E4}" sibTransId="{7779A3E8-49B6-4CB9-B2E7-B879F323CC52}"/>
    <dgm:cxn modelId="{D27582D0-D7E5-4F83-BDB1-FE9F8614FBA2}" srcId="{97E253D7-C85F-4280-885F-E08CD8AD22A9}" destId="{996A4D08-7CF3-4A4C-8D8F-6D60602CD831}" srcOrd="4" destOrd="0" parTransId="{37AD4F84-6511-475F-BD1A-755EF4063A6E}" sibTransId="{5BD0A115-552A-4AF6-A80A-1450416D3D61}"/>
    <dgm:cxn modelId="{29071AFA-A5CA-44FE-9D0D-5DDAF4961B19}" type="presOf" srcId="{E903769E-4116-4293-B080-D93F7B1D898D}" destId="{DC3832F1-42FF-42AD-905B-ABC9CD05C0E1}" srcOrd="0" destOrd="0" presId="urn:microsoft.com/office/officeart/2005/8/layout/cycle5"/>
    <dgm:cxn modelId="{DB547502-9366-452A-91E4-B293B40AEC0F}" type="presOf" srcId="{5BD0A115-552A-4AF6-A80A-1450416D3D61}" destId="{7B568A32-52EE-43E1-A4F6-B28C9CD77F8C}" srcOrd="0" destOrd="0" presId="urn:microsoft.com/office/officeart/2005/8/layout/cycle5"/>
    <dgm:cxn modelId="{14225813-1AE7-4CC8-A6E2-49CD9C172522}" type="presOf" srcId="{5AD5A5A9-554C-4708-86FD-7BB064EFE6DD}" destId="{097D018C-01AE-448A-A7C3-C51A01D65453}" srcOrd="0" destOrd="0" presId="urn:microsoft.com/office/officeart/2005/8/layout/cycle5"/>
    <dgm:cxn modelId="{6591ACB3-C9C4-4263-88CD-4BB804A26592}" type="presOf" srcId="{528E313D-B334-429B-827D-D5CAA3177CA2}" destId="{C88873B8-3793-4CB6-9250-EB550A3AD23B}" srcOrd="0" destOrd="0" presId="urn:microsoft.com/office/officeart/2005/8/layout/cycle5"/>
    <dgm:cxn modelId="{3B3C9852-4A9A-44B1-8C73-7D1E4B8B986B}" type="presParOf" srcId="{21C68B36-2F65-4D0E-A6E6-297F242FDF7A}" destId="{83344D6C-A1D6-4899-A8B2-80C83F715503}" srcOrd="0" destOrd="0" presId="urn:microsoft.com/office/officeart/2005/8/layout/cycle5"/>
    <dgm:cxn modelId="{517B7DFB-0671-4374-9CCF-8F815882FE46}" type="presParOf" srcId="{21C68B36-2F65-4D0E-A6E6-297F242FDF7A}" destId="{5E705F6E-0758-42E6-806D-259F1E9B5514}" srcOrd="1" destOrd="0" presId="urn:microsoft.com/office/officeart/2005/8/layout/cycle5"/>
    <dgm:cxn modelId="{FFD50708-EF58-44D6-B511-2825ABD972B8}" type="presParOf" srcId="{21C68B36-2F65-4D0E-A6E6-297F242FDF7A}" destId="{097D018C-01AE-448A-A7C3-C51A01D65453}" srcOrd="2" destOrd="0" presId="urn:microsoft.com/office/officeart/2005/8/layout/cycle5"/>
    <dgm:cxn modelId="{5B7E930B-DA71-45BA-9E90-928BA4E9C444}" type="presParOf" srcId="{21C68B36-2F65-4D0E-A6E6-297F242FDF7A}" destId="{8EDACA0A-139F-4DAD-8EF3-223B7F9CDF95}" srcOrd="3" destOrd="0" presId="urn:microsoft.com/office/officeart/2005/8/layout/cycle5"/>
    <dgm:cxn modelId="{F3EFBB7C-67E0-424E-BCC3-B7AB330B6A17}" type="presParOf" srcId="{21C68B36-2F65-4D0E-A6E6-297F242FDF7A}" destId="{A04BADF3-C333-419D-80C6-53B8B1219CCE}" srcOrd="4" destOrd="0" presId="urn:microsoft.com/office/officeart/2005/8/layout/cycle5"/>
    <dgm:cxn modelId="{9F7973EE-B215-4FF4-BD12-3FB517044AFB}" type="presParOf" srcId="{21C68B36-2F65-4D0E-A6E6-297F242FDF7A}" destId="{1CC676F6-890B-4F09-99F7-90AC8AF79561}" srcOrd="5" destOrd="0" presId="urn:microsoft.com/office/officeart/2005/8/layout/cycle5"/>
    <dgm:cxn modelId="{3F31659F-BC69-41F1-AA91-4838CF604847}" type="presParOf" srcId="{21C68B36-2F65-4D0E-A6E6-297F242FDF7A}" destId="{C88873B8-3793-4CB6-9250-EB550A3AD23B}" srcOrd="6" destOrd="0" presId="urn:microsoft.com/office/officeart/2005/8/layout/cycle5"/>
    <dgm:cxn modelId="{A12DEC9E-4964-4A50-B68B-713953F79FBF}" type="presParOf" srcId="{21C68B36-2F65-4D0E-A6E6-297F242FDF7A}" destId="{BD2C7DB5-8A65-4263-A240-DA828DF19820}" srcOrd="7" destOrd="0" presId="urn:microsoft.com/office/officeart/2005/8/layout/cycle5"/>
    <dgm:cxn modelId="{DA0BD11A-03A8-4A94-A9D4-BB3003F0DDD8}" type="presParOf" srcId="{21C68B36-2F65-4D0E-A6E6-297F242FDF7A}" destId="{E69BA2A1-5E8C-4A56-93C0-6ADE47713C87}" srcOrd="8" destOrd="0" presId="urn:microsoft.com/office/officeart/2005/8/layout/cycle5"/>
    <dgm:cxn modelId="{CDA75EFC-F2ED-4E05-B740-AC37538DA883}" type="presParOf" srcId="{21C68B36-2F65-4D0E-A6E6-297F242FDF7A}" destId="{58ABEE79-0E09-43A1-AF4E-AE2D33D21F96}" srcOrd="9" destOrd="0" presId="urn:microsoft.com/office/officeart/2005/8/layout/cycle5"/>
    <dgm:cxn modelId="{00CAC8E0-C1C8-4DCE-BCA6-217FDAD3BAEF}" type="presParOf" srcId="{21C68B36-2F65-4D0E-A6E6-297F242FDF7A}" destId="{0E89C6A0-13EB-4876-9DB4-2A2A9D5E0F48}" srcOrd="10" destOrd="0" presId="urn:microsoft.com/office/officeart/2005/8/layout/cycle5"/>
    <dgm:cxn modelId="{445CE66F-E77B-4B2C-B1A0-AA295D7771ED}" type="presParOf" srcId="{21C68B36-2F65-4D0E-A6E6-297F242FDF7A}" destId="{DC3832F1-42FF-42AD-905B-ABC9CD05C0E1}" srcOrd="11" destOrd="0" presId="urn:microsoft.com/office/officeart/2005/8/layout/cycle5"/>
    <dgm:cxn modelId="{83214105-C40E-4A73-AE21-E7659D9A1EA5}" type="presParOf" srcId="{21C68B36-2F65-4D0E-A6E6-297F242FDF7A}" destId="{EF3D6219-CD70-4361-B722-B335DAD80947}" srcOrd="12" destOrd="0" presId="urn:microsoft.com/office/officeart/2005/8/layout/cycle5"/>
    <dgm:cxn modelId="{84FA7171-948B-4571-8D07-979AC016602E}" type="presParOf" srcId="{21C68B36-2F65-4D0E-A6E6-297F242FDF7A}" destId="{DEC51CE9-45E1-4657-A184-1EB938036490}" srcOrd="13" destOrd="0" presId="urn:microsoft.com/office/officeart/2005/8/layout/cycle5"/>
    <dgm:cxn modelId="{574869DC-A45C-48F9-832E-A85EB317255A}" type="presParOf" srcId="{21C68B36-2F65-4D0E-A6E6-297F242FDF7A}" destId="{7B568A32-52EE-43E1-A4F6-B28C9CD77F8C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B78E98-2605-45FD-9101-D24BAE18D387}">
      <dsp:nvSpPr>
        <dsp:cNvPr id="0" name=""/>
        <dsp:cNvSpPr/>
      </dsp:nvSpPr>
      <dsp:spPr>
        <a:xfrm>
          <a:off x="1387287" y="201425"/>
          <a:ext cx="1530124" cy="1530124"/>
        </a:xfrm>
        <a:prstGeom prst="pieWedge">
          <a:avLst/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/>
            <a:t>Javni sektor</a:t>
          </a:r>
          <a:endParaRPr lang="en-GB" sz="1400" b="1" kern="1200"/>
        </a:p>
      </dsp:txBody>
      <dsp:txXfrm>
        <a:off x="1835450" y="649588"/>
        <a:ext cx="1081961" cy="1081961"/>
      </dsp:txXfrm>
    </dsp:sp>
    <dsp:sp modelId="{2D32EF1E-6E9F-46C1-BE55-90646C65856E}">
      <dsp:nvSpPr>
        <dsp:cNvPr id="0" name=""/>
        <dsp:cNvSpPr/>
      </dsp:nvSpPr>
      <dsp:spPr>
        <a:xfrm rot="5400000">
          <a:off x="2988087" y="201425"/>
          <a:ext cx="1530124" cy="1530124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/>
            <a:t>Privredni sektor</a:t>
          </a:r>
          <a:endParaRPr lang="en-GB" sz="1400" b="1" kern="1200"/>
        </a:p>
      </dsp:txBody>
      <dsp:txXfrm rot="-5400000">
        <a:off x="2988087" y="649588"/>
        <a:ext cx="1081961" cy="1081961"/>
      </dsp:txXfrm>
    </dsp:sp>
    <dsp:sp modelId="{D067EFCF-A956-465F-B0BF-E8057B0C9F00}">
      <dsp:nvSpPr>
        <dsp:cNvPr id="0" name=""/>
        <dsp:cNvSpPr/>
      </dsp:nvSpPr>
      <dsp:spPr>
        <a:xfrm rot="10800000">
          <a:off x="2988087" y="1802225"/>
          <a:ext cx="1530124" cy="1530124"/>
        </a:xfrm>
        <a:prstGeom prst="pieWedge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/>
            <a:t>Civilni sektor</a:t>
          </a:r>
          <a:endParaRPr lang="en-GB" sz="1400" b="1" kern="1200"/>
        </a:p>
      </dsp:txBody>
      <dsp:txXfrm rot="10800000">
        <a:off x="2988087" y="1802225"/>
        <a:ext cx="1081961" cy="1081961"/>
      </dsp:txXfrm>
    </dsp:sp>
    <dsp:sp modelId="{ED41B33E-B252-4465-AF1A-BED57CC18E72}">
      <dsp:nvSpPr>
        <dsp:cNvPr id="0" name=""/>
        <dsp:cNvSpPr/>
      </dsp:nvSpPr>
      <dsp:spPr>
        <a:xfrm rot="16200000">
          <a:off x="1387287" y="1802225"/>
          <a:ext cx="1530124" cy="1530124"/>
        </a:xfrm>
        <a:prstGeom prst="pieWedg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b="1" kern="1200"/>
            <a:t>Akademski sektor</a:t>
          </a:r>
          <a:endParaRPr lang="en-GB" sz="1400" b="1" kern="1200"/>
        </a:p>
      </dsp:txBody>
      <dsp:txXfrm rot="5400000">
        <a:off x="1835450" y="1802225"/>
        <a:ext cx="1081961" cy="1081961"/>
      </dsp:txXfrm>
    </dsp:sp>
    <dsp:sp modelId="{DF0947A3-14C3-4F7F-9FF7-0872A1C41C5F}">
      <dsp:nvSpPr>
        <dsp:cNvPr id="0" name=""/>
        <dsp:cNvSpPr/>
      </dsp:nvSpPr>
      <dsp:spPr>
        <a:xfrm>
          <a:off x="2688600" y="1448847"/>
          <a:ext cx="528299" cy="45939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2BA797-8F94-4CB8-AC73-229B735ED822}">
      <dsp:nvSpPr>
        <dsp:cNvPr id="0" name=""/>
        <dsp:cNvSpPr/>
      </dsp:nvSpPr>
      <dsp:spPr>
        <a:xfrm rot="10800000">
          <a:off x="2688600" y="1625536"/>
          <a:ext cx="528299" cy="45939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069E20-2545-4E3D-B40F-09A62C94BDBC}">
      <dsp:nvSpPr>
        <dsp:cNvPr id="0" name=""/>
        <dsp:cNvSpPr/>
      </dsp:nvSpPr>
      <dsp:spPr>
        <a:xfrm>
          <a:off x="2696348" y="5175877"/>
          <a:ext cx="91440" cy="152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919"/>
              </a:lnTo>
              <a:lnTo>
                <a:pt x="87038" y="50919"/>
              </a:lnTo>
              <a:lnTo>
                <a:pt x="87038" y="1522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D4C684-EA5C-4C88-A651-DA5E309198A2}">
      <dsp:nvSpPr>
        <dsp:cNvPr id="0" name=""/>
        <dsp:cNvSpPr/>
      </dsp:nvSpPr>
      <dsp:spPr>
        <a:xfrm>
          <a:off x="2655358" y="4285683"/>
          <a:ext cx="91440" cy="1737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398"/>
              </a:lnTo>
              <a:lnTo>
                <a:pt x="86710" y="72398"/>
              </a:lnTo>
              <a:lnTo>
                <a:pt x="86710" y="1737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7CC15-03F7-432E-A541-44FB4533E84D}">
      <dsp:nvSpPr>
        <dsp:cNvPr id="0" name=""/>
        <dsp:cNvSpPr/>
      </dsp:nvSpPr>
      <dsp:spPr>
        <a:xfrm>
          <a:off x="2701078" y="2829320"/>
          <a:ext cx="1003534" cy="297444"/>
        </a:xfrm>
        <a:custGeom>
          <a:avLst/>
          <a:gdLst/>
          <a:ahLst/>
          <a:cxnLst/>
          <a:rect l="0" t="0" r="0" b="0"/>
          <a:pathLst>
            <a:path>
              <a:moveTo>
                <a:pt x="1003534" y="0"/>
              </a:moveTo>
              <a:lnTo>
                <a:pt x="1003534" y="196078"/>
              </a:lnTo>
              <a:lnTo>
                <a:pt x="0" y="196078"/>
              </a:lnTo>
              <a:lnTo>
                <a:pt x="0" y="2974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4D47E-32FC-4B78-8F56-95DAEAE8A7B8}">
      <dsp:nvSpPr>
        <dsp:cNvPr id="0" name=""/>
        <dsp:cNvSpPr/>
      </dsp:nvSpPr>
      <dsp:spPr>
        <a:xfrm>
          <a:off x="2416903" y="1365124"/>
          <a:ext cx="1287709" cy="187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136"/>
              </a:lnTo>
              <a:lnTo>
                <a:pt x="1287709" y="86136"/>
              </a:lnTo>
              <a:lnTo>
                <a:pt x="1287709" y="1875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8333A-5000-4B71-A69F-22011B1750D6}">
      <dsp:nvSpPr>
        <dsp:cNvPr id="0" name=""/>
        <dsp:cNvSpPr/>
      </dsp:nvSpPr>
      <dsp:spPr>
        <a:xfrm>
          <a:off x="1066607" y="1365124"/>
          <a:ext cx="1350295" cy="183828"/>
        </a:xfrm>
        <a:custGeom>
          <a:avLst/>
          <a:gdLst/>
          <a:ahLst/>
          <a:cxnLst/>
          <a:rect l="0" t="0" r="0" b="0"/>
          <a:pathLst>
            <a:path>
              <a:moveTo>
                <a:pt x="1350295" y="0"/>
              </a:moveTo>
              <a:lnTo>
                <a:pt x="1350295" y="82463"/>
              </a:lnTo>
              <a:lnTo>
                <a:pt x="0" y="82463"/>
              </a:lnTo>
              <a:lnTo>
                <a:pt x="0" y="183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23A66-16FC-4859-9EDA-8FA05427846C}">
      <dsp:nvSpPr>
        <dsp:cNvPr id="0" name=""/>
        <dsp:cNvSpPr/>
      </dsp:nvSpPr>
      <dsp:spPr>
        <a:xfrm>
          <a:off x="1599682" y="73"/>
          <a:ext cx="1634441" cy="1365051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Ministarstvo nauke i Ministarstvo ekonomije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(S3 Operativni tim za razvoj strategije)</a:t>
          </a:r>
          <a:endParaRPr lang="en-US" sz="1100" kern="1200"/>
        </a:p>
      </dsp:txBody>
      <dsp:txXfrm>
        <a:off x="1599682" y="73"/>
        <a:ext cx="1634441" cy="1365051"/>
      </dsp:txXfrm>
    </dsp:sp>
    <dsp:sp modelId="{68461B9E-C930-4B31-944B-0A7564575651}">
      <dsp:nvSpPr>
        <dsp:cNvPr id="0" name=""/>
        <dsp:cNvSpPr/>
      </dsp:nvSpPr>
      <dsp:spPr>
        <a:xfrm>
          <a:off x="428504" y="1548952"/>
          <a:ext cx="1276207" cy="1331436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S3 operativni tim + akademski sektor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(visoki predstavnici sva četiri univerziteta)</a:t>
          </a:r>
          <a:endParaRPr lang="en-US" sz="1100" kern="1200"/>
        </a:p>
      </dsp:txBody>
      <dsp:txXfrm>
        <a:off x="428504" y="1548952"/>
        <a:ext cx="1276207" cy="1331436"/>
      </dsp:txXfrm>
    </dsp:sp>
    <dsp:sp modelId="{E9157B05-326B-4616-B5C0-B1446004BBDC}">
      <dsp:nvSpPr>
        <dsp:cNvPr id="0" name=""/>
        <dsp:cNvSpPr/>
      </dsp:nvSpPr>
      <dsp:spPr>
        <a:xfrm>
          <a:off x="2851634" y="1552626"/>
          <a:ext cx="1705957" cy="1276694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S3 fokusne grupe (eksperti sa univerziteta, Privredna komora CG, Unija poslodavaca, Montengro biznis alijansa, kompanije i klasteri iz prioritetnih sektora)</a:t>
          </a:r>
          <a:endParaRPr lang="en-US" sz="1100" kern="1200"/>
        </a:p>
      </dsp:txBody>
      <dsp:txXfrm>
        <a:off x="2851634" y="1552626"/>
        <a:ext cx="1705957" cy="1276694"/>
      </dsp:txXfrm>
    </dsp:sp>
    <dsp:sp modelId="{A8BA4304-6FC7-410B-A4EF-102A3E215444}">
      <dsp:nvSpPr>
        <dsp:cNvPr id="0" name=""/>
        <dsp:cNvSpPr/>
      </dsp:nvSpPr>
      <dsp:spPr>
        <a:xfrm>
          <a:off x="1652706" y="3126765"/>
          <a:ext cx="2096744" cy="11589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Interresorna radna grupa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(predstavnici CANU, MONSTAT, četiri univerziteta, Privredna komora, Unija poslodavaca, Montenegro biznis alijansa, NVO i predstavnici 10 ministarstava)</a:t>
          </a:r>
          <a:endParaRPr lang="en-US" sz="1100" kern="1200"/>
        </a:p>
      </dsp:txBody>
      <dsp:txXfrm>
        <a:off x="1652706" y="3126765"/>
        <a:ext cx="2096744" cy="1158918"/>
      </dsp:txXfrm>
    </dsp:sp>
    <dsp:sp modelId="{730E31BE-DEBB-471C-A520-2079ADAAD54F}">
      <dsp:nvSpPr>
        <dsp:cNvPr id="0" name=""/>
        <dsp:cNvSpPr/>
      </dsp:nvSpPr>
      <dsp:spPr>
        <a:xfrm>
          <a:off x="1903454" y="4459447"/>
          <a:ext cx="1677227" cy="716429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>
              <a:solidFill>
                <a:srgbClr val="002060"/>
              </a:solidFill>
            </a:rPr>
            <a:t>Javna rasprava na temu S3</a:t>
          </a:r>
          <a:endParaRPr lang="en-US" sz="1100" kern="1200">
            <a:solidFill>
              <a:srgbClr val="002060"/>
            </a:solidFill>
          </a:endParaRPr>
        </a:p>
      </dsp:txBody>
      <dsp:txXfrm>
        <a:off x="1903454" y="4459447"/>
        <a:ext cx="1677227" cy="716429"/>
      </dsp:txXfrm>
    </dsp:sp>
    <dsp:sp modelId="{F763C7A6-8564-4067-B5C3-DC43E48D3651}">
      <dsp:nvSpPr>
        <dsp:cNvPr id="0" name=""/>
        <dsp:cNvSpPr/>
      </dsp:nvSpPr>
      <dsp:spPr>
        <a:xfrm>
          <a:off x="1995354" y="5328162"/>
          <a:ext cx="1576064" cy="8535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Savjet za naučnoistraživačku djelatnost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RS" sz="1100" kern="1200"/>
            <a:t>(daje mišljenje na S3)</a:t>
          </a:r>
          <a:endParaRPr lang="en-US" sz="1100" kern="1200"/>
        </a:p>
      </dsp:txBody>
      <dsp:txXfrm>
        <a:off x="1995354" y="5328162"/>
        <a:ext cx="1576064" cy="8535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EB3D29-2294-4184-83C1-45DD9B407C3B}">
      <dsp:nvSpPr>
        <dsp:cNvPr id="0" name=""/>
        <dsp:cNvSpPr/>
      </dsp:nvSpPr>
      <dsp:spPr>
        <a:xfrm>
          <a:off x="0" y="32706"/>
          <a:ext cx="3756660" cy="691515"/>
        </a:xfrm>
        <a:prstGeom prst="rect">
          <a:avLst/>
        </a:prstGeom>
        <a:solidFill>
          <a:srgbClr val="C0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2800" b="1" kern="1200"/>
            <a:t>Razvijena i konkurentna </a:t>
          </a:r>
          <a:endParaRPr lang="en-GB" sz="2800" kern="1200"/>
        </a:p>
      </dsp:txBody>
      <dsp:txXfrm>
        <a:off x="0" y="32706"/>
        <a:ext cx="3756660" cy="691515"/>
      </dsp:txXfrm>
    </dsp:sp>
    <dsp:sp modelId="{7328DBC3-9D6B-4B87-A09A-59EF7758E76A}">
      <dsp:nvSpPr>
        <dsp:cNvPr id="0" name=""/>
        <dsp:cNvSpPr/>
      </dsp:nvSpPr>
      <dsp:spPr>
        <a:xfrm>
          <a:off x="1834" y="720411"/>
          <a:ext cx="1250997" cy="1452181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Zdrav</a:t>
          </a:r>
          <a:r>
            <a:rPr lang="en-GB" sz="1400" kern="1200"/>
            <a:t>ij</a:t>
          </a:r>
          <a:r>
            <a:rPr lang="sr-Latn-ME" sz="1400" kern="1200"/>
            <a:t>a</a:t>
          </a:r>
          <a:endParaRPr lang="en-GB" sz="1400" kern="1200"/>
        </a:p>
      </dsp:txBody>
      <dsp:txXfrm>
        <a:off x="1834" y="720411"/>
        <a:ext cx="1250997" cy="1452181"/>
      </dsp:txXfrm>
    </dsp:sp>
    <dsp:sp modelId="{4DC650DE-56ED-4A60-AA8D-D09C5DC2A286}">
      <dsp:nvSpPr>
        <dsp:cNvPr id="0" name=""/>
        <dsp:cNvSpPr/>
      </dsp:nvSpPr>
      <dsp:spPr>
        <a:xfrm>
          <a:off x="1252831" y="720411"/>
          <a:ext cx="1250997" cy="1452181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Održiva</a:t>
          </a:r>
          <a:endParaRPr lang="en-GB" sz="1400" kern="1200"/>
        </a:p>
      </dsp:txBody>
      <dsp:txXfrm>
        <a:off x="1252831" y="720411"/>
        <a:ext cx="1250997" cy="1452181"/>
      </dsp:txXfrm>
    </dsp:sp>
    <dsp:sp modelId="{35BDC19C-140D-4B23-BBCC-470B1C8D8868}">
      <dsp:nvSpPr>
        <dsp:cNvPr id="0" name=""/>
        <dsp:cNvSpPr/>
      </dsp:nvSpPr>
      <dsp:spPr>
        <a:xfrm>
          <a:off x="2503828" y="720411"/>
          <a:ext cx="1250997" cy="1452181"/>
        </a:xfrm>
        <a:prstGeom prst="rect">
          <a:avLst/>
        </a:prstGeom>
        <a:solidFill>
          <a:schemeClr val="accent6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Modernizovana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digitalizovana</a:t>
          </a:r>
          <a:endParaRPr lang="en-GB" sz="1400" kern="1200"/>
        </a:p>
      </dsp:txBody>
      <dsp:txXfrm>
        <a:off x="2503828" y="720411"/>
        <a:ext cx="1250997" cy="1452181"/>
      </dsp:txXfrm>
    </dsp:sp>
    <dsp:sp modelId="{88B8AC8C-61EE-4C78-90A2-E95C5ACD92FA}">
      <dsp:nvSpPr>
        <dsp:cNvPr id="0" name=""/>
        <dsp:cNvSpPr/>
      </dsp:nvSpPr>
      <dsp:spPr>
        <a:xfrm flipV="1">
          <a:off x="0" y="2230385"/>
          <a:ext cx="3756660" cy="45767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344D6C-A1D6-4899-A8B2-80C83F715503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Priprema</a:t>
          </a:r>
          <a:endParaRPr lang="en-GB" sz="1400" kern="1200"/>
        </a:p>
      </dsp:txBody>
      <dsp:txXfrm>
        <a:off x="2251455" y="34475"/>
        <a:ext cx="983489" cy="615943"/>
      </dsp:txXfrm>
    </dsp:sp>
    <dsp:sp modelId="{097D018C-01AE-448A-A7C3-C51A01D65453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031544" y="173529"/>
              </a:moveTo>
              <a:arcTo wR="1365391" hR="1365391" stAng="17952097" swAng="121366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DACA0A-139F-4DAD-8EF3-223B7F9CDF95}">
      <dsp:nvSpPr>
        <dsp:cNvPr id="0" name=""/>
        <dsp:cNvSpPr/>
      </dsp:nvSpPr>
      <dsp:spPr>
        <a:xfrm>
          <a:off x="3516699" y="944616"/>
          <a:ext cx="1050131" cy="682585"/>
        </a:xfrm>
        <a:prstGeom prst="round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Izvršenje</a:t>
          </a:r>
          <a:endParaRPr lang="en-GB" sz="1400" kern="1200"/>
        </a:p>
      </dsp:txBody>
      <dsp:txXfrm>
        <a:off x="3550020" y="977937"/>
        <a:ext cx="983489" cy="615943"/>
      </dsp:txXfrm>
    </dsp:sp>
    <dsp:sp modelId="{1CC676F6-890B-4F09-99F7-90AC8AF79561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7527" y="1459631"/>
              </a:moveTo>
              <a:arcTo wR="1365391" hR="1365391" stAng="21837463" swAng="136137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873B8-3793-4CB6-9250-EB550A3AD23B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Monitoring</a:t>
          </a:r>
          <a:endParaRPr lang="en-GB" sz="1400" kern="1200"/>
        </a:p>
      </dsp:txBody>
      <dsp:txXfrm>
        <a:off x="3054012" y="2504491"/>
        <a:ext cx="983489" cy="615943"/>
      </dsp:txXfrm>
    </dsp:sp>
    <dsp:sp modelId="{E69BA2A1-5E8C-4A56-93C0-6ADE47713C87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533406" y="2720406"/>
              </a:moveTo>
              <a:arcTo wR="1365391" hR="1365391" stAng="4975902" swAng="84819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BEE79-0E09-43A1-AF4E-AE2D33D21F96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Zaključci i preporuke</a:t>
          </a:r>
          <a:endParaRPr lang="en-GB" sz="1400" kern="1200"/>
        </a:p>
      </dsp:txBody>
      <dsp:txXfrm>
        <a:off x="1448898" y="2504491"/>
        <a:ext cx="983489" cy="615943"/>
      </dsp:txXfrm>
    </dsp:sp>
    <dsp:sp modelId="{DC3832F1-42FF-42AD-905B-ABC9CD05C0E1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45025" y="1977764"/>
              </a:moveTo>
              <a:arcTo wR="1365391" hR="1365391" stAng="9201167" swAng="136137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D6219-CD70-4361-B722-B335DAD80947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Latn-ME" sz="1400" kern="1200"/>
            <a:t>Planiranje</a:t>
          </a:r>
          <a:endParaRPr lang="en-GB" sz="1400" kern="1200"/>
        </a:p>
      </dsp:txBody>
      <dsp:txXfrm>
        <a:off x="952890" y="977937"/>
        <a:ext cx="983489" cy="615943"/>
      </dsp:txXfrm>
    </dsp:sp>
    <dsp:sp modelId="{7B568A32-52EE-43E1-A4F6-B28C9CD77F8C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328234" y="477360"/>
              </a:moveTo>
              <a:arcTo wR="1365391" hR="1365391" stAng="13234240" swAng="121366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Mendeley_F__7AzFIo_jmXe__r_Dd533A</b:Tag>
    <b:SourceType>Book</b:SourceType>
    <b:Guid>{CCC0EE17-2852-39FE-977B-EAFF0DDE77DC}</b:Guid>
    <b:Title>Horizon 2020 data</b:Title>
    <b:Year>2018</b:Year>
    <b:Author>
      <b:Author>
        <b:NameList>
          <b:Person>
            <b:Last>European Commission</b:Last>
          </b:Person>
        </b:NameList>
      </b:Author>
    </b:Author>
    <b:URL>http://ec.europa.eu/research/participants/portal/desktop/en/projectresults/index.html</b:URL>
    <b:LCID>en-US</b:LCID>
    <b:Version>Mendeley</b:Version>
    <b:RefOrder>6</b:RefOrder>
  </b:Source>
  <b:Source>
    <b:Tag>Mendeley_bCFSETs_0TC5XlClxn2gKw</b:Tag>
    <b:SourceType>Book</b:SourceType>
    <b:Guid>{1152216C-3F3B-30D1-B95E-50A5C67DA02B}</b:Guid>
    <b:Title>The Global Competitiveness Report 2008-2009</b:Title>
    <b:Year>2008</b:Year>
    <b:Author>
      <b:Author>
        <b:NameList>
          <b:Person>
            <b:Last>World Economic Forum</b:Last>
          </b:Person>
        </b:NameList>
      </b:Author>
    </b:Author>
    <b:StandardNumber>978-92-95044-11-1</b:StandardNumber>
    <b:URL>http://www3.weforum.org/docs/WEF_GlobalCompetitivenessReport_2008-09.pdf</b:URL>
    <b:LCID>en-US</b:LCID>
    <b:Version>Mendeley</b:Version>
    <b:RefOrder>4</b:RefOrder>
  </b:Source>
  <b:Source>
    <b:Tag>Mendeley_CND9rOwRgTGx8eCgbNXIfg</b:Tag>
    <b:SourceType>Book</b:SourceType>
    <b:Guid>{ACFDD008-11EC-3181-B1F1-E0A06CD5C87E}</b:Guid>
    <b:Title>The Global Competitiveness Report 2017-2018</b:Title>
    <b:Year>2017</b:Year>
    <b:Author>
      <b:Author>
        <b:NameList>
          <b:Person>
            <b:Last>World Economic Forum</b:Last>
          </b:Person>
        </b:NameList>
      </b:Author>
    </b:Author>
    <b:URL>http://www3.weforum.org/docs/GCR2017-2018/05FullReport/TheGlobalCompetitivenessReport2017%E2%80%932018.pdf</b:URL>
    <b:LCID>en-US</b:LCID>
    <b:Version>Mendeley</b:Version>
    <b:RefOrder>5</b:RefOrder>
  </b:Source>
</b:Sources>
</file>

<file path=customXml/itemProps1.xml><?xml version="1.0" encoding="utf-8"?>
<ds:datastoreItem xmlns:ds="http://schemas.openxmlformats.org/officeDocument/2006/customXml" ds:itemID="{14AFE78C-23E9-41A3-B45B-0D5F06A9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18162</Words>
  <Characters>103525</Characters>
  <Application>Microsoft Office Word</Application>
  <DocSecurity>0</DocSecurity>
  <Lines>862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Petrušić</dc:creator>
  <cp:lastModifiedBy>Jelena Saranovic</cp:lastModifiedBy>
  <cp:revision>18</cp:revision>
  <cp:lastPrinted>2018-10-15T08:04:00Z</cp:lastPrinted>
  <dcterms:created xsi:type="dcterms:W3CDTF">2018-11-16T13:54:00Z</dcterms:created>
  <dcterms:modified xsi:type="dcterms:W3CDTF">2018-11-16T14:25:00Z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