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19"/>
        <w:tblW w:w="6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40"/>
        <w:gridCol w:w="865"/>
        <w:gridCol w:w="141"/>
        <w:gridCol w:w="1385"/>
        <w:gridCol w:w="158"/>
        <w:gridCol w:w="1771"/>
        <w:gridCol w:w="1991"/>
        <w:gridCol w:w="3154"/>
      </w:tblGrid>
      <w:tr w:rsidR="008774EE" w:rsidRPr="00EA329E" w:rsidTr="00356B06">
        <w:trPr>
          <w:trHeight w:val="303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  <w:t>Naziv predmeta:</w:t>
            </w:r>
          </w:p>
        </w:tc>
        <w:tc>
          <w:tcPr>
            <w:tcW w:w="401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24"/>
                <w:szCs w:val="24"/>
              </w:rPr>
              <w:t>Politika i religija</w:t>
            </w:r>
          </w:p>
        </w:tc>
      </w:tr>
      <w:tr w:rsidR="008774EE" w:rsidRPr="00EA329E" w:rsidTr="00356B06">
        <w:trPr>
          <w:trHeight w:val="182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Status predmeta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Semestar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Broj ECTS kredita</w:t>
            </w: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Fond časova</w:t>
            </w:r>
          </w:p>
        </w:tc>
      </w:tr>
      <w:tr w:rsidR="008774EE" w:rsidRPr="00EA329E" w:rsidTr="00356B06">
        <w:trPr>
          <w:trHeight w:val="273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Obavezni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IV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2+1</w:t>
            </w:r>
          </w:p>
        </w:tc>
      </w:tr>
      <w:tr w:rsidR="008774EE" w:rsidRPr="00EA329E" w:rsidTr="00356B06">
        <w:trPr>
          <w:trHeight w:val="448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 xml:space="preserve">Studijski programi za koje se organizuje: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Fakultet političkih nauka -  Akademski studijski program za sticanje diplome: POLITIKOLOGA (Studije traju 6 semestara, 180 ECTS kredita)</w:t>
            </w:r>
          </w:p>
        </w:tc>
      </w:tr>
      <w:tr w:rsidR="008774EE" w:rsidRPr="00EA329E" w:rsidTr="00356B06">
        <w:trPr>
          <w:trHeight w:val="26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 xml:space="preserve">Uslovljenost drugim predmetima: </w:t>
            </w:r>
            <w:r w:rsidRPr="00EA329E">
              <w:rPr>
                <w:rFonts w:ascii="Arial" w:eastAsia="Times New Roman" w:hAnsi="Arial" w:cs="Arial"/>
                <w:bCs/>
                <w:iCs/>
                <w:noProof w:val="0"/>
                <w:sz w:val="18"/>
                <w:szCs w:val="18"/>
              </w:rPr>
              <w:t>nema</w:t>
            </w:r>
          </w:p>
        </w:tc>
      </w:tr>
      <w:tr w:rsidR="008774EE" w:rsidRPr="00EA329E" w:rsidTr="00356B06">
        <w:trPr>
          <w:trHeight w:val="36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noProof w:val="0"/>
                <w:sz w:val="18"/>
                <w:szCs w:val="18"/>
                <w:lang w:val="hr-HR"/>
              </w:rPr>
            </w:pPr>
            <w:r w:rsidRPr="00EA329E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 xml:space="preserve">Ciljevi izučavanja predmeta: </w:t>
            </w:r>
            <w:r w:rsidRPr="00EA329E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Sticanje znanja o odnosu politike i religije i međusobnom uticaju religije na polituku i politike na religiju.</w:t>
            </w:r>
          </w:p>
        </w:tc>
      </w:tr>
      <w:tr w:rsidR="008774EE" w:rsidRPr="00EA329E" w:rsidTr="00356B06">
        <w:trPr>
          <w:trHeight w:val="19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Arial Unicode MS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 xml:space="preserve">Ime i prezime nastavnika i saradnika: </w:t>
            </w:r>
            <w:r w:rsidRPr="00EA329E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 xml:space="preserve">dr Vladimir Bakrač, </w:t>
            </w:r>
            <w:r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 xml:space="preserve">mr mr </w:t>
            </w:r>
            <w:r w:rsidRPr="00EA329E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Almedina Vukić</w:t>
            </w:r>
          </w:p>
        </w:tc>
      </w:tr>
      <w:tr w:rsidR="008774EE" w:rsidRPr="00EA329E" w:rsidTr="00356B06">
        <w:trPr>
          <w:trHeight w:val="19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Metod nastave i savladanja gradiva: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 Predavanja, vježbe, seminarski radovi, testovi i konsultacije</w:t>
            </w:r>
          </w:p>
        </w:tc>
      </w:tr>
      <w:tr w:rsidR="008774EE" w:rsidRPr="00EA329E" w:rsidTr="00356B06">
        <w:trPr>
          <w:cantSplit/>
          <w:trHeight w:val="1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  <w:t>Sadržaj predmeta: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  <w:t>Pripremna nedjelja</w:t>
            </w:r>
          </w:p>
        </w:tc>
        <w:tc>
          <w:tcPr>
            <w:tcW w:w="3951" w:type="pct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</w:p>
        </w:tc>
      </w:tr>
      <w:tr w:rsidR="008774EE" w:rsidRPr="00EA329E" w:rsidTr="00356B06">
        <w:trPr>
          <w:cantSplit/>
          <w:trHeight w:val="345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I nedjelja 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 14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.2.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2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.2.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Upo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z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navanje studenata s literaturom, planom i programom predavanja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Upoznavanje studenata s literaturom, planom i programom vježbi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II nedjelja 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21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.2.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21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.2.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Politika i religija (predmet, zadatak, odnos prema srodnim disciplinama)                                M.J. 11-26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Definisanje pojma religija                                                                                                          Đ.Š. 31-57</w:t>
            </w:r>
          </w:p>
        </w:tc>
      </w:tr>
      <w:tr w:rsidR="008774EE" w:rsidRPr="00EA329E" w:rsidTr="00356B06">
        <w:trPr>
          <w:cantSplit/>
          <w:trHeight w:val="545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III nedjelja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28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07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Monoteističke religije (dogmatika i politika)                                                  M.V. (R)11-37; M.J. 331-336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Obrazlaganje definicije i Tipologija religi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je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                                          Đ.Š. 59-86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IV nedjelja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07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07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3.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Religije istoka (dogmatika i politika)                                                              M.V. (R)38-59, M.J. 336-342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Kognitivna i komunikativna funkcija religije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Đ.Š. 361-380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V nedjelja 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14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             21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Opšti odnos religije i politike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ab/>
              <w:t xml:space="preserve">                                                                                   Đ.Š. (II)87-110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Funkcija identiteta i identifikacije                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Đ.Š. 381-396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VI nedjelja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21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Vježbe    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21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Religija i nacija                                                                                                                  Đ.Š.(II) 111-135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Integrativna i funkcija orijentacije                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Đ.Š. 397-411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VII nedjelja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29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.3.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04.4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Sekularizacija (pojam i teorije) i Desekularizacija (obnova religioznosti)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ab/>
              <w:t xml:space="preserve">                               V.B. 83-128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Kolokvijum I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VIII nedjelja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04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04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Religija i globalizacija,                                                                                               I.C. 360-368/393-404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Funkcija adaptacije i kompenzacije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           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Đ.Š. 411-424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IX nedjelja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11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18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Religija i sukobi                                                                                                                  M.V. (HV)67-88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Funkcija legitimizacije i regulativna funkcija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                                                                         Đ.Š. 425-440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 nedjelja 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18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18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986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Vjerski fundamentalizam – doslednost, razgraničenje pojmova, vehabizam                   M.V.(HV) 89-103</w:t>
            </w:r>
          </w:p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Profetska i ideološka funkcija religije          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Đ.Š. 441-453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XI nedjelja 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25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.4.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02.5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Religija, demokratija i ljudska prava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ab/>
              <w:t xml:space="preserve">                              I.C. 272-292</w:t>
            </w:r>
          </w:p>
          <w:p w:rsidR="008774EE" w:rsidRPr="00EA329E" w:rsidRDefault="007A5618" w:rsidP="007A5618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Raskol unutar hrišćanstva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                                       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Đ.Š(II). 351-364/375-393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XII nedjelja 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02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02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Viševjerski karakter društva i politička stabilnost država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ab/>
              <w:t xml:space="preserve">                                 M.J. 67-90</w:t>
            </w:r>
          </w:p>
          <w:p w:rsidR="008774EE" w:rsidRPr="00EA329E" w:rsidRDefault="007A5618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Religija i nasilje                                              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                                       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Đ.Š(II). 351-364/375-393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XIII nedjelja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10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16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6555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Hrišćanstvo i politika, uticaj religije na ponašanje velikih sila                                                  M.J. 91-123</w:t>
            </w:r>
          </w:p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 xml:space="preserve">Kolokvijum II                           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XIV nedjelja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 w:rsidR="007A5618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16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Islam i politika, Ideja islamske države                                                                                    M.J. 170-222</w:t>
            </w:r>
          </w:p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 xml:space="preserve">XV nedjelja    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24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17</w:t>
            </w:r>
          </w:p>
          <w:p w:rsidR="008774EE" w:rsidRPr="00EA329E" w:rsidRDefault="008774EE" w:rsidP="00356B06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Vježbe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ab/>
              <w:t xml:space="preserve">         </w:t>
            </w:r>
            <w:r w:rsidR="007A5618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30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.5.</w:t>
            </w: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>17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sl-SI"/>
              </w:rPr>
              <w:t>Me</w:t>
            </w: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đureligijski dijalog – iskustva i perspektive  (Islam i Zapad)                                            M.V. (R)88-95</w:t>
            </w:r>
          </w:p>
          <w:p w:rsidR="008774EE" w:rsidRPr="00EA329E" w:rsidRDefault="007A5618" w:rsidP="007A5618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Popravni kolokvijumi I i II</w:t>
            </w: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  <w:t>XVI nedjelja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tabs>
                <w:tab w:val="left" w:pos="5703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Završni čas</w:t>
            </w:r>
          </w:p>
        </w:tc>
      </w:tr>
      <w:tr w:rsidR="008774EE" w:rsidRPr="00EA329E" w:rsidTr="00356B06">
        <w:trPr>
          <w:cantSplit/>
          <w:trHeight w:val="81"/>
        </w:trPr>
        <w:tc>
          <w:tcPr>
            <w:tcW w:w="1049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Završna nedjelja</w:t>
            </w:r>
          </w:p>
        </w:tc>
        <w:tc>
          <w:tcPr>
            <w:tcW w:w="3951" w:type="pct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noProof w:val="0"/>
                <w:sz w:val="18"/>
                <w:szCs w:val="18"/>
              </w:rPr>
            </w:pPr>
          </w:p>
        </w:tc>
      </w:tr>
      <w:tr w:rsidR="008774EE" w:rsidRPr="00EA329E" w:rsidTr="00356B06">
        <w:trPr>
          <w:cantSplit/>
          <w:trHeight w:val="141"/>
        </w:trPr>
        <w:tc>
          <w:tcPr>
            <w:tcW w:w="1049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sl-SI"/>
              </w:rPr>
              <w:t>XVIII-XXI nedjelja</w:t>
            </w:r>
          </w:p>
        </w:tc>
        <w:tc>
          <w:tcPr>
            <w:tcW w:w="3951" w:type="pct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000000"/>
                <w:sz w:val="18"/>
                <w:szCs w:val="18"/>
              </w:rPr>
              <w:t>Ispit 07.06. i 21.06.2017</w:t>
            </w:r>
            <w:r w:rsidRPr="00EA329E">
              <w:rPr>
                <w:rFonts w:ascii="Arial" w:eastAsia="Times New Roman" w:hAnsi="Arial" w:cs="Arial"/>
                <w:b/>
                <w:noProof w:val="0"/>
                <w:color w:val="000000"/>
                <w:sz w:val="18"/>
                <w:szCs w:val="18"/>
              </w:rPr>
              <w:t>. godine u 10.00h</w:t>
            </w:r>
          </w:p>
        </w:tc>
      </w:tr>
      <w:tr w:rsidR="008774EE" w:rsidRPr="00EA329E" w:rsidTr="00356B06">
        <w:trPr>
          <w:cantSplit/>
          <w:trHeight w:val="102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  <w:t>OPTEREĆENJE STUDENATA</w:t>
            </w:r>
          </w:p>
        </w:tc>
      </w:tr>
      <w:tr w:rsidR="008774EE" w:rsidRPr="00EA329E" w:rsidTr="00356B06">
        <w:trPr>
          <w:cantSplit/>
          <w:trHeight w:val="727"/>
        </w:trPr>
        <w:tc>
          <w:tcPr>
            <w:tcW w:w="1696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  <w:vertAlign w:val="superscript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</w:rPr>
              <w:t>Nedjeljno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u w:val="single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u w:val="single"/>
              </w:rPr>
              <w:t>Nedjeljno</w:t>
            </w:r>
          </w:p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6 kredita x 40/ 30 = 8 sati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Struktura: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2 sata predavanja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1 sat vježbi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  <w:vertAlign w:val="superscript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5 sati samostalnog rada</w:t>
            </w:r>
          </w:p>
          <w:p w:rsidR="008774EE" w:rsidRPr="00EA329E" w:rsidRDefault="008774EE" w:rsidP="00356B0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3304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  <w:vertAlign w:val="superscript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</w:rPr>
              <w:t>U semestru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Nastava i završni ispit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: (8 sati) x 16 = 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u w:val="single"/>
              </w:rPr>
              <w:t>128 sati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Neophodne pripreme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prije početka semestra (administracija, upis, ovjera) 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2 x (8 sati) = 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u w:val="single"/>
              </w:rPr>
              <w:t>16 sati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 xml:space="preserve">Ukupno opterećenje za  predmet  </w:t>
            </w: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u w:val="single"/>
              </w:rPr>
              <w:t>6x30  = 180 sati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 xml:space="preserve">Dopunski rad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u w:val="single"/>
              </w:rPr>
              <w:t xml:space="preserve">od 0 do 48 sati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 (preostalo vrijeme od prve dvije stavke do ukupnog opterećenja za predmet 240 sati)</w:t>
            </w:r>
          </w:p>
          <w:p w:rsidR="008774EE" w:rsidRPr="00EA329E" w:rsidRDefault="008774EE" w:rsidP="00356B06">
            <w:pPr>
              <w:spacing w:after="0" w:line="240" w:lineRule="auto"/>
              <w:ind w:left="431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noProof w:val="0"/>
                <w:sz w:val="18"/>
                <w:szCs w:val="18"/>
              </w:rPr>
              <w:t>Struktura opterećenja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: </w:t>
            </w:r>
          </w:p>
          <w:p w:rsidR="008774EE" w:rsidRPr="00EA329E" w:rsidRDefault="008774EE" w:rsidP="00356B06">
            <w:pPr>
              <w:spacing w:after="0" w:line="240" w:lineRule="auto"/>
              <w:rPr>
                <w:rFonts w:ascii="Arial Narrow" w:eastAsia="Times New Roman" w:hAnsi="Arial Narrow" w:cs="Times New Roman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128sati (Nastava)+16 sati.(Priprema)+36 sati (Dopunski rad)</w:t>
            </w:r>
          </w:p>
        </w:tc>
      </w:tr>
      <w:tr w:rsidR="008774EE" w:rsidRPr="00EA329E" w:rsidTr="00356B06">
        <w:trPr>
          <w:cantSplit/>
          <w:trHeight w:val="51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EE" w:rsidRPr="00FE3202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Literatura: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Miroljub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Jevti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ć,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Politikologija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religije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Centar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za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prou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č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avanje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religije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versku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toleranciju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Beograd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, 2009;  Đ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uro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Š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u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š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nji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ć,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II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, Č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igoja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š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tampa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Beograd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1998;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Milan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Vukomanovi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ć,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Homo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viator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–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novo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doba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, Č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igoja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š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tampa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2008;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Milan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Vukomanovi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ć,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Zavod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za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ud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ž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benike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nastavna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sredstva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Beograd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2004;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Vladimir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Bakra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č,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I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mladi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Narodna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knjiga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&amp;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MIBA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book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Beograd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–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Podgorica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2013; 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Ivan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Cvitkovi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ć,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Sociologija</w:t>
            </w:r>
            <w:r w:rsidRPr="00FE3202">
              <w:rPr>
                <w:rFonts w:ascii="Arial" w:eastAsia="Times New Roman" w:hAnsi="Arial" w:cs="Arial"/>
                <w:i/>
                <w:noProof w:val="0"/>
                <w:sz w:val="18"/>
                <w:szCs w:val="18"/>
              </w:rPr>
              <w:t xml:space="preserve">   </w:t>
            </w:r>
            <w:r w:rsidRPr="00EA329E">
              <w:rPr>
                <w:rFonts w:ascii="Arial" w:eastAsia="Times New Roman" w:hAnsi="Arial" w:cs="Arial"/>
                <w:i/>
                <w:noProof w:val="0"/>
                <w:sz w:val="18"/>
                <w:szCs w:val="18"/>
                <w:lang w:val="fr-CA"/>
              </w:rPr>
              <w:t>religije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DES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,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Sarajevo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, 2004.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ab/>
            </w:r>
          </w:p>
        </w:tc>
      </w:tr>
      <w:tr w:rsidR="008774EE" w:rsidRPr="00EA329E" w:rsidTr="00356B06">
        <w:trPr>
          <w:cantSplit/>
          <w:trHeight w:val="599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Oblici provjere znanja i ocjenjivanje:</w:t>
            </w:r>
          </w:p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Dva kolokvijuma od po maksimum  20 poena; Seminarski rad (5 poena); Prisustvo predavanjima i vježbama</w:t>
            </w:r>
            <w:r w:rsidRPr="00FE3202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 (5 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  <w:lang w:val="fr-CA"/>
              </w:rPr>
              <w:t>poena</w:t>
            </w:r>
            <w:r w:rsidRPr="00EA329E">
              <w:rPr>
                <w:rFonts w:ascii="Arial" w:eastAsia="Times New Roman" w:hAnsi="Arial" w:cs="Arial"/>
                <w:noProof w:val="0"/>
                <w:sz w:val="18"/>
                <w:szCs w:val="18"/>
              </w:rPr>
              <w:t>); Završni ispit-usmeno (50 poena)</w:t>
            </w:r>
          </w:p>
        </w:tc>
      </w:tr>
      <w:tr w:rsidR="008774EE" w:rsidRPr="00EA329E" w:rsidTr="00356B06">
        <w:trPr>
          <w:cantSplit/>
          <w:trHeight w:val="248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 xml:space="preserve">Posebna napomena za predmet: </w:t>
            </w:r>
            <w:r w:rsidRPr="00EA329E">
              <w:rPr>
                <w:rFonts w:ascii="Arial" w:eastAsia="Times New Roman" w:hAnsi="Arial" w:cs="Arial"/>
                <w:bCs/>
                <w:iCs/>
                <w:noProof w:val="0"/>
                <w:sz w:val="18"/>
                <w:szCs w:val="18"/>
              </w:rPr>
              <w:t>Nema posebnih napomena</w:t>
            </w:r>
          </w:p>
        </w:tc>
      </w:tr>
      <w:tr w:rsidR="008774EE" w:rsidRPr="00EA329E" w:rsidTr="00356B06">
        <w:trPr>
          <w:gridBefore w:val="1"/>
          <w:wBefore w:w="579" w:type="pct"/>
          <w:trHeight w:val="70"/>
        </w:trPr>
        <w:tc>
          <w:tcPr>
            <w:tcW w:w="442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4EE" w:rsidRPr="00EA329E" w:rsidRDefault="008774EE" w:rsidP="00356B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noProof w:val="0"/>
                <w:sz w:val="18"/>
                <w:szCs w:val="18"/>
              </w:rPr>
            </w:pPr>
            <w:r w:rsidRPr="00EA329E">
              <w:rPr>
                <w:rFonts w:ascii="Arial" w:eastAsia="Times New Roman" w:hAnsi="Arial" w:cs="Arial"/>
                <w:b/>
                <w:bCs/>
                <w:iCs/>
                <w:noProof w:val="0"/>
                <w:sz w:val="18"/>
                <w:szCs w:val="18"/>
              </w:rPr>
              <w:t>Ime i prezime nastavnika koji je pripremio podatke: dr Vladimir Bakrač</w:t>
            </w:r>
          </w:p>
        </w:tc>
      </w:tr>
    </w:tbl>
    <w:p w:rsidR="00543798" w:rsidRDefault="007A5618"/>
    <w:sectPr w:rsidR="00543798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EE"/>
    <w:rsid w:val="0062048A"/>
    <w:rsid w:val="00782845"/>
    <w:rsid w:val="007A5618"/>
    <w:rsid w:val="008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81DC-DB9E-47D8-9197-FD648C5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E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1</cp:revision>
  <dcterms:created xsi:type="dcterms:W3CDTF">2018-02-06T18:33:00Z</dcterms:created>
  <dcterms:modified xsi:type="dcterms:W3CDTF">2018-02-06T18:49:00Z</dcterms:modified>
</cp:coreProperties>
</file>