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37"/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"/>
        <w:gridCol w:w="877"/>
        <w:gridCol w:w="938"/>
        <w:gridCol w:w="1304"/>
        <w:gridCol w:w="690"/>
        <w:gridCol w:w="196"/>
        <w:gridCol w:w="649"/>
        <w:gridCol w:w="1543"/>
        <w:gridCol w:w="211"/>
        <w:gridCol w:w="1974"/>
        <w:gridCol w:w="283"/>
        <w:gridCol w:w="1919"/>
      </w:tblGrid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Naziv predmeta: Pravo Evropske unije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l-SI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l-SI"/>
              </w:rPr>
              <w:t>Šifra predmeta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Status predmeta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Semestar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Broj ECTS kredita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Fond časova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        Obavezni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3+1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Uslovljenost drugim predmetima: </w:t>
            </w:r>
            <w:r w:rsidRPr="000C0EC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Latn-CS"/>
              </w:rPr>
              <w:t>Nema uslova za prijavljianje i slušanje predmeta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Ciljevi izučavanja predmeta: </w:t>
            </w:r>
            <w:r w:rsidRPr="000C0ECB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sr-Latn-CS"/>
              </w:rPr>
              <w:t xml:space="preserve">Upoznavanje studenata sa osnovnim karakteristikama i konceptima prava Evropske unije. 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Metod nastave i savladanja gradiva: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  <w:t xml:space="preserve"> Predavanja, vježbe, seminarski radovi, interakcija u nastavi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tabs>
                <w:tab w:val="left" w:pos="700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val="sr-Cyrl-RS"/>
              </w:rPr>
            </w:pPr>
            <w:r w:rsidRPr="000C0ECB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</w:rPr>
              <w:t>Ishodi učenja</w:t>
            </w:r>
            <w:r w:rsidRPr="000C0ECB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val="sr-Cyrl-RS"/>
              </w:rPr>
              <w:t>:</w:t>
            </w:r>
          </w:p>
          <w:p w:rsidR="000C0ECB" w:rsidRPr="000C0ECB" w:rsidRDefault="000C0ECB" w:rsidP="000C0ECB">
            <w:pPr>
              <w:tabs>
                <w:tab w:val="left" w:pos="7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Definisati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specifičnost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C0E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sui generis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prirode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komunitarnog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prava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0C0ECB" w:rsidRPr="000C0ECB" w:rsidRDefault="000C0ECB" w:rsidP="000C0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Razumjeti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autonomnost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limitativnost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supranacionalnost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kao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ključne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karakteristike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evropskog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pravnog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sistema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0C0ECB" w:rsidRPr="000C0ECB" w:rsidRDefault="000C0ECB" w:rsidP="000C0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Upoznati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primarnim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sekundarnim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tercijarnim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izvorima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evropskog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prava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C0ECB" w:rsidRPr="000C0ECB" w:rsidRDefault="000C0ECB" w:rsidP="000C0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Analizirati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ključne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principe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kojima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počiva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pravo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kao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što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načelo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supsidijarnosti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neposrednog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dejstva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proporcionalnosti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C0ECB" w:rsidRPr="000C0ECB" w:rsidRDefault="000C0ECB" w:rsidP="000C0ECB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Prepoznati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značaj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smisao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precedenata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pravu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upoznati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najvažnijim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njih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Van Gend en Loods, Costa v. ENEL, 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SOLANGE I,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>Solange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II, 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Simmenhal).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C0ECB" w:rsidRPr="000C0ECB" w:rsidRDefault="000C0ECB" w:rsidP="000C0E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l-SI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l-SI"/>
              </w:rPr>
              <w:t>Sadržaj predmeta: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108" w:right="-9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l-SI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l-SI"/>
              </w:rPr>
              <w:t>Pripremna nedjelja</w:t>
            </w:r>
          </w:p>
        </w:tc>
        <w:tc>
          <w:tcPr>
            <w:tcW w:w="4029" w:type="pct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Ovjera i upis semestra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  <w:t>Nastavne jedinice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Uvod u predmet Pravo Evropske unije.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Nastanak EU. Pojam evropskog prava.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Evropska unija. Vrijednosti i načela.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Pravna priroda EU. Lisabonski ugovor. 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I test 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Izvori prava Evropske unije.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Odnos komunitarnog prava prema pravima država članica.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Primarno pravo Unije. Sekundarno pravo EU.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Pravni akti u oblasti policijske i pravosudne saradnje u krivičnim stvarima  i zajednićke spoljne politike i politike bezbjednosti 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Načelo slobode - prometa robe, vršenja usluga, kretanja kapitala i kretanja lica. 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II test 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Stvaranje prava EU. 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  <w:t>Izvršenje i zaštita prava EU.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  <w:t>EU pravo u širem smislu.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  <w:r w:rsidRPr="000C0E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l-SI"/>
              </w:rPr>
              <w:t>Završni ispit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5000" w:type="pct"/>
            <w:gridSpan w:val="1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l-SI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l-SI"/>
              </w:rPr>
              <w:t>OPTEREĆENJE STUDENATA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87" w:type="pct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sr-Latn-CS"/>
              </w:rPr>
            </w:pPr>
          </w:p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vertAlign w:val="superscript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sr-Latn-CS"/>
              </w:rPr>
              <w:t>Nedjeljno</w:t>
            </w:r>
          </w:p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>8 kredita x 40</w:t>
            </w:r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/30 = 10 sati i 40 minuta</w:t>
            </w:r>
          </w:p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Struktura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sata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predavanja</w:t>
            </w:r>
            <w:proofErr w:type="spellEnd"/>
          </w:p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vertAlign w:val="superscript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 w:rsidRPr="000C0E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sat </w:t>
            </w:r>
            <w:proofErr w:type="spellStart"/>
            <w:r w:rsidRPr="000C0E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vje</w:t>
            </w:r>
            <w:proofErr w:type="spellEnd"/>
            <w:r w:rsidRPr="000C0E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l-SI"/>
              </w:rPr>
              <w:t>ž</w:t>
            </w:r>
            <w:r w:rsidRPr="000C0E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bi</w:t>
            </w:r>
            <w:r w:rsidRPr="000C0EC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vertAlign w:val="superscript"/>
                <w:lang w:val="sr-Latn-CS"/>
              </w:rPr>
              <w:t xml:space="preserve"> </w:t>
            </w:r>
          </w:p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113" w:type="pct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vertAlign w:val="superscript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sr-Latn-CS"/>
              </w:rPr>
              <w:t>U semestru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>Nastava i završni ispit</w:t>
            </w:r>
            <w:r w:rsidRPr="000C0ECB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 xml:space="preserve">: (10 sati 40 minuta) x 16 = </w:t>
            </w:r>
            <w:r w:rsidRPr="000C0E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sr-Latn-CS"/>
              </w:rPr>
              <w:t xml:space="preserve">170 </w:t>
            </w:r>
            <w:r w:rsidRPr="000C0E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it-IT"/>
              </w:rPr>
              <w:t>sati</w:t>
            </w:r>
            <w:r w:rsidRPr="000C0E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sr-Latn-CS"/>
              </w:rPr>
              <w:t xml:space="preserve"> 40 </w:t>
            </w:r>
            <w:r w:rsidRPr="000C0E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it-IT"/>
              </w:rPr>
              <w:t>minuta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>Neophodne pripreme</w:t>
            </w:r>
            <w:r w:rsidRPr="000C0ECB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 xml:space="preserve"> (administracija, upis, ovjera prije početka semestra): 2x (10 sati i 40 minuta) = </w:t>
            </w:r>
            <w:r w:rsidRPr="000C0E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sr-Latn-CS"/>
              </w:rPr>
              <w:t>21 sat i 20 minuta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 xml:space="preserve">Ukupno opterećenje za  predmet: </w:t>
            </w:r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sr-Latn-CS"/>
              </w:rPr>
              <w:t>8x30 = 240 sati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CS"/>
              </w:rPr>
              <w:t xml:space="preserve">Dopunski rad: </w:t>
            </w:r>
            <w:r w:rsidRPr="000C0E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CS"/>
              </w:rPr>
              <w:t>za pripremu ispita u popravnom ispitnom roku, uključujući i polaganje popravnog ispita 0-48 (preostalo vrijeme od prve dvije stavke do ukupnog opterećenja za predmet 240 sati)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Struktura opterećenja</w:t>
            </w:r>
            <w:r w:rsidRPr="000C0E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CS"/>
              </w:rPr>
              <w:t>: 170 sati i 40 minuta (Nastava) + 21 sat i 20 minuta(priprema)+ 48 s</w:t>
            </w:r>
            <w:r w:rsidRPr="000C0E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а</w:t>
            </w:r>
            <w:r w:rsidRPr="000C0E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CS"/>
              </w:rPr>
              <w:t>ati(dopunski rad)</w:t>
            </w:r>
            <w:r w:rsidRPr="000C0ECB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rad)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Latn-CS"/>
              </w:rPr>
              <w:t>Literatura:</w:t>
            </w:r>
            <w:r w:rsidRPr="000C0EC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Latn-CS"/>
              </w:rPr>
              <w:t xml:space="preserve"> 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Latn-CS"/>
              </w:rPr>
              <w:t xml:space="preserve">Budimir Košutić, Osnovi prava Evropske unije, Pravni fakultet Univerziteta u Beogradu, Beograd 2010; 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Latn-CS"/>
              </w:rPr>
              <w:t>Radovan Vukadinović, Pravo Evropske unije, Centar za pravo Evropske unije, 2012;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Latn-CS"/>
              </w:rPr>
              <w:t>Zlatko Stefanović: Pravo Evropske unije, Beograd, 2003.; Gordana Ilić – Gazmi: Reforme Evropske unije, Beograd, 2004.</w:t>
            </w:r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  <w:t>Miroslav Prokopijević, Evropska unija, Uvod, Službeni glasnik, Beograd, 2010.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5000" w:type="pct"/>
            <w:gridSpan w:val="12"/>
            <w:tcBorders>
              <w:bottom w:val="dotted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sr-Latn-CS"/>
              </w:rPr>
              <w:t>Oblici provjere znanja i ocjenjivanje:</w:t>
            </w:r>
            <w:r w:rsidRPr="000C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</w:p>
          <w:p w:rsidR="000C0ECB" w:rsidRPr="000C0ECB" w:rsidRDefault="000C0ECB" w:rsidP="000C0EC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sr-Latn-CS"/>
              </w:rPr>
              <w:t>Kolokvijum</w:t>
            </w:r>
            <w:r w:rsidRPr="000C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: 2 x 25 poena (ukupno 50 poena)</w:t>
            </w:r>
          </w:p>
          <w:p w:rsidR="000C0ECB" w:rsidRPr="000C0ECB" w:rsidRDefault="000C0ECB" w:rsidP="000C0EC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sr-Latn-CS"/>
              </w:rPr>
              <w:t>Seminarski rad i interaktivnost</w:t>
            </w:r>
            <w:r w:rsidRPr="000C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: do 20 poena</w:t>
            </w:r>
          </w:p>
          <w:p w:rsidR="000C0ECB" w:rsidRPr="000C0ECB" w:rsidRDefault="000C0ECB" w:rsidP="000C0EC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sr-Latn-CS"/>
              </w:rPr>
              <w:t>Završni (usmeni) ispit</w:t>
            </w:r>
            <w:r w:rsidRPr="000C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: do 30 poena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7" w:type="pct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433" w:type="pct"/>
            <w:gridSpan w:val="3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1012" w:type="pct"/>
            <w:gridSpan w:val="2"/>
            <w:tcBorders>
              <w:bottom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CS"/>
              </w:rPr>
              <w:t>A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7" w:type="pct"/>
            <w:tcBorders>
              <w:bottom w:val="dotted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433" w:type="pct"/>
            <w:gridSpan w:val="3"/>
            <w:tcBorders>
              <w:bottom w:val="dotted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  <w:t>50-59</w:t>
            </w:r>
          </w:p>
        </w:tc>
        <w:tc>
          <w:tcPr>
            <w:tcW w:w="705" w:type="pct"/>
            <w:gridSpan w:val="3"/>
            <w:tcBorders>
              <w:bottom w:val="dotted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  <w:t>60-69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  <w:t>70-79</w:t>
            </w:r>
          </w:p>
        </w:tc>
        <w:tc>
          <w:tcPr>
            <w:tcW w:w="907" w:type="pct"/>
            <w:tcBorders>
              <w:bottom w:val="dotted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  <w:t>80-89</w:t>
            </w:r>
          </w:p>
        </w:tc>
        <w:tc>
          <w:tcPr>
            <w:tcW w:w="1012" w:type="pct"/>
            <w:gridSpan w:val="2"/>
            <w:tcBorders>
              <w:bottom w:val="dotted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Latn-CS"/>
              </w:rPr>
              <w:t>90-100</w:t>
            </w:r>
          </w:p>
        </w:tc>
      </w:tr>
      <w:tr w:rsidR="000C0ECB" w:rsidRPr="000C0ECB" w:rsidTr="002A27CD">
        <w:tblPrEx>
          <w:tblCellMar>
            <w:top w:w="0" w:type="dxa"/>
            <w:bottom w:w="0" w:type="dxa"/>
          </w:tblCellMar>
        </w:tblPrEx>
        <w:trPr>
          <w:gridBefore w:val="2"/>
          <w:wBefore w:w="540" w:type="pct"/>
          <w:trHeight w:val="156"/>
        </w:trPr>
        <w:tc>
          <w:tcPr>
            <w:tcW w:w="446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Latn-CS"/>
              </w:rPr>
              <w:t xml:space="preserve">Ime i prezime nastavnika koji je pripremio podatke: 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prof. dr Aneta Spai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ć. </w:t>
            </w:r>
            <w:hyperlink r:id="rId4" w:history="1">
              <w:r w:rsidRPr="000C0EC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r-Latn-CS"/>
                </w:rPr>
                <w:t>aspaic@yahoo.com</w:t>
              </w:r>
            </w:hyperlink>
          </w:p>
          <w:p w:rsidR="000C0ECB" w:rsidRPr="000C0ECB" w:rsidRDefault="000C0ECB" w:rsidP="000C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Latn-CS"/>
              </w:rPr>
            </w:pPr>
            <w:r w:rsidRPr="000C0E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Konsultacije: </w:t>
            </w:r>
            <w:r w:rsidRPr="000C0EC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Petak, u terminu 10.oo do 11.oo h.</w:t>
            </w:r>
          </w:p>
        </w:tc>
      </w:tr>
    </w:tbl>
    <w:p w:rsidR="000C0ECB" w:rsidRPr="000C0ECB" w:rsidRDefault="000C0ECB" w:rsidP="000C0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sr-Latn-CS"/>
        </w:rPr>
      </w:pPr>
    </w:p>
    <w:p w:rsidR="000C0ECB" w:rsidRPr="000C0ECB" w:rsidRDefault="000C0ECB" w:rsidP="000C0E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993300"/>
          <w:sz w:val="20"/>
          <w:szCs w:val="20"/>
          <w:lang w:val="sr-Latn-CS"/>
        </w:rPr>
      </w:pPr>
    </w:p>
    <w:p w:rsidR="000C0ECB" w:rsidRPr="000C0ECB" w:rsidRDefault="000C0ECB" w:rsidP="000C0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065B8A" w:rsidRDefault="00065B8A">
      <w:bookmarkStart w:id="0" w:name="_GoBack"/>
      <w:bookmarkEnd w:id="0"/>
    </w:p>
    <w:sectPr w:rsidR="00065B8A" w:rsidSect="00D463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73"/>
    <w:rsid w:val="00065B8A"/>
    <w:rsid w:val="000C0ECB"/>
    <w:rsid w:val="00C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BEA44-476A-45BD-BC02-E643983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pa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Company>Microsoft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2018-10-01T14:45:00Z</dcterms:created>
  <dcterms:modified xsi:type="dcterms:W3CDTF">2018-10-01T14:46:00Z</dcterms:modified>
</cp:coreProperties>
</file>