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C0BA" w14:textId="77777777" w:rsidR="00A41379" w:rsidRDefault="00A41379" w:rsidP="00A41379">
      <w:r>
        <w:t xml:space="preserve">                                       </w:t>
      </w:r>
    </w:p>
    <w:p w14:paraId="35CF6867" w14:textId="77777777" w:rsidR="00A41379" w:rsidRDefault="00A41379" w:rsidP="00A413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t xml:space="preserve">   </w:t>
      </w:r>
      <w:r>
        <w:rPr>
          <w:noProof/>
        </w:rPr>
        <w:drawing>
          <wp:inline distT="0" distB="0" distL="0" distR="0" wp14:anchorId="7A27EAA0" wp14:editId="6860EFAA">
            <wp:extent cx="2097405" cy="1633855"/>
            <wp:effectExtent l="0" t="0" r="0" b="444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 w:rsidRPr="00A41379">
        <w:rPr>
          <w:rFonts w:ascii="Times New Roman" w:hAnsi="Times New Roman" w:cs="Times New Roman"/>
          <w:b/>
          <w:sz w:val="32"/>
          <w:szCs w:val="32"/>
        </w:rPr>
        <w:t>P</w:t>
      </w:r>
      <w:r>
        <w:rPr>
          <w:rFonts w:ascii="Times New Roman" w:hAnsi="Times New Roman" w:cs="Times New Roman"/>
          <w:b/>
          <w:sz w:val="32"/>
          <w:szCs w:val="32"/>
        </w:rPr>
        <w:t>RIRODNO-MATEMATIČKI FAKULTET</w:t>
      </w:r>
      <w:r w:rsidRPr="00A41379">
        <w:rPr>
          <w:rFonts w:ascii="Times New Roman" w:hAnsi="Times New Roman" w:cs="Times New Roman"/>
          <w:b/>
          <w:sz w:val="32"/>
          <w:szCs w:val="32"/>
        </w:rPr>
        <w:br/>
        <w:t>BIOLOGIJA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A41379">
        <w:rPr>
          <w:rFonts w:ascii="Times New Roman" w:hAnsi="Times New Roman" w:cs="Times New Roman"/>
          <w:b/>
          <w:sz w:val="32"/>
          <w:szCs w:val="32"/>
        </w:rPr>
        <w:t>EKOFIZIOLOGIJA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14:paraId="70E5002C" w14:textId="54706E5C" w:rsidR="00A41379" w:rsidRDefault="00A41379" w:rsidP="00A413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                                        SEMINARSKI RAD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                    </w:t>
      </w:r>
      <w:r w:rsidR="0079686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UTICAJ TEŠKIH METALA NA BILJKE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Mentor: </w:t>
      </w:r>
      <w:r w:rsidR="00FC1AE2">
        <w:rPr>
          <w:rFonts w:ascii="Times New Roman" w:hAnsi="Times New Roman" w:cs="Times New Roman"/>
          <w:sz w:val="32"/>
          <w:szCs w:val="32"/>
        </w:rPr>
        <w:t>Prof</w:t>
      </w:r>
      <w:r w:rsidRPr="00A41379">
        <w:rPr>
          <w:rFonts w:ascii="Times New Roman" w:hAnsi="Times New Roman" w:cs="Times New Roman"/>
          <w:sz w:val="32"/>
          <w:szCs w:val="32"/>
        </w:rPr>
        <w:t>.</w:t>
      </w:r>
      <w:r w:rsidR="00FC1A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379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A41379">
        <w:rPr>
          <w:rFonts w:ascii="Times New Roman" w:hAnsi="Times New Roman" w:cs="Times New Roman"/>
          <w:sz w:val="32"/>
          <w:szCs w:val="32"/>
        </w:rPr>
        <w:t xml:space="preserve"> Danka </w:t>
      </w:r>
      <w:proofErr w:type="spellStart"/>
      <w:r w:rsidRPr="00A41379">
        <w:rPr>
          <w:rFonts w:ascii="Times New Roman" w:hAnsi="Times New Roman" w:cs="Times New Roman"/>
          <w:sz w:val="32"/>
          <w:szCs w:val="32"/>
        </w:rPr>
        <w:t>Caković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Student:</w:t>
      </w:r>
      <w:r w:rsidR="006A2C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Alija</w:t>
      </w:r>
      <w:proofErr w:type="spellEnd"/>
      <w:r w:rsidR="006A2C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2CA3">
        <w:rPr>
          <w:rFonts w:ascii="Times New Roman" w:hAnsi="Times New Roman" w:cs="Times New Roman"/>
          <w:sz w:val="32"/>
          <w:szCs w:val="32"/>
        </w:rPr>
        <w:t>Kalač</w:t>
      </w:r>
      <w:proofErr w:type="spellEnd"/>
    </w:p>
    <w:p w14:paraId="1C448023" w14:textId="77777777" w:rsidR="00A41379" w:rsidRDefault="00A41379" w:rsidP="00A41379">
      <w:pPr>
        <w:rPr>
          <w:rFonts w:ascii="Times New Roman" w:hAnsi="Times New Roman" w:cs="Times New Roman"/>
          <w:sz w:val="32"/>
          <w:szCs w:val="32"/>
        </w:rPr>
      </w:pPr>
    </w:p>
    <w:p w14:paraId="0AF484C7" w14:textId="77777777" w:rsidR="00A41379" w:rsidRPr="00A41379" w:rsidRDefault="00A41379" w:rsidP="00A4137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Podgorica</w:t>
      </w:r>
      <w:r w:rsidRPr="00A41379">
        <w:rPr>
          <w:rFonts w:ascii="Times New Roman" w:hAnsi="Times New Roman" w:cs="Times New Roman"/>
          <w:sz w:val="32"/>
          <w:szCs w:val="32"/>
        </w:rPr>
        <w:t>, 2019</w:t>
      </w:r>
      <w:r w:rsidRPr="00A41379">
        <w:rPr>
          <w:rFonts w:ascii="Times New Roman" w:hAnsi="Times New Roman" w:cs="Times New Roman"/>
          <w:sz w:val="32"/>
          <w:szCs w:val="32"/>
        </w:rPr>
        <w:br/>
      </w:r>
    </w:p>
    <w:p w14:paraId="61967366" w14:textId="4FFB3B91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UVOD.....................................................................................................................</w:t>
      </w:r>
      <w:r w:rsidR="00F304DC">
        <w:rPr>
          <w:rFonts w:ascii="Times New Roman" w:hAnsi="Times New Roman" w:cs="Times New Roman"/>
          <w:b/>
          <w:sz w:val="28"/>
          <w:szCs w:val="24"/>
        </w:rPr>
        <w:t xml:space="preserve"> 3</w:t>
      </w:r>
    </w:p>
    <w:p w14:paraId="63D5F73B" w14:textId="7777777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27A70D8" w14:textId="7777777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E47E336" w14:textId="76B4812D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/>
        <w:t xml:space="preserve">MATERIJAL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I  METODE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...................................................................................</w:t>
      </w:r>
      <w:r w:rsidR="00F304DC">
        <w:rPr>
          <w:rFonts w:ascii="Times New Roman" w:hAnsi="Times New Roman" w:cs="Times New Roman"/>
          <w:b/>
          <w:sz w:val="28"/>
          <w:szCs w:val="24"/>
        </w:rPr>
        <w:t xml:space="preserve"> 10</w:t>
      </w:r>
    </w:p>
    <w:p w14:paraId="36E4792B" w14:textId="7777777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6092555" w14:textId="7777777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7EA2F5B" w14:textId="7777777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E278B1A" w14:textId="1DF83E00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/>
        <w:t>REZULTATI..........................................................................................................</w:t>
      </w:r>
      <w:r w:rsidR="00F304DC">
        <w:rPr>
          <w:rFonts w:ascii="Times New Roman" w:hAnsi="Times New Roman" w:cs="Times New Roman"/>
          <w:b/>
          <w:sz w:val="28"/>
          <w:szCs w:val="24"/>
        </w:rPr>
        <w:t xml:space="preserve"> 14</w:t>
      </w:r>
    </w:p>
    <w:p w14:paraId="5E104480" w14:textId="7777777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120DD75" w14:textId="7777777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4DCAE1D" w14:textId="7777777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1107BDB" w14:textId="7777777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06C5AEC" w14:textId="6E7D3520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ZAKLJUČCI..........................................................................................................</w:t>
      </w:r>
      <w:r w:rsidR="00F304DC">
        <w:rPr>
          <w:rFonts w:ascii="Times New Roman" w:hAnsi="Times New Roman" w:cs="Times New Roman"/>
          <w:b/>
          <w:sz w:val="28"/>
          <w:szCs w:val="24"/>
        </w:rPr>
        <w:t xml:space="preserve"> 23</w:t>
      </w:r>
    </w:p>
    <w:p w14:paraId="37E8EBD2" w14:textId="7777777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DABBA31" w14:textId="7777777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012E103" w14:textId="7777777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F4F09A1" w14:textId="7777777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63141A7" w14:textId="3391ACC7" w:rsidR="0079686E" w:rsidRDefault="0079686E" w:rsidP="0079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LITERATUR</w:t>
      </w:r>
      <w:r w:rsidR="006A2CA3">
        <w:rPr>
          <w:rFonts w:ascii="Times New Roman" w:hAnsi="Times New Roman" w:cs="Times New Roman"/>
          <w:b/>
          <w:sz w:val="28"/>
          <w:szCs w:val="24"/>
        </w:rPr>
        <w:t>A</w:t>
      </w:r>
      <w:r>
        <w:rPr>
          <w:rFonts w:ascii="Times New Roman" w:hAnsi="Times New Roman" w:cs="Times New Roman"/>
          <w:b/>
          <w:sz w:val="28"/>
          <w:szCs w:val="24"/>
        </w:rPr>
        <w:t>......................................................................................................</w:t>
      </w:r>
      <w:r w:rsidR="00F304DC">
        <w:rPr>
          <w:rFonts w:ascii="Times New Roman" w:hAnsi="Times New Roman" w:cs="Times New Roman"/>
          <w:b/>
          <w:sz w:val="28"/>
          <w:szCs w:val="24"/>
        </w:rPr>
        <w:t xml:space="preserve"> 25</w:t>
      </w:r>
    </w:p>
    <w:p w14:paraId="2AB0672E" w14:textId="77777777" w:rsidR="0079686E" w:rsidRDefault="0079686E" w:rsidP="0079686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C731C70" w14:textId="77777777" w:rsidR="00A41379" w:rsidRPr="00A41379" w:rsidRDefault="00A41379" w:rsidP="0079686E">
      <w:pPr>
        <w:rPr>
          <w:rFonts w:ascii="Times New Roman" w:hAnsi="Times New Roman" w:cs="Times New Roman"/>
          <w:b/>
          <w:sz w:val="32"/>
          <w:szCs w:val="32"/>
        </w:rPr>
      </w:pPr>
    </w:p>
    <w:p w14:paraId="7716CE86" w14:textId="77777777" w:rsidR="00A41379" w:rsidRPr="00A41379" w:rsidRDefault="00A41379" w:rsidP="00A413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FDE2B7" w14:textId="77777777" w:rsidR="00A66B3B" w:rsidRDefault="00A66B3B" w:rsidP="00A41379"/>
    <w:p w14:paraId="66EF6005" w14:textId="77777777" w:rsidR="006A2CA3" w:rsidRDefault="006A2CA3" w:rsidP="00A41379"/>
    <w:p w14:paraId="08437BFB" w14:textId="77777777" w:rsidR="006A2CA3" w:rsidRDefault="006A2CA3" w:rsidP="00A41379"/>
    <w:p w14:paraId="1FF80FB2" w14:textId="77777777" w:rsidR="006A2CA3" w:rsidRDefault="006A2CA3" w:rsidP="00A41379"/>
    <w:p w14:paraId="0A7EEC65" w14:textId="77777777" w:rsidR="006A2CA3" w:rsidRDefault="006A2CA3" w:rsidP="00A41379"/>
    <w:p w14:paraId="423F922B" w14:textId="77777777" w:rsidR="006A2CA3" w:rsidRDefault="006A2CA3" w:rsidP="00A41379"/>
    <w:p w14:paraId="1BD74D4C" w14:textId="77777777" w:rsidR="006A2CA3" w:rsidRDefault="006A2CA3" w:rsidP="00A41379"/>
    <w:p w14:paraId="2DBD0FA3" w14:textId="77777777" w:rsidR="006A2CA3" w:rsidRDefault="006A2CA3" w:rsidP="00A41379"/>
    <w:p w14:paraId="490DAE71" w14:textId="77777777" w:rsidR="006A2CA3" w:rsidRDefault="006A2CA3" w:rsidP="00D20075">
      <w:pPr>
        <w:ind w:left="709" w:right="709"/>
      </w:pPr>
    </w:p>
    <w:p w14:paraId="2CE9F0CE" w14:textId="0CCDFFE4" w:rsidR="006A2CA3" w:rsidRDefault="00A83F42" w:rsidP="00A83F4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UVOD</w:t>
      </w:r>
    </w:p>
    <w:p w14:paraId="7726A7C9" w14:textId="53EB6AD1" w:rsidR="0045435B" w:rsidRPr="00F304DC" w:rsidRDefault="00742880" w:rsidP="00A83F42">
      <w:pPr>
        <w:rPr>
          <w:rFonts w:ascii="Times New Roman" w:hAnsi="Times New Roman" w:cs="Times New Roman"/>
          <w:sz w:val="24"/>
          <w:szCs w:val="24"/>
        </w:rPr>
      </w:pPr>
      <w:r w:rsidRPr="0045435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grupu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ubrajaju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gustina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veća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od 5 g/cm3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redni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atomski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veći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od 20. Pored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fizičko-hemijskog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značenja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termina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teški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izraz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češće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toksične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ispoljavaju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toksičnost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relativno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niskim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435B">
        <w:rPr>
          <w:rFonts w:ascii="Times New Roman" w:hAnsi="Times New Roman" w:cs="Times New Roman"/>
          <w:sz w:val="24"/>
          <w:szCs w:val="24"/>
        </w:rPr>
        <w:t>koncentracijama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zagađivačima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teški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neuništivosti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biološkog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kruženja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. US EPA je,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potencijalne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ustanovila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olovo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hrom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nikl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cink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arsen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kadmijum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živa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antimon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berilijum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selen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srebro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talijum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najopasnije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zagađujuće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Teški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životnoj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sredini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povećanim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količinama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ugrožavaju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životinja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javlja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direktna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posledica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njihovog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unošenja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organizam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lanca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ishrane</w:t>
      </w:r>
      <w:proofErr w:type="spellEnd"/>
      <w:r w:rsidR="00FC1AE2">
        <w:rPr>
          <w:rFonts w:ascii="Times New Roman" w:hAnsi="Times New Roman" w:cs="Times New Roman"/>
          <w:sz w:val="24"/>
          <w:szCs w:val="24"/>
        </w:rPr>
        <w:t>.</w:t>
      </w:r>
      <w:r w:rsidR="00F304D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važnu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kruženju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prirodi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Teški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najvećim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delom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ulaze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lanac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ishrane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načina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teški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dospevaju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prehrambene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proizvode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zagađenih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životinja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njihovu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proizvodnju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gaje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visokim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sadržajem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dospeti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njihov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organizam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takvih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ishranu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domaćih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životinja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dovešće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do toga da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kontaminirane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teškim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metalima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. Meso,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mleko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jaja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životinja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lošeg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visok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FC1AE2">
        <w:rPr>
          <w:rFonts w:ascii="Times New Roman" w:hAnsi="Times New Roman" w:cs="Times New Roman"/>
          <w:sz w:val="24"/>
          <w:szCs w:val="24"/>
        </w:rPr>
        <w:t xml:space="preserve"> </w:t>
      </w:r>
      <w:r w:rsidR="00FC1AE2" w:rsidRPr="00FC1A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1AE2" w:rsidRPr="00FC1AE2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="00FC1AE2" w:rsidRPr="00FC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AE2" w:rsidRPr="00FC1AE2">
        <w:rPr>
          <w:rFonts w:ascii="Times New Roman" w:hAnsi="Times New Roman" w:cs="Times New Roman"/>
          <w:sz w:val="24"/>
          <w:szCs w:val="24"/>
        </w:rPr>
        <w:t>Rajković</w:t>
      </w:r>
      <w:proofErr w:type="spellEnd"/>
      <w:r w:rsidR="00FC1AE2" w:rsidRPr="00FC1AE2">
        <w:rPr>
          <w:rFonts w:ascii="Times New Roman" w:hAnsi="Times New Roman" w:cs="Times New Roman"/>
          <w:sz w:val="24"/>
          <w:szCs w:val="24"/>
        </w:rPr>
        <w:t xml:space="preserve"> et al. 2012).</w:t>
      </w:r>
      <w:r w:rsidRPr="00FC1AE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Kontaminacija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teškim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metalima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postala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kritična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briga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životnu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sredinu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potencijalnih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štetnih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ekoloških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efekata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Takvi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toksični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elementi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smatraju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zagađivačima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tla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raširene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pojave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njihovog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akutnog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hroničnog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toksičnog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djelovanja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uzgajaju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takvim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5B">
        <w:rPr>
          <w:rFonts w:ascii="Times New Roman" w:hAnsi="Times New Roman" w:cs="Times New Roman"/>
          <w:sz w:val="24"/>
          <w:szCs w:val="24"/>
        </w:rPr>
        <w:t>tlima</w:t>
      </w:r>
      <w:proofErr w:type="spellEnd"/>
      <w:r w:rsidRPr="0045435B">
        <w:rPr>
          <w:rFonts w:ascii="Times New Roman" w:hAnsi="Times New Roman" w:cs="Times New Roman"/>
          <w:sz w:val="24"/>
          <w:szCs w:val="24"/>
        </w:rPr>
        <w:t xml:space="preserve">. </w:t>
      </w:r>
      <w:r w:rsidR="00F304D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Teški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metali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imaju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štetne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efekte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fiziološku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biohemijsku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funkciju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biljaka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Najočitiji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efekti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inhibicija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brzine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rasta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hloroza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nekroza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valjanje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lista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promijenjeno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stomatološko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djelovanje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smanjeni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vodni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potencijal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efluks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katjona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promjene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membranskim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funkcijama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inhibicija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fotosinteze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disanje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promjena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metabolizam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proofErr w:type="gram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aktivnosti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nekoliko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ključnih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enzima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Teški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metali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ometaju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redoks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homeostazu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stimulacijom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formiranja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prekomjernog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ROS-a,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što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superoksid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(O2 -),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hidroksilni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radikal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(OH ·),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singletoksigen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(1O2)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vodonikov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peroksid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(H2O2).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Proizvodnja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ROS-a je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visoka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kada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biljke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povezuju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različitim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stanjima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životne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sredine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što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suša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hlađenje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nedostatak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hranljivih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sastojaka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salinitet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[34-36]. On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uzrokuje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peroksidaciju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lipidnih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membrana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oksidaciju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proteina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inhibiciju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enzima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oštećenje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nukleinskih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kiselina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kasniju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ćelijsku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smrt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[33, 37, 38].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Hloroplasti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glavni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biljni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organeli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koji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proizvode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ROS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tokom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fotosinteze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[36].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HMsstress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pojačana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peroksizomalna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pokretljivost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korelirala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povećanjem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ROS [39-41]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što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indukcija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peroksizoma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lista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H2O2in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odgovor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Cdstress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[42]. NADPH-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oksidaze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povezane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membranom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plazmi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spojevi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peroksidaza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ćelijskom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zidu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glavni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izvori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apoplastičnih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enzima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koji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proizvode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O2.-iH2O2 [ Cd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stres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Vicia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faba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odgovor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Pb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stres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[46],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Arabidopsis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odgovor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Cd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Cu. </w:t>
      </w:r>
      <w:r w:rsidR="0045435B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45435B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45435B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F304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br/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Nepoželjni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rezultat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prekomjerne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proizvodnje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ROS-a je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oksidativni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stres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koji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može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uzrokovati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veliko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oštećenje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ćelija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Međutim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biljke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razvile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specifične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strategije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kako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bi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prevladale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popravile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oštećenja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uzrokovana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sROS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-om, a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mogu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ukloniti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antioksidant-enzimima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Biljke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nose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oksidativnim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stresom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pomoću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enzima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uklanjanje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ROS-a,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što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superoksid-dismutaza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(SOD),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askorbateperoksidaza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(APX),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monohidro-askorbatereduktaza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(MDHAR),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dehidro-askorbatereduktaza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(DHAR),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glutation-reduktaza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(GR),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katalaza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(CAT),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glutation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peroksidaza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 GPX)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kao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neenzimskim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spojevima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cistein</w:t>
      </w:r>
      <w:r w:rsidR="00A3646B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Cys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redukovan</w:t>
      </w:r>
      <w:r w:rsidR="00A3646B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og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glutation</w:t>
      </w:r>
      <w:r w:rsidR="00A3646B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(GSH),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karotenoid</w:t>
      </w:r>
      <w:r w:rsidR="00A3646B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askorbat</w:t>
      </w:r>
      <w:r w:rsidR="00A3646B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(ASC), α-</w:t>
      </w:r>
      <w:proofErr w:type="spellStart"/>
      <w:r w:rsidR="00056DBC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tokofero</w:t>
      </w:r>
      <w:r w:rsidR="00A3646B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</w:t>
      </w:r>
      <w:proofErr w:type="spellEnd"/>
      <w:r w:rsidR="00A3646B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7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hyperlink r:id="rId8" w:history="1">
        <w:r w:rsidR="00B67D0C" w:rsidRPr="000A7070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Farha </w:t>
        </w:r>
        <w:proofErr w:type="spellStart"/>
        <w:r w:rsidR="00B67D0C" w:rsidRPr="000A7070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Ashfaque</w:t>
        </w:r>
        <w:proofErr w:type="spellEnd"/>
      </w:hyperlink>
      <w:r w:rsidR="00B67D0C">
        <w:rPr>
          <w:rStyle w:val="Hyperlink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et al. 2016)</w:t>
      </w:r>
      <w:r w:rsidR="00FC1AE2">
        <w:rPr>
          <w:rStyle w:val="Hyperlink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.</w:t>
      </w:r>
      <w:r w:rsidR="00A3646B" w:rsidRPr="00A9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A3646B" w:rsidRPr="00F304D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utiču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rizosferi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organske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materije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fosfata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kreča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zavisi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od temperature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intenziteta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svetlosti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intenzitetom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usvajaju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nakupljaju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teške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metale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Razlike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uočljive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rastu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staništima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prirodno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bogatim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antropogenim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zagađenim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teškim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metalima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Biljne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sposobne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da bez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vidljivih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usvajaju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akumuliraju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velike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literaturi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nazivaju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metalofite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>”, „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hiperakumulatori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„flora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Pojam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flora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646B" w:rsidRPr="00F304DC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proofErr w:type="gram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biljne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normalno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razvijaju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rastu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bogatom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teškim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metalima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.Na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načina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nakupljanja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pod</w:t>
      </w:r>
      <w:r w:rsidR="00B67D0C">
        <w:rPr>
          <w:rFonts w:ascii="Times New Roman" w:hAnsi="Times New Roman" w:cs="Times New Roman"/>
          <w:sz w:val="24"/>
          <w:szCs w:val="24"/>
        </w:rPr>
        <w:t>ij</w:t>
      </w:r>
      <w:r w:rsidR="00A3646B" w:rsidRPr="00F304DC">
        <w:rPr>
          <w:rFonts w:ascii="Times New Roman" w:hAnsi="Times New Roman" w:cs="Times New Roman"/>
          <w:sz w:val="24"/>
          <w:szCs w:val="24"/>
        </w:rPr>
        <w:t>eliti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u tri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akumulatore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indikatore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teške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metale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nakupljaju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malim</w:t>
      </w:r>
      <w:proofErr w:type="spellEnd"/>
      <w:r w:rsidR="00A3646B" w:rsidRPr="00F3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6B" w:rsidRPr="00F304DC">
        <w:rPr>
          <w:rFonts w:ascii="Times New Roman" w:hAnsi="Times New Roman" w:cs="Times New Roman"/>
          <w:sz w:val="24"/>
          <w:szCs w:val="24"/>
        </w:rPr>
        <w:t>količinama</w:t>
      </w:r>
      <w:proofErr w:type="spellEnd"/>
      <w:r w:rsidR="00FC1AE2">
        <w:rPr>
          <w:rFonts w:ascii="Times New Roman" w:hAnsi="Times New Roman" w:cs="Times New Roman"/>
          <w:sz w:val="24"/>
          <w:szCs w:val="24"/>
        </w:rPr>
        <w:t xml:space="preserve"> </w:t>
      </w:r>
      <w:r w:rsidR="00FC1AE2" w:rsidRPr="00FC1A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1AE2" w:rsidRPr="00FC1AE2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="00FC1AE2" w:rsidRPr="00FC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AE2" w:rsidRPr="00FC1AE2">
        <w:rPr>
          <w:rFonts w:ascii="Times New Roman" w:hAnsi="Times New Roman" w:cs="Times New Roman"/>
          <w:sz w:val="24"/>
          <w:szCs w:val="24"/>
        </w:rPr>
        <w:t>Rajković</w:t>
      </w:r>
      <w:proofErr w:type="spellEnd"/>
      <w:r w:rsidR="00FC1AE2" w:rsidRPr="00FC1AE2">
        <w:rPr>
          <w:rFonts w:ascii="Times New Roman" w:hAnsi="Times New Roman" w:cs="Times New Roman"/>
          <w:sz w:val="24"/>
          <w:szCs w:val="24"/>
        </w:rPr>
        <w:t xml:space="preserve"> et al. 2012).</w:t>
      </w:r>
    </w:p>
    <w:p w14:paraId="0E301C29" w14:textId="77777777" w:rsidR="00F304DC" w:rsidRDefault="0045435B" w:rsidP="00B72C53">
      <w:pPr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963EFAD" wp14:editId="3115C229">
            <wp:extent cx="4162567" cy="412937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983642_291822151492012_675258151301283840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733" cy="420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br/>
        <w:t xml:space="preserve">              </w:t>
      </w:r>
      <w:proofErr w:type="spellStart"/>
      <w:r>
        <w:rPr>
          <w:rFonts w:cstheme="minorHAnsi"/>
          <w:sz w:val="24"/>
          <w:szCs w:val="24"/>
        </w:rPr>
        <w:t>Slika</w:t>
      </w:r>
      <w:proofErr w:type="spellEnd"/>
      <w:r>
        <w:rPr>
          <w:rFonts w:cstheme="minorHAnsi"/>
          <w:sz w:val="24"/>
          <w:szCs w:val="24"/>
        </w:rPr>
        <w:t xml:space="preserve"> 1. </w:t>
      </w:r>
      <w:proofErr w:type="spellStart"/>
      <w:r>
        <w:rPr>
          <w:rFonts w:cstheme="minorHAnsi"/>
          <w:sz w:val="24"/>
          <w:szCs w:val="24"/>
        </w:rPr>
        <w:t>Usvajanje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teških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metala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strane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biljaka</w:t>
      </w:r>
      <w:proofErr w:type="spellEnd"/>
    </w:p>
    <w:p w14:paraId="16DA7E00" w14:textId="4550A01D" w:rsidR="00B72C53" w:rsidRPr="002F7569" w:rsidRDefault="000E2166" w:rsidP="00B72C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2166">
        <w:rPr>
          <w:rFonts w:cstheme="minorHAnsi"/>
          <w:b/>
          <w:sz w:val="24"/>
          <w:szCs w:val="24"/>
        </w:rPr>
        <w:lastRenderedPageBreak/>
        <w:t>Efekti</w:t>
      </w:r>
      <w:proofErr w:type="spellEnd"/>
      <w:r w:rsidRPr="000E2166">
        <w:rPr>
          <w:rFonts w:cstheme="minorHAnsi"/>
          <w:b/>
          <w:sz w:val="24"/>
          <w:szCs w:val="24"/>
        </w:rPr>
        <w:t xml:space="preserve"> </w:t>
      </w:r>
      <w:proofErr w:type="spellStart"/>
      <w:r w:rsidRPr="000E2166">
        <w:rPr>
          <w:rFonts w:cstheme="minorHAnsi"/>
          <w:b/>
          <w:sz w:val="24"/>
          <w:szCs w:val="24"/>
        </w:rPr>
        <w:t>teških</w:t>
      </w:r>
      <w:proofErr w:type="spellEnd"/>
      <w:r w:rsidRPr="000E2166">
        <w:rPr>
          <w:rFonts w:cstheme="minorHAnsi"/>
          <w:b/>
          <w:sz w:val="24"/>
          <w:szCs w:val="24"/>
        </w:rPr>
        <w:t xml:space="preserve"> </w:t>
      </w:r>
      <w:proofErr w:type="spellStart"/>
      <w:r w:rsidRPr="000E2166">
        <w:rPr>
          <w:rFonts w:cstheme="minorHAnsi"/>
          <w:b/>
          <w:sz w:val="24"/>
          <w:szCs w:val="24"/>
        </w:rPr>
        <w:t>metala</w:t>
      </w:r>
      <w:proofErr w:type="spellEnd"/>
      <w:r w:rsidRPr="000E2166">
        <w:rPr>
          <w:rFonts w:cstheme="minorHAnsi"/>
          <w:b/>
          <w:sz w:val="24"/>
          <w:szCs w:val="24"/>
        </w:rPr>
        <w:t xml:space="preserve"> </w:t>
      </w:r>
      <w:proofErr w:type="spellStart"/>
      <w:r w:rsidRPr="000E2166">
        <w:rPr>
          <w:rFonts w:cstheme="minorHAnsi"/>
          <w:b/>
          <w:sz w:val="24"/>
          <w:szCs w:val="24"/>
        </w:rPr>
        <w:t>na</w:t>
      </w:r>
      <w:proofErr w:type="spellEnd"/>
      <w:r w:rsidRPr="000E2166">
        <w:rPr>
          <w:rFonts w:cstheme="minorHAnsi"/>
          <w:b/>
          <w:sz w:val="24"/>
          <w:szCs w:val="24"/>
        </w:rPr>
        <w:t xml:space="preserve"> </w:t>
      </w:r>
      <w:proofErr w:type="spellStart"/>
      <w:r w:rsidRPr="000E2166">
        <w:rPr>
          <w:rFonts w:cstheme="minorHAnsi"/>
          <w:b/>
          <w:sz w:val="24"/>
          <w:szCs w:val="24"/>
        </w:rPr>
        <w:t>fotosintezu</w:t>
      </w:r>
      <w:proofErr w:type="spellEnd"/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Poznato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teški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izazovu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inhibiciju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fotosinteze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direktne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posredne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načine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intenziteta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fotosinteze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posledica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oštećenja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teški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izazivaju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strukturi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hloroplasta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nastaje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usled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blokiraju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biosintezu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inhibiraju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enzima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uključenih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Kalvinov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ciklus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Seregin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Ivanov, 2001).</w:t>
      </w:r>
      <w:r w:rsidRPr="000E21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Dokazano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je da Ni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inhibira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elektron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transporni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lanac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feofitina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plastohinona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A (QA)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Fe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plastohinona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B (QB),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menjajući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strukturu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elektronskih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nosača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menjajući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strukturu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reakcionog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tilakoidima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joni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Ni2+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smanjuju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citohroma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b6f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b559,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ferodoksina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plastocijana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krajnji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smanjuje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efikasnost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elektron-transportnog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lanca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(Krupa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Baszynski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, 1995.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Inhibiranjem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ključnih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enzima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Rubisco, 3-fosfoglicerat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kinaze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, fruktoza-1,6bisfosfataze,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aldolaze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NAD-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NADP-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zavisne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fosfogliceraldehid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dehidrogenaze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teški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onemogućiti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usporiti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tamnu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fazu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fotosinteze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Ovakvi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efekti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dokazani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Cajanus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cajan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inkubacije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rastvorom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1 mM NiCl2</w:t>
      </w:r>
      <w:r w:rsidR="000645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Blokiranje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reakcija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Kalvinovog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ciklusa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dovodi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akumulacije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ATP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NADPH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proizvedenih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reakcijama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svetle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faze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fotosinteze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povratku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tilakoidnu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membranu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visok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gradijent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r w:rsidR="00FC1AE2">
        <w:rPr>
          <w:rFonts w:ascii="Times New Roman" w:hAnsi="Times New Roman" w:cs="Times New Roman"/>
          <w:sz w:val="24"/>
          <w:szCs w:val="24"/>
        </w:rPr>
        <w:t>membrane.</w:t>
      </w:r>
      <w:r w:rsidR="00FC1AE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mehanizam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teški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metali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smanjuju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fotosintetičku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produktivnost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potiče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zatvaranja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stoma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tretirane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teškim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metalima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smanjuje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unos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CO2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neophodan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izgradnju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šećera</w:t>
      </w:r>
      <w:proofErr w:type="spellEnd"/>
      <w:r w:rsidR="000645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Posl</w:t>
      </w:r>
      <w:r w:rsidR="0006458A">
        <w:rPr>
          <w:rFonts w:ascii="Times New Roman" w:hAnsi="Times New Roman" w:cs="Times New Roman"/>
          <w:sz w:val="24"/>
          <w:szCs w:val="24"/>
        </w:rPr>
        <w:t>j</w:t>
      </w:r>
      <w:r w:rsidRPr="000E2166">
        <w:rPr>
          <w:rFonts w:ascii="Times New Roman" w:hAnsi="Times New Roman" w:cs="Times New Roman"/>
          <w:sz w:val="24"/>
          <w:szCs w:val="24"/>
        </w:rPr>
        <w:t>edice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smanjenja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fotosinteze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odražavaju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inhibiciju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rasta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dovode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poremećaja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morfogenezi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stvaranju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fitotoksičnosti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karakteristični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delovanje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poput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hloroze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listova</w:t>
      </w:r>
      <w:proofErr w:type="spellEnd"/>
      <w:r w:rsidR="0006458A">
        <w:rPr>
          <w:rFonts w:ascii="Times New Roman" w:hAnsi="Times New Roman" w:cs="Times New Roman"/>
          <w:sz w:val="24"/>
          <w:szCs w:val="24"/>
        </w:rPr>
        <w:t xml:space="preserve"> (Marko </w:t>
      </w:r>
      <w:proofErr w:type="spellStart"/>
      <w:r w:rsidR="0006458A">
        <w:rPr>
          <w:rFonts w:ascii="Times New Roman" w:hAnsi="Times New Roman" w:cs="Times New Roman"/>
          <w:sz w:val="24"/>
          <w:szCs w:val="24"/>
        </w:rPr>
        <w:t>Kebert</w:t>
      </w:r>
      <w:proofErr w:type="spellEnd"/>
      <w:r w:rsidR="0006458A">
        <w:rPr>
          <w:rFonts w:ascii="Times New Roman" w:hAnsi="Times New Roman" w:cs="Times New Roman"/>
          <w:sz w:val="24"/>
          <w:szCs w:val="24"/>
        </w:rPr>
        <w:t>, 2014).</w:t>
      </w:r>
      <w:r>
        <w:rPr>
          <w:rFonts w:ascii="Times New Roman" w:hAnsi="Times New Roman" w:cs="Times New Roman"/>
          <w:sz w:val="24"/>
          <w:szCs w:val="24"/>
        </w:rPr>
        <w:br/>
      </w:r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Mnogi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enzimi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superoksid-dizmutaza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(SOD)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katalaza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(CAT),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metaloenzimi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sadrže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jone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Fe2+, Cu2+, Zn2+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Mn2+ u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prostetičkim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grupama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višak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Ni2+ograničava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unos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Fe2+, Cu2+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Zn2+ u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biljna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tkiva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usled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deficita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esencijalnih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redukcije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biosinteze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metaloenzima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učestvuju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antioksidantnoj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odbrani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Gajewska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et al., 2006).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fotosinteze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ukazuju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joni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Ni2+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kompetitivno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ukloniti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jone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Ca2+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vezujućih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proteinskom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kompleksu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produkciju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kiseonika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zameniti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jone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Mg2+ u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fotosistemu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II (PSII)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elektron-transportni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lanac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inhibira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166">
        <w:rPr>
          <w:rFonts w:ascii="Times New Roman" w:hAnsi="Times New Roman" w:cs="Times New Roman"/>
          <w:sz w:val="24"/>
          <w:szCs w:val="24"/>
        </w:rPr>
        <w:t>Solymosi</w:t>
      </w:r>
      <w:proofErr w:type="spellEnd"/>
      <w:r w:rsidRPr="000E2166">
        <w:rPr>
          <w:rFonts w:ascii="Times New Roman" w:hAnsi="Times New Roman" w:cs="Times New Roman"/>
          <w:sz w:val="24"/>
          <w:szCs w:val="24"/>
        </w:rPr>
        <w:t xml:space="preserve"> et al., 2004).</w:t>
      </w:r>
      <w:r w:rsidRPr="000E2166">
        <w:rPr>
          <w:rFonts w:ascii="Times New Roman" w:hAnsi="Times New Roman" w:cs="Times New Roman"/>
          <w:sz w:val="24"/>
          <w:szCs w:val="24"/>
        </w:rPr>
        <w:br/>
      </w:r>
      <w:r w:rsidR="00B72C53">
        <w:rPr>
          <w:rFonts w:cstheme="minorHAnsi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C646E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proofErr w:type="spellStart"/>
      <w:r w:rsidR="00B72C53" w:rsidRPr="002F7569">
        <w:rPr>
          <w:rFonts w:ascii="Times New Roman" w:hAnsi="Times New Roman" w:cs="Times New Roman"/>
          <w:b/>
          <w:sz w:val="24"/>
          <w:szCs w:val="24"/>
        </w:rPr>
        <w:t>Fitotoksičnost</w:t>
      </w:r>
      <w:proofErr w:type="spellEnd"/>
      <w:r w:rsidR="00B72C53" w:rsidRPr="002F7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2C53" w:rsidRPr="002F7569">
        <w:rPr>
          <w:rFonts w:ascii="Times New Roman" w:hAnsi="Times New Roman" w:cs="Times New Roman"/>
          <w:b/>
          <w:sz w:val="24"/>
          <w:szCs w:val="24"/>
        </w:rPr>
        <w:t>bakra</w:t>
      </w:r>
      <w:proofErr w:type="spellEnd"/>
      <w:r w:rsidR="00B72C53" w:rsidRPr="002F75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F742DB" w14:textId="480B083A" w:rsidR="002C646E" w:rsidRPr="007B3BC2" w:rsidRDefault="00B72C53" w:rsidP="002C646E">
      <w:pPr>
        <w:rPr>
          <w:rFonts w:ascii="Times New Roman" w:hAnsi="Times New Roman" w:cs="Times New Roman"/>
          <w:sz w:val="24"/>
          <w:szCs w:val="24"/>
        </w:rPr>
      </w:pPr>
      <w:r w:rsidRPr="002F75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usvajaju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bakra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Pretežno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usvajaju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bakra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helata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Sa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povećanjem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bakra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spoljašnjoj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sredini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intenzitet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usvajanja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naglo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povećava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njegovo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posredno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prisustvo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(Zn, Mn, Fe)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fosfata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Jone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bakra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intenzivno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usvajaju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nadzemnih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organa.  </w:t>
      </w:r>
      <w:r w:rsidRPr="002F7569">
        <w:rPr>
          <w:rFonts w:ascii="Times New Roman" w:hAnsi="Times New Roman" w:cs="Times New Roman"/>
          <w:sz w:val="24"/>
          <w:szCs w:val="24"/>
        </w:rPr>
        <w:br/>
        <w:t xml:space="preserve">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poređenju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biogenim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metalima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bakra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biljkama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znatno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manja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proseku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kreće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od 5 do 30 mg/kg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suvoj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materiji</w:t>
      </w:r>
      <w:proofErr w:type="spellEnd"/>
      <w:r w:rsidR="006D66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D66E5" w:rsidRPr="00FC1AE2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="006D66E5" w:rsidRPr="00FC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6E5" w:rsidRPr="00FC1AE2">
        <w:rPr>
          <w:rFonts w:ascii="Times New Roman" w:hAnsi="Times New Roman" w:cs="Times New Roman"/>
          <w:sz w:val="24"/>
          <w:szCs w:val="24"/>
        </w:rPr>
        <w:t>Rajković</w:t>
      </w:r>
      <w:proofErr w:type="spellEnd"/>
      <w:r w:rsidR="006D66E5" w:rsidRPr="00FC1AE2">
        <w:rPr>
          <w:rFonts w:ascii="Times New Roman" w:hAnsi="Times New Roman" w:cs="Times New Roman"/>
          <w:sz w:val="24"/>
          <w:szCs w:val="24"/>
        </w:rPr>
        <w:t xml:space="preserve"> et al. 2012</w:t>
      </w:r>
      <w:r w:rsidR="006D66E5">
        <w:rPr>
          <w:rFonts w:ascii="Times New Roman" w:hAnsi="Times New Roman" w:cs="Times New Roman"/>
          <w:sz w:val="24"/>
          <w:szCs w:val="24"/>
        </w:rPr>
        <w:t>)</w:t>
      </w:r>
      <w:r w:rsidRPr="002F7569">
        <w:rPr>
          <w:rFonts w:ascii="Times New Roman" w:hAnsi="Times New Roman" w:cs="Times New Roman"/>
          <w:sz w:val="24"/>
          <w:szCs w:val="24"/>
        </w:rPr>
        <w:br/>
        <w:t xml:space="preserve">Bakar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ulazi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sastav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enzima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zahvaljujući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tome,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posredno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odvijanje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mnogih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važnih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metabolizam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azotnih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jedinjenja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ugljenih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hidrata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fertilnost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polena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otpornost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bolestima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visokim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koncentracijama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toksičan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akceptorska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donorska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>
        <w:rPr>
          <w:rFonts w:ascii="Times New Roman" w:hAnsi="Times New Roman" w:cs="Times New Roman"/>
          <w:sz w:val="24"/>
          <w:szCs w:val="24"/>
        </w:rPr>
        <w:t>fotosistema</w:t>
      </w:r>
      <w:proofErr w:type="spellEnd"/>
      <w:r w:rsidR="00BB7861">
        <w:rPr>
          <w:rFonts w:ascii="Times New Roman" w:hAnsi="Times New Roman" w:cs="Times New Roman"/>
          <w:sz w:val="24"/>
          <w:szCs w:val="24"/>
        </w:rPr>
        <w:t xml:space="preserve"> II</w:t>
      </w:r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mete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toksičnog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napada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Cu2+. Na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redukujućoj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PSII,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plastohinon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B (QB)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feotitin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Pheo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–Fe-QA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domen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Yruela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et al., 2000)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predstavljaju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najveće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osetljivosti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toksične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efekte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61" w:rsidRPr="00BB7861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="00BB7861" w:rsidRPr="00BB7861">
        <w:rPr>
          <w:rFonts w:ascii="Times New Roman" w:hAnsi="Times New Roman" w:cs="Times New Roman"/>
          <w:sz w:val="24"/>
          <w:szCs w:val="24"/>
        </w:rPr>
        <w:t xml:space="preserve"> Cu2</w:t>
      </w:r>
      <w:r w:rsidR="00BB78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646E">
        <w:rPr>
          <w:rFonts w:ascii="Times New Roman" w:hAnsi="Times New Roman" w:cs="Times New Roman"/>
          <w:sz w:val="24"/>
          <w:szCs w:val="24"/>
        </w:rPr>
        <w:t>P</w:t>
      </w:r>
      <w:r w:rsidR="002C646E" w:rsidRPr="002C646E">
        <w:rPr>
          <w:rFonts w:ascii="Times New Roman" w:hAnsi="Times New Roman" w:cs="Times New Roman"/>
          <w:sz w:val="24"/>
          <w:szCs w:val="24"/>
        </w:rPr>
        <w:t>rikupljeni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dokazi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joni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Cu2+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remete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oksidujuću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stranu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PSII,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reagujući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tirozinskim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ostacima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D2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proteina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Dokazano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joni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Cu2+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interaguju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jonima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Ca2+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donorskoj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fotosistema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646E" w:rsidRPr="002C64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r w:rsid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histidinskim</w:t>
      </w:r>
      <w:proofErr w:type="spellEnd"/>
      <w:proofErr w:type="gram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ostacima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proteina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Mn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klastera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stvaranju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kiseonika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akceptorskoj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joni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Cu2+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interaguju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nehemskim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Fe2+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dovode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redoks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potencijala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citohroma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b559 (</w:t>
      </w:r>
      <w:proofErr w:type="spellStart"/>
      <w:r w:rsidR="002C646E" w:rsidRPr="002C646E">
        <w:rPr>
          <w:rFonts w:ascii="Times New Roman" w:hAnsi="Times New Roman" w:cs="Times New Roman"/>
          <w:sz w:val="24"/>
          <w:szCs w:val="24"/>
        </w:rPr>
        <w:t>cyt</w:t>
      </w:r>
      <w:proofErr w:type="spellEnd"/>
      <w:r w:rsidR="002C646E" w:rsidRPr="002C646E">
        <w:rPr>
          <w:rFonts w:ascii="Times New Roman" w:hAnsi="Times New Roman" w:cs="Times New Roman"/>
          <w:sz w:val="24"/>
          <w:szCs w:val="24"/>
        </w:rPr>
        <w:t xml:space="preserve"> b559) (Bernal et al., 2004). </w:t>
      </w:r>
      <w:r w:rsidR="002C646E">
        <w:rPr>
          <w:rFonts w:ascii="Times New Roman" w:hAnsi="Times New Roman" w:cs="Times New Roman"/>
          <w:sz w:val="24"/>
          <w:szCs w:val="24"/>
        </w:rPr>
        <w:br/>
      </w:r>
      <w:r w:rsidR="002C64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02E722" wp14:editId="1FA4C0BE">
            <wp:extent cx="4067033" cy="3339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12fig01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782" cy="338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46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C646E" w:rsidRPr="002C646E">
        <w:rPr>
          <w:rFonts w:ascii="Times New Roman" w:hAnsi="Times New Roman" w:cs="Times New Roman"/>
        </w:rPr>
        <w:t>Slika</w:t>
      </w:r>
      <w:proofErr w:type="spellEnd"/>
      <w:r w:rsidR="002C646E" w:rsidRPr="002C646E">
        <w:rPr>
          <w:rFonts w:ascii="Times New Roman" w:hAnsi="Times New Roman" w:cs="Times New Roman"/>
        </w:rPr>
        <w:t xml:space="preserve"> 7. </w:t>
      </w:r>
      <w:proofErr w:type="spellStart"/>
      <w:r w:rsidR="002C646E" w:rsidRPr="002C646E">
        <w:rPr>
          <w:rFonts w:ascii="Times New Roman" w:hAnsi="Times New Roman" w:cs="Times New Roman"/>
        </w:rPr>
        <w:t>M</w:t>
      </w:r>
      <w:r w:rsidR="002C646E">
        <w:rPr>
          <w:rFonts w:ascii="Times New Roman" w:hAnsi="Times New Roman" w:cs="Times New Roman"/>
        </w:rPr>
        <w:t>j</w:t>
      </w:r>
      <w:r w:rsidR="002C646E" w:rsidRPr="002C646E">
        <w:rPr>
          <w:rFonts w:ascii="Times New Roman" w:hAnsi="Times New Roman" w:cs="Times New Roman"/>
        </w:rPr>
        <w:t>esta</w:t>
      </w:r>
      <w:proofErr w:type="spellEnd"/>
      <w:r w:rsidR="002C646E" w:rsidRPr="002C646E">
        <w:rPr>
          <w:rFonts w:ascii="Times New Roman" w:hAnsi="Times New Roman" w:cs="Times New Roman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</w:rPr>
        <w:t>d</w:t>
      </w:r>
      <w:r w:rsidR="002C646E">
        <w:rPr>
          <w:rFonts w:ascii="Times New Roman" w:hAnsi="Times New Roman" w:cs="Times New Roman"/>
        </w:rPr>
        <w:t>j</w:t>
      </w:r>
      <w:r w:rsidR="002C646E" w:rsidRPr="002C646E">
        <w:rPr>
          <w:rFonts w:ascii="Times New Roman" w:hAnsi="Times New Roman" w:cs="Times New Roman"/>
        </w:rPr>
        <w:t>elovanja</w:t>
      </w:r>
      <w:proofErr w:type="spellEnd"/>
      <w:r w:rsidR="002C646E" w:rsidRPr="002C646E">
        <w:rPr>
          <w:rFonts w:ascii="Times New Roman" w:hAnsi="Times New Roman" w:cs="Times New Roman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</w:rPr>
        <w:t>jona</w:t>
      </w:r>
      <w:proofErr w:type="spellEnd"/>
      <w:r w:rsidR="002C646E" w:rsidRPr="002C646E">
        <w:rPr>
          <w:rFonts w:ascii="Times New Roman" w:hAnsi="Times New Roman" w:cs="Times New Roman"/>
        </w:rPr>
        <w:t xml:space="preserve"> Cu2+ u </w:t>
      </w:r>
      <w:proofErr w:type="spellStart"/>
      <w:r w:rsidR="002C646E" w:rsidRPr="002C646E">
        <w:rPr>
          <w:rFonts w:ascii="Times New Roman" w:hAnsi="Times New Roman" w:cs="Times New Roman"/>
        </w:rPr>
        <w:t>fotosistemu</w:t>
      </w:r>
      <w:proofErr w:type="spellEnd"/>
      <w:r w:rsidR="002C646E" w:rsidRPr="002C646E">
        <w:rPr>
          <w:rFonts w:ascii="Times New Roman" w:hAnsi="Times New Roman" w:cs="Times New Roman"/>
        </w:rPr>
        <w:t xml:space="preserve"> II </w:t>
      </w:r>
      <w:proofErr w:type="spellStart"/>
      <w:r w:rsidR="002C646E" w:rsidRPr="002C646E">
        <w:rPr>
          <w:rFonts w:ascii="Times New Roman" w:hAnsi="Times New Roman" w:cs="Times New Roman"/>
        </w:rPr>
        <w:t>na</w:t>
      </w:r>
      <w:proofErr w:type="spellEnd"/>
      <w:r w:rsidR="002C646E" w:rsidRPr="002C646E">
        <w:rPr>
          <w:rFonts w:ascii="Times New Roman" w:hAnsi="Times New Roman" w:cs="Times New Roman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</w:rPr>
        <w:t>tilakoidnoj</w:t>
      </w:r>
      <w:proofErr w:type="spellEnd"/>
      <w:r w:rsidR="002C646E" w:rsidRPr="002C646E">
        <w:rPr>
          <w:rFonts w:ascii="Times New Roman" w:hAnsi="Times New Roman" w:cs="Times New Roman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</w:rPr>
        <w:t>membrani</w:t>
      </w:r>
      <w:proofErr w:type="spellEnd"/>
      <w:r w:rsidR="002C646E" w:rsidRPr="002C646E">
        <w:rPr>
          <w:rFonts w:ascii="Times New Roman" w:hAnsi="Times New Roman" w:cs="Times New Roman"/>
        </w:rPr>
        <w:t xml:space="preserve"> </w:t>
      </w:r>
      <w:proofErr w:type="spellStart"/>
      <w:r w:rsidR="002C646E" w:rsidRPr="002C646E">
        <w:rPr>
          <w:rFonts w:ascii="Times New Roman" w:hAnsi="Times New Roman" w:cs="Times New Roman"/>
        </w:rPr>
        <w:t>hloroplasta</w:t>
      </w:r>
      <w:proofErr w:type="spellEnd"/>
      <w:r w:rsidR="002C646E" w:rsidRPr="002C646E">
        <w:rPr>
          <w:rFonts w:ascii="Times New Roman" w:hAnsi="Times New Roman" w:cs="Times New Roman"/>
        </w:rPr>
        <w:t xml:space="preserve"> (</w:t>
      </w:r>
      <w:proofErr w:type="spellStart"/>
      <w:r w:rsidR="002C646E" w:rsidRPr="002C646E">
        <w:rPr>
          <w:rFonts w:ascii="Times New Roman" w:hAnsi="Times New Roman" w:cs="Times New Roman"/>
        </w:rPr>
        <w:t>Yruela</w:t>
      </w:r>
      <w:proofErr w:type="spellEnd"/>
      <w:r w:rsidR="002C646E" w:rsidRPr="002C646E">
        <w:rPr>
          <w:rFonts w:ascii="Times New Roman" w:hAnsi="Times New Roman" w:cs="Times New Roman"/>
        </w:rPr>
        <w:t>, 2000)</w:t>
      </w:r>
    </w:p>
    <w:p w14:paraId="63357395" w14:textId="77777777" w:rsidR="002C646E" w:rsidRDefault="002C646E" w:rsidP="002C646E">
      <w:pPr>
        <w:rPr>
          <w:rFonts w:ascii="Times New Roman" w:hAnsi="Times New Roman" w:cs="Times New Roman"/>
          <w:b/>
          <w:sz w:val="24"/>
          <w:szCs w:val="24"/>
        </w:rPr>
      </w:pPr>
    </w:p>
    <w:p w14:paraId="2A0C2F04" w14:textId="50BCF593" w:rsidR="00B72C53" w:rsidRPr="002F7569" w:rsidRDefault="00B72C53" w:rsidP="002C646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569">
        <w:rPr>
          <w:rFonts w:ascii="Times New Roman" w:hAnsi="Times New Roman" w:cs="Times New Roman"/>
          <w:b/>
          <w:sz w:val="24"/>
          <w:szCs w:val="24"/>
        </w:rPr>
        <w:lastRenderedPageBreak/>
        <w:t>Fitotoksičnost</w:t>
      </w:r>
      <w:proofErr w:type="spellEnd"/>
      <w:r w:rsidRPr="002F7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b/>
          <w:sz w:val="24"/>
          <w:szCs w:val="24"/>
        </w:rPr>
        <w:t>cin</w:t>
      </w:r>
      <w:r w:rsidR="007B3BC2">
        <w:rPr>
          <w:rFonts w:ascii="Times New Roman" w:hAnsi="Times New Roman" w:cs="Times New Roman"/>
          <w:b/>
          <w:sz w:val="24"/>
          <w:szCs w:val="24"/>
        </w:rPr>
        <w:t>k</w:t>
      </w:r>
      <w:r w:rsidRPr="002F7569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2F75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CEF3D6" w14:textId="1AB56724" w:rsidR="00B72C53" w:rsidRPr="002F7569" w:rsidRDefault="00B72C53" w:rsidP="00B72C53">
      <w:pPr>
        <w:rPr>
          <w:rFonts w:ascii="Times New Roman" w:hAnsi="Times New Roman" w:cs="Times New Roman"/>
          <w:sz w:val="24"/>
          <w:szCs w:val="24"/>
        </w:rPr>
      </w:pPr>
      <w:r w:rsidRPr="002F75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Terestrične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cink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skoro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usvajaju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delom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dvovalentnog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katjona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Zn2+, 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višim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vrednostima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monovalentni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katjon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569">
        <w:rPr>
          <w:rFonts w:ascii="Times New Roman" w:hAnsi="Times New Roman" w:cs="Times New Roman"/>
          <w:sz w:val="24"/>
          <w:szCs w:val="24"/>
        </w:rPr>
        <w:t>Zn(</w:t>
      </w:r>
      <w:proofErr w:type="gramEnd"/>
      <w:r w:rsidRPr="002F7569">
        <w:rPr>
          <w:rFonts w:ascii="Times New Roman" w:hAnsi="Times New Roman" w:cs="Times New Roman"/>
          <w:sz w:val="24"/>
          <w:szCs w:val="24"/>
        </w:rPr>
        <w:t xml:space="preserve">OH)+.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usvajaju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intenzivnije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nekih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mikroelemenata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molibden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>.</w:t>
      </w:r>
      <w:r w:rsidRPr="002F756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tvrđeno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cinka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njegovu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translokaciju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izdanak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značajnoj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meri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inhibira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visoka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HCO3–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bikarbonata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fosfata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cinka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suvoj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materiji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kreće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proseku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od 30 do 150 mg/kg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suve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materije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Raspodela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cinka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specifična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većoj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meri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nakuplja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korenu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mladim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Cink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spada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grupu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elemenata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pokretljivost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biljkama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osrednja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njegova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spoljašnjoj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sredini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visoka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nakuplja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korenu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>.</w:t>
      </w:r>
      <w:r w:rsidRPr="002F756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Cink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aktivira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ulazi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sastav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nekih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enzima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karboanhidraze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SOD,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alkalne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fosfataze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proteinaza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peptidaza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dr.)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zahvaljujući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tome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posredno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odvijanju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brojnih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metabolitičkih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živih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organizama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višestruke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uloge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životu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nedostatak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cinka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izaziva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velike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prometu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materija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morfološkoj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anatomskoj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građi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Cink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neophodan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biosintezu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auksina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 </w:t>
      </w:r>
      <w:r w:rsidRPr="002F756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Visoka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cinka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izaziva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manje</w:t>
      </w:r>
      <w:r w:rsidR="006D66E5">
        <w:rPr>
          <w:rFonts w:ascii="Times New Roman" w:hAnsi="Times New Roman" w:cs="Times New Roman"/>
          <w:sz w:val="24"/>
          <w:szCs w:val="24"/>
        </w:rPr>
        <w:t>-</w:t>
      </w:r>
      <w:r w:rsidRPr="002F7569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specifične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morfološke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fiziološke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ogleda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nižem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rastu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smanjenju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korenovog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sitnih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listova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javljaju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crvenkasto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mrke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</w:t>
      </w:r>
      <w:r w:rsidR="006D66E5">
        <w:rPr>
          <w:rFonts w:ascii="Times New Roman" w:hAnsi="Times New Roman" w:cs="Times New Roman"/>
          <w:sz w:val="24"/>
          <w:szCs w:val="24"/>
        </w:rPr>
        <w:t>j</w:t>
      </w:r>
      <w:r w:rsidRPr="002F7569">
        <w:rPr>
          <w:rFonts w:ascii="Times New Roman" w:hAnsi="Times New Roman" w:cs="Times New Roman"/>
          <w:sz w:val="24"/>
          <w:szCs w:val="24"/>
        </w:rPr>
        <w:t>ege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rubu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nekroza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Visoke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cinka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smanje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neophodnih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elemenata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gvožđa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os</w:t>
      </w:r>
      <w:r w:rsidR="006D66E5">
        <w:rPr>
          <w:rFonts w:ascii="Times New Roman" w:hAnsi="Times New Roman" w:cs="Times New Roman"/>
          <w:sz w:val="24"/>
          <w:szCs w:val="24"/>
        </w:rPr>
        <w:t>j</w:t>
      </w:r>
      <w:r w:rsidRPr="002F7569">
        <w:rPr>
          <w:rFonts w:ascii="Times New Roman" w:hAnsi="Times New Roman" w:cs="Times New Roman"/>
          <w:sz w:val="24"/>
          <w:szCs w:val="24"/>
        </w:rPr>
        <w:t>etljivijih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visoke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cinka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sprečavaju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izduživanje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korena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os</w:t>
      </w:r>
      <w:r w:rsidR="006D66E5">
        <w:rPr>
          <w:rFonts w:ascii="Times New Roman" w:hAnsi="Times New Roman" w:cs="Times New Roman"/>
          <w:sz w:val="24"/>
          <w:szCs w:val="24"/>
        </w:rPr>
        <w:t>j</w:t>
      </w:r>
      <w:r w:rsidRPr="002F7569">
        <w:rPr>
          <w:rFonts w:ascii="Times New Roman" w:hAnsi="Times New Roman" w:cs="Times New Roman"/>
          <w:sz w:val="24"/>
          <w:szCs w:val="24"/>
        </w:rPr>
        <w:t>etljiv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pokazatelj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toksičnog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dejstva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>.</w:t>
      </w:r>
    </w:p>
    <w:p w14:paraId="3F458B82" w14:textId="77777777" w:rsidR="002F7569" w:rsidRDefault="002F7569" w:rsidP="00B72C53">
      <w:pPr>
        <w:rPr>
          <w:rFonts w:ascii="Times New Roman" w:hAnsi="Times New Roman" w:cs="Times New Roman"/>
          <w:sz w:val="24"/>
          <w:szCs w:val="24"/>
        </w:rPr>
      </w:pPr>
    </w:p>
    <w:p w14:paraId="4B891532" w14:textId="541B8837" w:rsidR="00B72C53" w:rsidRPr="002F7569" w:rsidRDefault="00B72C53" w:rsidP="00B72C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569">
        <w:rPr>
          <w:rFonts w:ascii="Times New Roman" w:hAnsi="Times New Roman" w:cs="Times New Roman"/>
          <w:b/>
          <w:sz w:val="24"/>
          <w:szCs w:val="24"/>
        </w:rPr>
        <w:t>Fitotoksičnost</w:t>
      </w:r>
      <w:proofErr w:type="spellEnd"/>
      <w:r w:rsidRPr="002F7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b/>
          <w:sz w:val="24"/>
          <w:szCs w:val="24"/>
        </w:rPr>
        <w:t>olova</w:t>
      </w:r>
      <w:proofErr w:type="spellEnd"/>
      <w:r w:rsidRPr="002F75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E48486" w14:textId="6A75F063" w:rsidR="00052A69" w:rsidRPr="00052A69" w:rsidRDefault="00B72C53" w:rsidP="009D003D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Scheffer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-u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ukupnog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varira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od 5 do 100 mg/kg.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Povećanim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količinama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olovo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pokazuje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toksično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dejstvo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štetno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deluje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životinja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hrane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njime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obogaćenim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biljnim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produktima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Olovo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uzeto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malim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količinama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većim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od 10 mg/kg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suve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biljne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mase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povoljno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tok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izvesnih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fizioloških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biljnim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organizmima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kvalitet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biljne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produkcije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tačnije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ubrzavajući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nicanje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povećavajući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skroba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biljkama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Povoljan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režim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fosfora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sužava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toksično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delovanje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posledica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obrazuje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nerastvorne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fosfate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biljnim tkivima i zemljištima.</w:t>
      </w:r>
      <w:r w:rsidR="00052A69">
        <w:rPr>
          <w:rFonts w:ascii="Times New Roman" w:hAnsi="Times New Roman" w:cs="Times New Roman"/>
          <w:sz w:val="24"/>
          <w:szCs w:val="24"/>
        </w:rPr>
        <w:br/>
      </w:r>
      <w:r w:rsidR="00052A69" w:rsidRPr="009D003D">
        <w:rPr>
          <w:rFonts w:ascii="Times New Roman" w:hAnsi="Times New Roman" w:cs="Times New Roman"/>
          <w:color w:val="000000" w:themeColor="text1"/>
          <w:sz w:val="24"/>
          <w:szCs w:val="24"/>
        </w:rPr>
        <w:t>Postoje različite metode pomoću kojih biljke odgovaraju na</w:t>
      </w:r>
      <w:r w:rsidR="009D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toksični uticaji </w:t>
      </w:r>
      <w:r w:rsidR="009D003D" w:rsidRPr="009D003D">
        <w:rPr>
          <w:rFonts w:ascii="Times New Roman" w:hAnsi="Times New Roman" w:cs="Times New Roman"/>
          <w:color w:val="000000" w:themeColor="text1"/>
          <w:sz w:val="24"/>
          <w:szCs w:val="24"/>
        </w:rPr>
        <w:t>ologa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>. To uključuje</w:t>
      </w:r>
      <w:r w:rsidR="009D003D" w:rsidRPr="009D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>selektivno preuzimanje</w:t>
      </w:r>
      <w:r w:rsidR="009D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03D" w:rsidRPr="009D003D">
        <w:rPr>
          <w:rFonts w:ascii="Times New Roman" w:hAnsi="Times New Roman" w:cs="Times New Roman"/>
          <w:color w:val="000000" w:themeColor="text1"/>
          <w:sz w:val="24"/>
          <w:szCs w:val="24"/>
        </w:rPr>
        <w:t>olova,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vezivanje za površinu kor</w:t>
      </w:r>
      <w:r w:rsidR="009D003D" w:rsidRPr="009D003D">
        <w:rPr>
          <w:rFonts w:ascii="Times New Roman" w:hAnsi="Times New Roman" w:cs="Times New Roman"/>
          <w:color w:val="000000" w:themeColor="text1"/>
          <w:sz w:val="24"/>
          <w:szCs w:val="24"/>
        </w:rPr>
        <w:t>ij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>ena i formiranje</w:t>
      </w:r>
      <w:r w:rsidR="009D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>antioksidan</w:t>
      </w:r>
      <w:r w:rsidR="009D003D" w:rsidRPr="009D003D">
        <w:rPr>
          <w:rFonts w:ascii="Times New Roman" w:hAnsi="Times New Roman" w:cs="Times New Roman"/>
          <w:color w:val="000000" w:themeColor="text1"/>
          <w:sz w:val="24"/>
          <w:szCs w:val="24"/>
        </w:rPr>
        <w:t>asa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što su prolin, glutation, cistein, askorbin</w:t>
      </w:r>
      <w:r w:rsidR="009D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ska 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>kiselina i antioksidativni enzimi, kao što je g</w:t>
      </w:r>
      <w:r w:rsidR="009D003D" w:rsidRPr="009D003D">
        <w:rPr>
          <w:rFonts w:ascii="Times New Roman" w:hAnsi="Times New Roman" w:cs="Times New Roman"/>
          <w:color w:val="000000" w:themeColor="text1"/>
          <w:sz w:val="24"/>
          <w:szCs w:val="24"/>
        </w:rPr>
        <w:t>vajakol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pero</w:t>
      </w:r>
      <w:r w:rsidR="009D003D" w:rsidRPr="009D003D">
        <w:rPr>
          <w:rFonts w:ascii="Times New Roman" w:hAnsi="Times New Roman" w:cs="Times New Roman"/>
          <w:color w:val="000000" w:themeColor="text1"/>
          <w:sz w:val="24"/>
          <w:szCs w:val="24"/>
        </w:rPr>
        <w:t>ksidaza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>superoksid dismutaza, katalaza, askorbat peroksidaza i</w:t>
      </w:r>
      <w:r w:rsidR="009D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>glutation-reduktaza. Pb intera</w:t>
      </w:r>
      <w:r w:rsidR="009D003D" w:rsidRPr="009D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guje sa 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>ćelijsk</w:t>
      </w:r>
      <w:r w:rsidR="009D003D" w:rsidRPr="009D003D"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komponent</w:t>
      </w:r>
      <w:r w:rsidR="009D003D" w:rsidRPr="009D003D">
        <w:rPr>
          <w:rFonts w:ascii="Times New Roman" w:hAnsi="Times New Roman" w:cs="Times New Roman"/>
          <w:color w:val="000000" w:themeColor="text1"/>
          <w:sz w:val="24"/>
          <w:szCs w:val="24"/>
        </w:rPr>
        <w:t>ama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povećava debljinu ćelijskog zida.</w:t>
      </w:r>
      <w:r w:rsidR="009D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Obično, ćelijski zid biljke sadrži pektin i Pb može formirati </w:t>
      </w:r>
      <w:r w:rsidR="009D0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A69" w:rsidRPr="0005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kompleks sa karboksilnom grupom pektina i ovaj proces </w:t>
      </w:r>
    </w:p>
    <w:p w14:paraId="25845767" w14:textId="4D4AB8FA" w:rsidR="00052A69" w:rsidRPr="00052A69" w:rsidRDefault="00052A69" w:rsidP="0005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</w:pPr>
      <w:r w:rsidRPr="00052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>smatra se osnovom otpornosti ćelija biljaka</w:t>
      </w:r>
      <w:r w:rsidR="009D0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 </w:t>
      </w:r>
      <w:r w:rsidR="009D003D" w:rsidRPr="009D0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protiv toksičnosti olova, </w:t>
      </w:r>
      <w:r w:rsidRPr="00052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>djeluje kao fizička barijera</w:t>
      </w:r>
    </w:p>
    <w:p w14:paraId="387093FF" w14:textId="7D7FD718" w:rsidR="00052A69" w:rsidRPr="00052A69" w:rsidRDefault="00052A69" w:rsidP="0005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</w:pPr>
      <w:r w:rsidRPr="00052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i ograničava kretanje </w:t>
      </w:r>
      <w:r w:rsidR="009D003D" w:rsidRPr="009D0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>olova</w:t>
      </w:r>
      <w:r w:rsidRPr="00052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 kroz plazmu</w:t>
      </w:r>
      <w:r w:rsidR="009D0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 </w:t>
      </w:r>
      <w:r w:rsidRPr="00052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>membrana</w:t>
      </w:r>
      <w:r w:rsidR="009D0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 </w:t>
      </w:r>
      <w:r w:rsidR="009D003D" w:rsidRPr="009D0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>(</w:t>
      </w:r>
      <w:r w:rsidR="009D003D" w:rsidRPr="009D003D">
        <w:rPr>
          <w:rFonts w:ascii="Times New Roman" w:hAnsi="Times New Roman" w:cs="Times New Roman"/>
          <w:sz w:val="24"/>
          <w:szCs w:val="24"/>
        </w:rPr>
        <w:t>Khaled Al-</w:t>
      </w:r>
      <w:proofErr w:type="spellStart"/>
      <w:r w:rsidR="009D003D" w:rsidRPr="009D003D">
        <w:rPr>
          <w:rFonts w:ascii="Times New Roman" w:hAnsi="Times New Roman" w:cs="Times New Roman"/>
          <w:sz w:val="24"/>
          <w:szCs w:val="24"/>
        </w:rPr>
        <w:t>Akeel</w:t>
      </w:r>
      <w:proofErr w:type="spellEnd"/>
      <w:r w:rsidR="009D003D" w:rsidRPr="009D003D">
        <w:rPr>
          <w:rFonts w:ascii="Times New Roman" w:hAnsi="Times New Roman" w:cs="Times New Roman"/>
          <w:sz w:val="24"/>
          <w:szCs w:val="24"/>
        </w:rPr>
        <w:t>, 2016).</w:t>
      </w:r>
    </w:p>
    <w:p w14:paraId="68583B9B" w14:textId="197F9692" w:rsidR="00A14E73" w:rsidRPr="00A14E73" w:rsidRDefault="00B72C53" w:rsidP="00A14E73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569">
        <w:rPr>
          <w:rFonts w:ascii="Times New Roman" w:hAnsi="Times New Roman" w:cs="Times New Roman"/>
          <w:sz w:val="24"/>
          <w:szCs w:val="24"/>
        </w:rPr>
        <w:lastRenderedPageBreak/>
        <w:t>Nakupljanje jona olova kod većine biljaka je intenzivnije u kor</w:t>
      </w:r>
      <w:r w:rsidR="009D003D">
        <w:rPr>
          <w:rFonts w:ascii="Times New Roman" w:hAnsi="Times New Roman" w:cs="Times New Roman"/>
          <w:sz w:val="24"/>
          <w:szCs w:val="24"/>
        </w:rPr>
        <w:t>ij</w:t>
      </w:r>
      <w:r w:rsidRPr="002F7569">
        <w:rPr>
          <w:rFonts w:ascii="Times New Roman" w:hAnsi="Times New Roman" w:cs="Times New Roman"/>
          <w:sz w:val="24"/>
          <w:szCs w:val="24"/>
        </w:rPr>
        <w:t>enu nego u nadzemnom delu. Velika moć kor</w:t>
      </w:r>
      <w:r w:rsidR="009D003D">
        <w:rPr>
          <w:rFonts w:ascii="Times New Roman" w:hAnsi="Times New Roman" w:cs="Times New Roman"/>
          <w:sz w:val="24"/>
          <w:szCs w:val="24"/>
        </w:rPr>
        <w:t>ij</w:t>
      </w:r>
      <w:r w:rsidRPr="002F7569">
        <w:rPr>
          <w:rFonts w:ascii="Times New Roman" w:hAnsi="Times New Roman" w:cs="Times New Roman"/>
          <w:sz w:val="24"/>
          <w:szCs w:val="24"/>
        </w:rPr>
        <w:t>ena u akumulaciji jona olova bi mogla da bude i jedan vid zaštite n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adzemnog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veće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spoljašnjoj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sredini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mehanizam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toksičnosti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je, pre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svega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njegov uticaj na metabolizam jona kalcijuma i inhibiranje brojnih enzimskih sistema.  </w:t>
      </w:r>
      <w:r w:rsidRPr="002F7569">
        <w:rPr>
          <w:rFonts w:ascii="Times New Roman" w:hAnsi="Times New Roman" w:cs="Times New Roman"/>
          <w:sz w:val="24"/>
          <w:szCs w:val="24"/>
        </w:rPr>
        <w:br/>
      </w:r>
      <w:r w:rsidRPr="002F756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42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Fitotoksičnost</w:t>
      </w:r>
      <w:proofErr w:type="spellEnd"/>
      <w:r w:rsidRPr="00A942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942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hroma</w:t>
      </w:r>
      <w:proofErr w:type="spellEnd"/>
      <w:r w:rsidRPr="00A94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E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14E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14E73" w:rsidRPr="00A14E73">
        <w:rPr>
          <w:rFonts w:ascii="Times New Roman" w:hAnsi="Times New Roman" w:cs="Times New Roman"/>
          <w:color w:val="000000" w:themeColor="text1"/>
          <w:sz w:val="24"/>
          <w:szCs w:val="24"/>
        </w:rPr>
        <w:t>Hrom je teški metal</w:t>
      </w:r>
      <w:r w:rsidR="00A14E73" w:rsidRPr="00A14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A14E73" w:rsidRPr="00A14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smatra </w:t>
      </w:r>
      <w:r w:rsidR="00A14E73" w:rsidRPr="00A14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A14E73" w:rsidRPr="00A14E73">
        <w:rPr>
          <w:rFonts w:ascii="Times New Roman" w:hAnsi="Times New Roman" w:cs="Times New Roman"/>
          <w:color w:val="000000" w:themeColor="text1"/>
          <w:sz w:val="24"/>
          <w:szCs w:val="24"/>
        </w:rPr>
        <w:t>opasn</w:t>
      </w:r>
      <w:r w:rsidR="00A14E73" w:rsidRPr="00A14E73"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 w:rsidR="00A14E73" w:rsidRPr="00A14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životnu sredinu. Toksičn</w:t>
      </w:r>
      <w:r w:rsidR="00A14E73" w:rsidRPr="00A14E7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1BF3A76A" w14:textId="6AEB92FE" w:rsidR="00A14E73" w:rsidRPr="00A14E73" w:rsidRDefault="00A14E73" w:rsidP="00A14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</w:pPr>
      <w:r w:rsidRPr="00A14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>efekti hroma</w:t>
      </w:r>
      <w:r w:rsidRPr="00A14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 utiču</w:t>
      </w:r>
      <w:r w:rsidRPr="00A14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 na rast i razvoj biljaka, uključujući inhibiciju procesa klijanja</w:t>
      </w:r>
    </w:p>
    <w:p w14:paraId="6D6A5BE1" w14:textId="4EDF7525" w:rsidR="00A14E73" w:rsidRPr="00A14E73" w:rsidRDefault="00A14E73" w:rsidP="00A14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</w:pPr>
      <w:r w:rsidRPr="00A14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>smanjenje rasta i biomase biljke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 </w:t>
      </w:r>
      <w:r w:rsidRPr="00A14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>(</w:t>
      </w:r>
      <w:r w:rsidRPr="00A14E73">
        <w:rPr>
          <w:rFonts w:ascii="Times New Roman" w:hAnsi="Times New Roman" w:cs="Times New Roman"/>
          <w:sz w:val="24"/>
          <w:szCs w:val="24"/>
        </w:rPr>
        <w:t>M. Nagarajan</w:t>
      </w:r>
      <w:r w:rsidRPr="00A14E73">
        <w:rPr>
          <w:rFonts w:ascii="Times New Roman" w:hAnsi="Times New Roman" w:cs="Times New Roman"/>
          <w:sz w:val="24"/>
          <w:szCs w:val="24"/>
        </w:rPr>
        <w:t>, 2014)</w:t>
      </w:r>
    </w:p>
    <w:p w14:paraId="6C863122" w14:textId="2966F0C4" w:rsidR="00B72C53" w:rsidRPr="002F7569" w:rsidRDefault="00B72C53" w:rsidP="00B72C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hroma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suvoj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materiji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proseku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kreće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od 0,2 do 4 mg/kg.</w:t>
      </w:r>
      <w:r w:rsidRPr="002F756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Hrom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neophodan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elemenat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stimulativno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dejstvo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razviće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nekih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Veće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hroma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deluju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toksično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Pod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uticajem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hroma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strukturnih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ultrastrukturnih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7569">
        <w:rPr>
          <w:rFonts w:ascii="Times New Roman" w:hAnsi="Times New Roman" w:cs="Times New Roman"/>
          <w:sz w:val="24"/>
          <w:szCs w:val="24"/>
        </w:rPr>
        <w:t>Cr(</w:t>
      </w:r>
      <w:proofErr w:type="gramEnd"/>
      <w:r w:rsidRPr="002F7569">
        <w:rPr>
          <w:rFonts w:ascii="Times New Roman" w:hAnsi="Times New Roman" w:cs="Times New Roman"/>
          <w:sz w:val="24"/>
          <w:szCs w:val="24"/>
        </w:rPr>
        <w:t xml:space="preserve">VI) je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stabilniji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oksidacionim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višoj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toksičnijom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formom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Cr(III)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stabilniji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nižim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vrednostima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redukcionim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Najčešći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simptomi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visokih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hroma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hloroza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zaostajanje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rastu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Veće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hroma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utiču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klijanje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semena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vodni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režim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elemenata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pigmenata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69">
        <w:rPr>
          <w:rFonts w:ascii="Times New Roman" w:hAnsi="Times New Roman" w:cs="Times New Roman"/>
          <w:sz w:val="24"/>
          <w:szCs w:val="24"/>
        </w:rPr>
        <w:t>hloroplasta</w:t>
      </w:r>
      <w:proofErr w:type="spellEnd"/>
      <w:r w:rsidRPr="002F7569">
        <w:rPr>
          <w:rFonts w:ascii="Times New Roman" w:hAnsi="Times New Roman" w:cs="Times New Roman"/>
          <w:sz w:val="24"/>
          <w:szCs w:val="24"/>
        </w:rPr>
        <w:t>.</w:t>
      </w:r>
      <w:r w:rsidR="00284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02942" w14:textId="208D24B4" w:rsidR="002F7569" w:rsidRPr="003608AF" w:rsidRDefault="002F7569" w:rsidP="00B72C53">
      <w:pPr>
        <w:rPr>
          <w:rFonts w:ascii="Times New Roman" w:hAnsi="Times New Roman" w:cs="Times New Roman"/>
          <w:sz w:val="24"/>
          <w:szCs w:val="24"/>
        </w:rPr>
      </w:pPr>
    </w:p>
    <w:p w14:paraId="3EC527E9" w14:textId="37A44331" w:rsidR="002F7569" w:rsidRDefault="002F7569" w:rsidP="00B72C53">
      <w:pPr>
        <w:rPr>
          <w:rFonts w:cstheme="minorHAnsi"/>
          <w:b/>
          <w:sz w:val="24"/>
          <w:szCs w:val="24"/>
        </w:rPr>
      </w:pPr>
      <w:proofErr w:type="spellStart"/>
      <w:r w:rsidRPr="002F7569">
        <w:rPr>
          <w:rFonts w:cstheme="minorHAnsi"/>
          <w:b/>
          <w:sz w:val="24"/>
          <w:szCs w:val="24"/>
        </w:rPr>
        <w:t>Fitotoksičnost</w:t>
      </w:r>
      <w:proofErr w:type="spellEnd"/>
      <w:r w:rsidRPr="002F7569">
        <w:rPr>
          <w:rFonts w:cstheme="minorHAnsi"/>
          <w:b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b/>
          <w:sz w:val="24"/>
          <w:szCs w:val="24"/>
        </w:rPr>
        <w:t>kadmijuma</w:t>
      </w:r>
      <w:proofErr w:type="spellEnd"/>
    </w:p>
    <w:p w14:paraId="24C40FFA" w14:textId="64473C4C" w:rsidR="00B67D0C" w:rsidRPr="006D66E5" w:rsidRDefault="006D66E5" w:rsidP="00B67D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sr-Latn-ME" w:eastAsia="sr-Latn-ME"/>
        </w:rPr>
      </w:pPr>
      <w:r w:rsidRPr="006D6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Kadmijum (Cd) je neesencijalni element koji je veoma </w:t>
      </w:r>
      <w:r w:rsidRPr="006D6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>mobilan</w:t>
      </w:r>
      <w:r w:rsidRPr="006D6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 unutar organizama gdje, nakon uzimanja </w:t>
      </w:r>
      <w:r w:rsidRPr="006D6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od strane </w:t>
      </w:r>
      <w:r w:rsidRPr="006D6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>biljke, subcelularna distribucija igra važnu ulogu u toleranciji i detoksikaciji biljaka</w:t>
      </w:r>
      <w:r>
        <w:rPr>
          <w:rFonts w:ascii="inherit" w:eastAsia="Times New Roman" w:hAnsi="inherit" w:cs="Courier New"/>
          <w:color w:val="212121"/>
          <w:sz w:val="20"/>
          <w:szCs w:val="20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r-Latn-ME" w:eastAsia="sr-Latn-ME"/>
        </w:rPr>
        <w:t>(</w:t>
      </w:r>
      <w:r w:rsidRPr="006D6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Wagner, G.J.</w:t>
      </w:r>
      <w:r w:rsidRPr="006D6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6D6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1993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>
        <w:rPr>
          <w:rFonts w:ascii="inherit" w:eastAsia="Times New Roman" w:hAnsi="inherit" w:cs="Courier New"/>
          <w:color w:val="212121"/>
          <w:sz w:val="20"/>
          <w:szCs w:val="20"/>
          <w:lang w:val="sr-Latn-ME" w:eastAsia="sr-Latn-ME"/>
        </w:rPr>
        <w:t xml:space="preserve">. </w:t>
      </w:r>
      <w:r w:rsidR="00B67D0C" w:rsidRPr="00064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>Oksidacioni uslovi atmosferskih uticaja u zemljištu</w:t>
      </w:r>
      <w:r w:rsidR="0028420B" w:rsidRPr="00064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 </w:t>
      </w:r>
      <w:r w:rsidR="00B67D0C" w:rsidRPr="00064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 w:eastAsia="sr-Latn-ME"/>
        </w:rPr>
        <w:t xml:space="preserve">oslobađaju Cd kao topivi i mobilni Cd2 + jon, koji biljke lako asimilišu. Prekoračene doze Cd mogu da poremete skoro sve fiziološke procese u biljkama i oštete lipidne membrane ( </w:t>
      </w:r>
      <w:proofErr w:type="spellStart"/>
      <w:r w:rsidR="0028420B"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A.Ivanova</w:t>
      </w:r>
      <w:proofErr w:type="spellEnd"/>
      <w:r w:rsidR="0028420B"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2008)</w:t>
      </w:r>
    </w:p>
    <w:p w14:paraId="681824C6" w14:textId="77777777" w:rsidR="003608AF" w:rsidRDefault="002F7569" w:rsidP="00B72C53">
      <w:pPr>
        <w:rPr>
          <w:rFonts w:cstheme="minorHAnsi"/>
          <w:sz w:val="24"/>
          <w:szCs w:val="24"/>
        </w:rPr>
      </w:pPr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Joni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kadmijuma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intenzivnije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usvajaju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translociraju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vegetativne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nadzemne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organe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jona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olova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žive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brojnim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biljnim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vrstama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intenzitet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transporta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jona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kadmijuma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nadzemnim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organima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pozitivnoj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korelaciji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njegovom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koncentracijom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hranljivoj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podlozi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Joni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kadmijuma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usvojeni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hranljive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podloge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uglavnom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zadržavaju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korenu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Udeo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jona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kadmijuma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vegetativnim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nadzemnim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organima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stablu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listu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biljaka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približno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isti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6D66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Osnovni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uzrok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toksičnosti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jona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kadmijuma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njegov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veoma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visok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afinitet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tiolnim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grupama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(-SH)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brojnih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enzima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proteina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Više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koncentracije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jona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kadmijuma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biljkama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potpuno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inhibiraju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metabolizam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jona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gvožđa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izazivaju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hlorozu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smanjuju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intenzitet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fotosinteze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Isto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visoke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koncentracije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jona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kadmijuma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inhibiraju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disanje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transport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elektrona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procesu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oksidativne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fosforilacije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Aktivnost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brojnih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enzima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npr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nitrat-reduktaze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direktno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zavisi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stepena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kontaminacije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biljaka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jonima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kadmijuma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Joni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kadmijuma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takode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inhibiraju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transpiraciju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kao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pokrete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ćelija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zatvaračica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stominog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aparata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Neke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biljke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imaju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sposobnost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koncentrišu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sebi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jone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kadmijuma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usvojene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458A">
        <w:rPr>
          <w:rFonts w:ascii="Times New Roman" w:hAnsi="Times New Roman" w:cs="Times New Roman"/>
          <w:color w:val="000000" w:themeColor="text1"/>
          <w:sz w:val="24"/>
          <w:szCs w:val="24"/>
        </w:rPr>
        <w:t>zemlje</w:t>
      </w:r>
      <w:proofErr w:type="spellEnd"/>
      <w:r w:rsidR="003608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5A79B2" w14:textId="150125E9" w:rsidR="002F7569" w:rsidRPr="006D66E5" w:rsidRDefault="002F7569" w:rsidP="00B72C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7569">
        <w:rPr>
          <w:rFonts w:cstheme="minorHAnsi"/>
          <w:b/>
          <w:sz w:val="24"/>
          <w:szCs w:val="24"/>
        </w:rPr>
        <w:lastRenderedPageBreak/>
        <w:t>Proces</w:t>
      </w:r>
      <w:proofErr w:type="spellEnd"/>
      <w:r w:rsidRPr="002F7569">
        <w:rPr>
          <w:rFonts w:cstheme="minorHAnsi"/>
          <w:b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b/>
          <w:sz w:val="24"/>
          <w:szCs w:val="24"/>
        </w:rPr>
        <w:t>fitoremedijacije</w:t>
      </w:r>
      <w:proofErr w:type="spellEnd"/>
      <w:r w:rsidRPr="002F7569">
        <w:rPr>
          <w:rFonts w:cstheme="minorHAnsi"/>
          <w:b/>
          <w:sz w:val="24"/>
          <w:szCs w:val="24"/>
        </w:rPr>
        <w:t xml:space="preserve"> </w:t>
      </w:r>
      <w:r w:rsidRPr="002F7569">
        <w:rPr>
          <w:rFonts w:cstheme="minorHAnsi"/>
          <w:sz w:val="24"/>
          <w:szCs w:val="24"/>
        </w:rPr>
        <w:br/>
      </w:r>
      <w:r w:rsidRPr="002F7569">
        <w:rPr>
          <w:rFonts w:cstheme="minorHAnsi"/>
          <w:sz w:val="24"/>
          <w:szCs w:val="24"/>
        </w:rPr>
        <w:br/>
      </w:r>
      <w:proofErr w:type="spellStart"/>
      <w:r w:rsidRPr="002F7569">
        <w:rPr>
          <w:rFonts w:cstheme="minorHAnsi"/>
          <w:sz w:val="24"/>
          <w:szCs w:val="24"/>
        </w:rPr>
        <w:t>Upotreba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bioloških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sredstava</w:t>
      </w:r>
      <w:proofErr w:type="spellEnd"/>
      <w:r w:rsidRPr="002F7569">
        <w:rPr>
          <w:rFonts w:cstheme="minorHAnsi"/>
          <w:sz w:val="24"/>
          <w:szCs w:val="24"/>
        </w:rPr>
        <w:t xml:space="preserve">, </w:t>
      </w:r>
      <w:proofErr w:type="spellStart"/>
      <w:r w:rsidRPr="002F7569">
        <w:rPr>
          <w:rFonts w:cstheme="minorHAnsi"/>
          <w:sz w:val="24"/>
          <w:szCs w:val="24"/>
        </w:rPr>
        <w:t>radi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čišćenja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životne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sredine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od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zagađivača</w:t>
      </w:r>
      <w:proofErr w:type="spellEnd"/>
      <w:r w:rsidRPr="002F7569">
        <w:rPr>
          <w:rFonts w:cstheme="minorHAnsi"/>
          <w:sz w:val="24"/>
          <w:szCs w:val="24"/>
        </w:rPr>
        <w:t xml:space="preserve">, </w:t>
      </w:r>
      <w:proofErr w:type="spellStart"/>
      <w:r w:rsidRPr="002F7569">
        <w:rPr>
          <w:rFonts w:cstheme="minorHAnsi"/>
          <w:sz w:val="24"/>
          <w:szCs w:val="24"/>
        </w:rPr>
        <w:t>uključuje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tehnike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bioremedijacije</w:t>
      </w:r>
      <w:proofErr w:type="spellEnd"/>
      <w:r w:rsidRPr="002F7569">
        <w:rPr>
          <w:rFonts w:cstheme="minorHAnsi"/>
          <w:sz w:val="24"/>
          <w:szCs w:val="24"/>
        </w:rPr>
        <w:t xml:space="preserve">. Ova </w:t>
      </w:r>
      <w:proofErr w:type="spellStart"/>
      <w:r w:rsidRPr="002F7569">
        <w:rPr>
          <w:rFonts w:cstheme="minorHAnsi"/>
          <w:sz w:val="24"/>
          <w:szCs w:val="24"/>
        </w:rPr>
        <w:t>tehnologija</w:t>
      </w:r>
      <w:proofErr w:type="spellEnd"/>
      <w:r w:rsidRPr="002F7569">
        <w:rPr>
          <w:rFonts w:cstheme="minorHAnsi"/>
          <w:sz w:val="24"/>
          <w:szCs w:val="24"/>
        </w:rPr>
        <w:t xml:space="preserve"> je </w:t>
      </w:r>
      <w:proofErr w:type="spellStart"/>
      <w:r w:rsidRPr="002F7569">
        <w:rPr>
          <w:rFonts w:cstheme="minorHAnsi"/>
          <w:sz w:val="24"/>
          <w:szCs w:val="24"/>
        </w:rPr>
        <w:t>bazirana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na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upotrebi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prirodnih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ili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genetski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modifikovanih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organizama</w:t>
      </w:r>
      <w:proofErr w:type="spellEnd"/>
      <w:r w:rsidRPr="002F7569">
        <w:rPr>
          <w:rFonts w:cstheme="minorHAnsi"/>
          <w:sz w:val="24"/>
          <w:szCs w:val="24"/>
        </w:rPr>
        <w:t xml:space="preserve"> (GMO) </w:t>
      </w:r>
      <w:proofErr w:type="spellStart"/>
      <w:r w:rsidRPr="002F7569">
        <w:rPr>
          <w:rFonts w:cstheme="minorHAnsi"/>
          <w:sz w:val="24"/>
          <w:szCs w:val="24"/>
        </w:rPr>
        <w:t>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njihovoj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sposobnosti</w:t>
      </w:r>
      <w:proofErr w:type="spellEnd"/>
      <w:r w:rsidRPr="002F7569">
        <w:rPr>
          <w:rFonts w:cstheme="minorHAnsi"/>
          <w:sz w:val="24"/>
          <w:szCs w:val="24"/>
        </w:rPr>
        <w:t xml:space="preserve"> da </w:t>
      </w:r>
      <w:proofErr w:type="spellStart"/>
      <w:r w:rsidRPr="002F7569">
        <w:rPr>
          <w:rFonts w:cstheme="minorHAnsi"/>
          <w:sz w:val="24"/>
          <w:szCs w:val="24"/>
        </w:rPr>
        <w:t>obnove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očiste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zagađena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staništa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zaštite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životnu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sredinu</w:t>
      </w:r>
      <w:proofErr w:type="spellEnd"/>
      <w:r w:rsidR="00CE44B2">
        <w:rPr>
          <w:rFonts w:cstheme="minorHAnsi"/>
          <w:sz w:val="24"/>
          <w:szCs w:val="24"/>
        </w:rPr>
        <w:t xml:space="preserve">. </w:t>
      </w:r>
      <w:proofErr w:type="spellStart"/>
      <w:r w:rsidRPr="002F7569">
        <w:rPr>
          <w:rFonts w:cstheme="minorHAnsi"/>
          <w:sz w:val="24"/>
          <w:szCs w:val="24"/>
        </w:rPr>
        <w:t>Fitoremedijacija</w:t>
      </w:r>
      <w:proofErr w:type="spellEnd"/>
      <w:r w:rsidRPr="002F7569">
        <w:rPr>
          <w:rFonts w:cstheme="minorHAnsi"/>
          <w:sz w:val="24"/>
          <w:szCs w:val="24"/>
        </w:rPr>
        <w:t xml:space="preserve"> je </w:t>
      </w:r>
      <w:proofErr w:type="spellStart"/>
      <w:r w:rsidRPr="002F7569">
        <w:rPr>
          <w:rFonts w:cstheme="minorHAnsi"/>
          <w:sz w:val="24"/>
          <w:szCs w:val="24"/>
        </w:rPr>
        <w:t>tehnologija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koja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koristeći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biljke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vrši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uklanjanje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ili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degradaciju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različitih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polutanata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iz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životne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sredine</w:t>
      </w:r>
      <w:proofErr w:type="spellEnd"/>
      <w:r w:rsidRPr="002F7569">
        <w:rPr>
          <w:rFonts w:cstheme="minorHAnsi"/>
          <w:sz w:val="24"/>
          <w:szCs w:val="24"/>
        </w:rPr>
        <w:t xml:space="preserve">. </w:t>
      </w:r>
      <w:proofErr w:type="spellStart"/>
      <w:r w:rsidRPr="002F7569">
        <w:rPr>
          <w:rFonts w:cstheme="minorHAnsi"/>
          <w:sz w:val="24"/>
          <w:szCs w:val="24"/>
        </w:rPr>
        <w:t>Tokom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poslednjih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decenija</w:t>
      </w:r>
      <w:proofErr w:type="spellEnd"/>
      <w:r w:rsidRPr="002F7569">
        <w:rPr>
          <w:rFonts w:cstheme="minorHAnsi"/>
          <w:sz w:val="24"/>
          <w:szCs w:val="24"/>
        </w:rPr>
        <w:t xml:space="preserve"> ova </w:t>
      </w:r>
      <w:proofErr w:type="spellStart"/>
      <w:r w:rsidRPr="002F7569">
        <w:rPr>
          <w:rFonts w:cstheme="minorHAnsi"/>
          <w:sz w:val="24"/>
          <w:szCs w:val="24"/>
        </w:rPr>
        <w:t>tehnologija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poprimila</w:t>
      </w:r>
      <w:proofErr w:type="spellEnd"/>
      <w:r w:rsidRPr="002F7569">
        <w:rPr>
          <w:rFonts w:cstheme="minorHAnsi"/>
          <w:sz w:val="24"/>
          <w:szCs w:val="24"/>
        </w:rPr>
        <w:t xml:space="preserve"> je </w:t>
      </w:r>
      <w:proofErr w:type="spellStart"/>
      <w:r w:rsidRPr="002F7569">
        <w:rPr>
          <w:rFonts w:cstheme="minorHAnsi"/>
          <w:sz w:val="24"/>
          <w:szCs w:val="24"/>
        </w:rPr>
        <w:t>naučni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značaj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dobila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komercijalnu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upotrebu</w:t>
      </w:r>
      <w:proofErr w:type="spellEnd"/>
      <w:r w:rsidRPr="002F7569">
        <w:rPr>
          <w:rFonts w:cstheme="minorHAnsi"/>
          <w:sz w:val="24"/>
          <w:szCs w:val="24"/>
        </w:rPr>
        <w:t xml:space="preserve">. Dietz </w:t>
      </w:r>
      <w:proofErr w:type="spellStart"/>
      <w:r w:rsidRPr="002F7569">
        <w:rPr>
          <w:rFonts w:cstheme="minorHAnsi"/>
          <w:sz w:val="24"/>
          <w:szCs w:val="24"/>
        </w:rPr>
        <w:t>i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Schnoor</w:t>
      </w:r>
      <w:proofErr w:type="spellEnd"/>
      <w:r w:rsidRPr="002F7569">
        <w:rPr>
          <w:rFonts w:cstheme="minorHAnsi"/>
          <w:sz w:val="24"/>
          <w:szCs w:val="24"/>
        </w:rPr>
        <w:t xml:space="preserve"> (2001) </w:t>
      </w:r>
      <w:proofErr w:type="spellStart"/>
      <w:r w:rsidRPr="002F7569">
        <w:rPr>
          <w:rFonts w:cstheme="minorHAnsi"/>
          <w:sz w:val="24"/>
          <w:szCs w:val="24"/>
        </w:rPr>
        <w:t>razlikuju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više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tipova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fitoremedijacije</w:t>
      </w:r>
      <w:proofErr w:type="spellEnd"/>
      <w:r w:rsidRPr="002F7569">
        <w:rPr>
          <w:rFonts w:cstheme="minorHAnsi"/>
          <w:sz w:val="24"/>
          <w:szCs w:val="24"/>
        </w:rPr>
        <w:t xml:space="preserve">: </w:t>
      </w:r>
    </w:p>
    <w:p w14:paraId="665F3E86" w14:textId="5357E7CE" w:rsidR="002F7569" w:rsidRDefault="002F7569" w:rsidP="003608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569">
        <w:rPr>
          <w:rFonts w:cstheme="minorHAnsi"/>
          <w:sz w:val="24"/>
          <w:szCs w:val="24"/>
        </w:rPr>
        <w:t xml:space="preserve">1) </w:t>
      </w:r>
      <w:proofErr w:type="spellStart"/>
      <w:r w:rsidRPr="002F7569">
        <w:rPr>
          <w:rFonts w:cstheme="minorHAnsi"/>
          <w:sz w:val="24"/>
          <w:szCs w:val="24"/>
        </w:rPr>
        <w:t>Fitoekstrakcija</w:t>
      </w:r>
      <w:proofErr w:type="spellEnd"/>
      <w:r>
        <w:rPr>
          <w:rFonts w:cstheme="minorHAnsi"/>
          <w:sz w:val="24"/>
          <w:szCs w:val="24"/>
        </w:rPr>
        <w:br/>
      </w:r>
      <w:r w:rsidRPr="002F7569">
        <w:rPr>
          <w:rFonts w:cstheme="minorHAnsi"/>
          <w:sz w:val="24"/>
          <w:szCs w:val="24"/>
        </w:rPr>
        <w:t xml:space="preserve"> 2) </w:t>
      </w:r>
      <w:proofErr w:type="spellStart"/>
      <w:r w:rsidRPr="002F7569">
        <w:rPr>
          <w:rFonts w:cstheme="minorHAnsi"/>
          <w:sz w:val="24"/>
          <w:szCs w:val="24"/>
        </w:rPr>
        <w:t>Fitodegradacija</w:t>
      </w:r>
      <w:proofErr w:type="spellEnd"/>
      <w:r w:rsidRPr="002F7569">
        <w:rPr>
          <w:rFonts w:cstheme="minorHAnsi"/>
          <w:sz w:val="24"/>
          <w:szCs w:val="24"/>
        </w:rPr>
        <w:t>/</w:t>
      </w:r>
      <w:proofErr w:type="spellStart"/>
      <w:r w:rsidRPr="002F7569">
        <w:rPr>
          <w:rFonts w:cstheme="minorHAnsi"/>
          <w:sz w:val="24"/>
          <w:szCs w:val="24"/>
        </w:rPr>
        <w:t>fitotransformacija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2F7569">
        <w:rPr>
          <w:rFonts w:cstheme="minorHAnsi"/>
          <w:sz w:val="24"/>
          <w:szCs w:val="24"/>
        </w:rPr>
        <w:t xml:space="preserve">3) </w:t>
      </w:r>
      <w:proofErr w:type="spellStart"/>
      <w:r w:rsidRPr="002F7569">
        <w:rPr>
          <w:rFonts w:cstheme="minorHAnsi"/>
          <w:sz w:val="24"/>
          <w:szCs w:val="24"/>
        </w:rPr>
        <w:t>Rizofilizacija</w:t>
      </w:r>
      <w:proofErr w:type="spellEnd"/>
      <w:r w:rsidRPr="002F7569">
        <w:rPr>
          <w:rFonts w:cstheme="minorHAnsi"/>
          <w:sz w:val="24"/>
          <w:szCs w:val="24"/>
        </w:rPr>
        <w:t>/</w:t>
      </w:r>
      <w:proofErr w:type="spellStart"/>
      <w:r w:rsidRPr="002F7569">
        <w:rPr>
          <w:rFonts w:cstheme="minorHAnsi"/>
          <w:sz w:val="24"/>
          <w:szCs w:val="24"/>
        </w:rPr>
        <w:t>rizofiltracija</w:t>
      </w:r>
      <w:proofErr w:type="spellEnd"/>
      <w:r w:rsidRPr="002F7569">
        <w:rPr>
          <w:rFonts w:cstheme="minorHAnsi"/>
          <w:sz w:val="24"/>
          <w:szCs w:val="24"/>
        </w:rPr>
        <w:t xml:space="preserve"> (</w:t>
      </w:r>
      <w:proofErr w:type="spellStart"/>
      <w:r w:rsidRPr="002F7569">
        <w:rPr>
          <w:rFonts w:cstheme="minorHAnsi"/>
          <w:sz w:val="24"/>
          <w:szCs w:val="24"/>
        </w:rPr>
        <w:t>uklanjanje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polutanata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iz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vodene</w:t>
      </w:r>
      <w:proofErr w:type="spellEnd"/>
      <w:r w:rsidRPr="002F7569">
        <w:rPr>
          <w:rFonts w:cstheme="minorHAnsi"/>
          <w:sz w:val="24"/>
          <w:szCs w:val="24"/>
        </w:rPr>
        <w:t xml:space="preserve"> faze od </w:t>
      </w:r>
      <w:proofErr w:type="spellStart"/>
      <w:r w:rsidRPr="002F7569">
        <w:rPr>
          <w:rFonts w:cstheme="minorHAnsi"/>
          <w:sz w:val="24"/>
          <w:szCs w:val="24"/>
        </w:rPr>
        <w:t>strane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kor</w:t>
      </w:r>
      <w:r w:rsidR="003608AF">
        <w:rPr>
          <w:rFonts w:cstheme="minorHAnsi"/>
          <w:sz w:val="24"/>
          <w:szCs w:val="24"/>
        </w:rPr>
        <w:t>j</w:t>
      </w:r>
      <w:bookmarkStart w:id="0" w:name="_GoBack"/>
      <w:bookmarkEnd w:id="0"/>
      <w:r w:rsidRPr="002F7569">
        <w:rPr>
          <w:rFonts w:cstheme="minorHAnsi"/>
          <w:sz w:val="24"/>
          <w:szCs w:val="24"/>
        </w:rPr>
        <w:t>enova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biljke</w:t>
      </w:r>
      <w:proofErr w:type="spellEnd"/>
      <w:r w:rsidRPr="002F7569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br/>
      </w:r>
      <w:r w:rsidRPr="002F7569">
        <w:rPr>
          <w:rFonts w:cstheme="minorHAnsi"/>
          <w:sz w:val="24"/>
          <w:szCs w:val="24"/>
        </w:rPr>
        <w:t xml:space="preserve"> 4) </w:t>
      </w:r>
      <w:proofErr w:type="spellStart"/>
      <w:r w:rsidRPr="002F7569">
        <w:rPr>
          <w:rFonts w:cstheme="minorHAnsi"/>
          <w:sz w:val="24"/>
          <w:szCs w:val="24"/>
        </w:rPr>
        <w:t>Fitostabilizacija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2F7569">
        <w:rPr>
          <w:rFonts w:cstheme="minorHAnsi"/>
          <w:sz w:val="24"/>
          <w:szCs w:val="24"/>
        </w:rPr>
        <w:t xml:space="preserve">5) </w:t>
      </w:r>
      <w:proofErr w:type="spellStart"/>
      <w:r w:rsidRPr="002F7569">
        <w:rPr>
          <w:rFonts w:cstheme="minorHAnsi"/>
          <w:sz w:val="24"/>
          <w:szCs w:val="24"/>
        </w:rPr>
        <w:t>Fitovolatizacija</w:t>
      </w:r>
      <w:proofErr w:type="spellEnd"/>
      <w:r w:rsidRPr="002F7569">
        <w:rPr>
          <w:rFonts w:cstheme="minorHAnsi"/>
          <w:sz w:val="24"/>
          <w:szCs w:val="24"/>
        </w:rPr>
        <w:t xml:space="preserve"> (</w:t>
      </w:r>
      <w:proofErr w:type="spellStart"/>
      <w:r w:rsidRPr="002F7569">
        <w:rPr>
          <w:rFonts w:cstheme="minorHAnsi"/>
          <w:sz w:val="24"/>
          <w:szCs w:val="24"/>
        </w:rPr>
        <w:t>upotreba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biljaka</w:t>
      </w:r>
      <w:proofErr w:type="spellEnd"/>
      <w:r w:rsidRPr="002F7569">
        <w:rPr>
          <w:rFonts w:cstheme="minorHAnsi"/>
          <w:sz w:val="24"/>
          <w:szCs w:val="24"/>
        </w:rPr>
        <w:t xml:space="preserve"> za </w:t>
      </w:r>
      <w:proofErr w:type="spellStart"/>
      <w:r w:rsidRPr="002F7569">
        <w:rPr>
          <w:rFonts w:cstheme="minorHAnsi"/>
          <w:sz w:val="24"/>
          <w:szCs w:val="24"/>
        </w:rPr>
        <w:t>isparavanje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polutanata</w:t>
      </w:r>
      <w:proofErr w:type="spellEnd"/>
      <w:r w:rsidRPr="002F7569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br/>
      </w:r>
      <w:r w:rsidRPr="002F7569">
        <w:rPr>
          <w:rFonts w:cstheme="minorHAnsi"/>
          <w:sz w:val="24"/>
          <w:szCs w:val="24"/>
        </w:rPr>
        <w:t xml:space="preserve"> 6) </w:t>
      </w:r>
      <w:proofErr w:type="spellStart"/>
      <w:r w:rsidRPr="002F7569">
        <w:rPr>
          <w:rFonts w:cstheme="minorHAnsi"/>
          <w:sz w:val="24"/>
          <w:szCs w:val="24"/>
        </w:rPr>
        <w:t>Uklanjanje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polutanata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iz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vazduha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od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strane</w:t>
      </w:r>
      <w:proofErr w:type="spellEnd"/>
      <w:r w:rsidRPr="002F7569">
        <w:rPr>
          <w:rFonts w:cstheme="minorHAnsi"/>
          <w:sz w:val="24"/>
          <w:szCs w:val="24"/>
        </w:rPr>
        <w:t xml:space="preserve"> </w:t>
      </w:r>
      <w:proofErr w:type="spellStart"/>
      <w:r w:rsidRPr="002F7569">
        <w:rPr>
          <w:rFonts w:cstheme="minorHAnsi"/>
          <w:sz w:val="24"/>
          <w:szCs w:val="24"/>
        </w:rPr>
        <w:t>biljak</w:t>
      </w:r>
      <w:r w:rsidR="0006458A">
        <w:rPr>
          <w:rFonts w:cstheme="minorHAnsi"/>
          <w:sz w:val="24"/>
          <w:szCs w:val="24"/>
        </w:rPr>
        <w:t>a</w:t>
      </w:r>
      <w:proofErr w:type="spellEnd"/>
      <w:r w:rsidR="003608AF">
        <w:rPr>
          <w:rFonts w:cstheme="minorHAnsi"/>
          <w:sz w:val="24"/>
          <w:szCs w:val="24"/>
        </w:rPr>
        <w:br/>
      </w:r>
      <w:r w:rsidR="003608AF">
        <w:rPr>
          <w:rFonts w:cstheme="minorHAnsi"/>
          <w:sz w:val="24"/>
          <w:szCs w:val="24"/>
        </w:rPr>
        <w:br/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posobnost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biljke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vrši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fitoekstrakciju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fitodegradaciju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polutanata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zemljišta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zavisi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nekoliko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fizioloških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procesa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1)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unosa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putem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kor</w:t>
      </w:r>
      <w:r w:rsidR="003608AF">
        <w:rPr>
          <w:rFonts w:ascii="Times New Roman" w:hAnsi="Times New Roman" w:cs="Times New Roman"/>
          <w:color w:val="000000" w:themeColor="text1"/>
          <w:sz w:val="24"/>
          <w:szCs w:val="24"/>
        </w:rPr>
        <w:t>ij</w:t>
      </w:r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ena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2)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ulaska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ksilem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3)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transporta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ksilemom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izbojke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tokom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transpiracionog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toka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4)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unosa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strane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lisnog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tkiva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5)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akumulacije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skladištenja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detoksifikacije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helatacije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degradacije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transformacije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6)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kompartmentizacije-raspodele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polutanata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ćelijkim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organelama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tokom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održavanja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metabolizma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rasta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proizvodnje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biomase</w:t>
      </w:r>
      <w:proofErr w:type="spellEnd"/>
      <w:r w:rsidR="003608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Drvena</w:t>
      </w:r>
      <w:r w:rsidR="003608A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vrste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manje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skupe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fitoremedijaciju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zeljastih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biljaka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jer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imaju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mogućnost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nekoliko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ciklusa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dekontaminacije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obavezne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žetve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cele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biljke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ponovne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setve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svake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Dodatno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plantaže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drveća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zagađenom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zemljištu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sprečavaju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eroziju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širenje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kontaminanata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vetrom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fitostabilizacija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Nakon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prve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sadnje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troškovi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održavanja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polja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relativno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niski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proizvodi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biomasa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drvo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mogu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biti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korišćeni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proizvodnju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struje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AF" w:rsidRPr="003608AF">
        <w:rPr>
          <w:rFonts w:ascii="Times New Roman" w:hAnsi="Times New Roman" w:cs="Times New Roman"/>
          <w:color w:val="000000" w:themeColor="text1"/>
          <w:sz w:val="24"/>
          <w:szCs w:val="24"/>
        </w:rPr>
        <w:t>toplote</w:t>
      </w:r>
      <w:proofErr w:type="spellEnd"/>
      <w:r w:rsidR="0036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(Marko </w:t>
      </w:r>
      <w:proofErr w:type="spellStart"/>
      <w:r w:rsidR="003608AF">
        <w:rPr>
          <w:rFonts w:ascii="Times New Roman" w:hAnsi="Times New Roman" w:cs="Times New Roman"/>
          <w:color w:val="000000" w:themeColor="text1"/>
          <w:sz w:val="24"/>
          <w:szCs w:val="24"/>
        </w:rPr>
        <w:t>Kebert</w:t>
      </w:r>
      <w:proofErr w:type="spellEnd"/>
      <w:r w:rsidR="003608AF">
        <w:rPr>
          <w:rFonts w:ascii="Times New Roman" w:hAnsi="Times New Roman" w:cs="Times New Roman"/>
          <w:color w:val="000000" w:themeColor="text1"/>
          <w:sz w:val="24"/>
          <w:szCs w:val="24"/>
        </w:rPr>
        <w:t>, 2014)</w:t>
      </w:r>
    </w:p>
    <w:p w14:paraId="3F867507" w14:textId="77777777" w:rsidR="003608AF" w:rsidRPr="003608AF" w:rsidRDefault="003608AF" w:rsidP="003608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DE9502" w14:textId="2DA8E25B" w:rsidR="00A83F42" w:rsidRDefault="00B72C53" w:rsidP="00B72C53">
      <w:pPr>
        <w:rPr>
          <w:rFonts w:cstheme="minorHAnsi"/>
          <w:sz w:val="24"/>
          <w:szCs w:val="24"/>
        </w:rPr>
      </w:pPr>
      <w:r w:rsidRPr="002F7569">
        <w:rPr>
          <w:rFonts w:cstheme="minorHAnsi"/>
          <w:sz w:val="24"/>
          <w:szCs w:val="24"/>
        </w:rPr>
        <w:br/>
      </w:r>
      <w:r w:rsidRPr="002F7569">
        <w:rPr>
          <w:rFonts w:cstheme="minorHAnsi"/>
          <w:sz w:val="24"/>
          <w:szCs w:val="24"/>
        </w:rPr>
        <w:br/>
      </w:r>
      <w:r w:rsidR="002F7569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BF8B296" wp14:editId="21FB76C8">
            <wp:extent cx="5662944" cy="71855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2956232_799350997081619_3010254853059379200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460" cy="733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569">
        <w:rPr>
          <w:rFonts w:cstheme="minorHAnsi"/>
          <w:sz w:val="24"/>
          <w:szCs w:val="24"/>
        </w:rPr>
        <w:br/>
      </w:r>
      <w:proofErr w:type="spellStart"/>
      <w:r w:rsidR="00716D1D">
        <w:rPr>
          <w:rFonts w:cstheme="minorHAnsi"/>
          <w:sz w:val="24"/>
          <w:szCs w:val="24"/>
        </w:rPr>
        <w:t>Slika</w:t>
      </w:r>
      <w:proofErr w:type="spellEnd"/>
      <w:r w:rsidR="00716D1D">
        <w:rPr>
          <w:rFonts w:cstheme="minorHAnsi"/>
          <w:sz w:val="24"/>
          <w:szCs w:val="24"/>
        </w:rPr>
        <w:t xml:space="preserve"> 2. </w:t>
      </w:r>
      <w:proofErr w:type="spellStart"/>
      <w:r w:rsidR="00716D1D">
        <w:rPr>
          <w:rFonts w:cstheme="minorHAnsi"/>
          <w:sz w:val="24"/>
          <w:szCs w:val="24"/>
        </w:rPr>
        <w:t>Molekularni</w:t>
      </w:r>
      <w:proofErr w:type="spellEnd"/>
      <w:r w:rsidR="00716D1D">
        <w:rPr>
          <w:rFonts w:cstheme="minorHAnsi"/>
          <w:sz w:val="24"/>
          <w:szCs w:val="24"/>
        </w:rPr>
        <w:t xml:space="preserve"> </w:t>
      </w:r>
      <w:proofErr w:type="spellStart"/>
      <w:r w:rsidR="00716D1D">
        <w:rPr>
          <w:rFonts w:cstheme="minorHAnsi"/>
          <w:sz w:val="24"/>
          <w:szCs w:val="24"/>
        </w:rPr>
        <w:t>mehanizmi</w:t>
      </w:r>
      <w:proofErr w:type="spellEnd"/>
      <w:r w:rsidR="00716D1D">
        <w:rPr>
          <w:rFonts w:cstheme="minorHAnsi"/>
          <w:sz w:val="24"/>
          <w:szCs w:val="24"/>
        </w:rPr>
        <w:t xml:space="preserve"> </w:t>
      </w:r>
      <w:proofErr w:type="spellStart"/>
      <w:r w:rsidR="00716D1D">
        <w:rPr>
          <w:rFonts w:cstheme="minorHAnsi"/>
          <w:sz w:val="24"/>
          <w:szCs w:val="24"/>
        </w:rPr>
        <w:t>uključeni</w:t>
      </w:r>
      <w:proofErr w:type="spellEnd"/>
      <w:r w:rsidR="00716D1D">
        <w:rPr>
          <w:rFonts w:cstheme="minorHAnsi"/>
          <w:sz w:val="24"/>
          <w:szCs w:val="24"/>
        </w:rPr>
        <w:t xml:space="preserve"> u process </w:t>
      </w:r>
      <w:proofErr w:type="spellStart"/>
      <w:r w:rsidR="00716D1D">
        <w:rPr>
          <w:rFonts w:cstheme="minorHAnsi"/>
          <w:sz w:val="24"/>
          <w:szCs w:val="24"/>
        </w:rPr>
        <w:t>usvajanja</w:t>
      </w:r>
      <w:proofErr w:type="spellEnd"/>
      <w:r w:rsidR="00716D1D">
        <w:rPr>
          <w:rFonts w:cstheme="minorHAnsi"/>
          <w:sz w:val="24"/>
          <w:szCs w:val="24"/>
        </w:rPr>
        <w:t xml:space="preserve">, </w:t>
      </w:r>
      <w:proofErr w:type="spellStart"/>
      <w:r w:rsidR="00716D1D">
        <w:rPr>
          <w:rFonts w:cstheme="minorHAnsi"/>
          <w:sz w:val="24"/>
          <w:szCs w:val="24"/>
        </w:rPr>
        <w:t>translokacije</w:t>
      </w:r>
      <w:proofErr w:type="spellEnd"/>
      <w:r w:rsidR="00716D1D">
        <w:rPr>
          <w:rFonts w:cstheme="minorHAnsi"/>
          <w:sz w:val="24"/>
          <w:szCs w:val="24"/>
        </w:rPr>
        <w:t xml:space="preserve"> I </w:t>
      </w:r>
      <w:proofErr w:type="spellStart"/>
      <w:r w:rsidR="00716D1D">
        <w:rPr>
          <w:rFonts w:cstheme="minorHAnsi"/>
          <w:sz w:val="24"/>
          <w:szCs w:val="24"/>
        </w:rPr>
        <w:t>akumulacije</w:t>
      </w:r>
      <w:proofErr w:type="spellEnd"/>
      <w:r w:rsidR="00716D1D">
        <w:rPr>
          <w:rFonts w:cstheme="minorHAnsi"/>
          <w:sz w:val="24"/>
          <w:szCs w:val="24"/>
        </w:rPr>
        <w:t xml:space="preserve"> </w:t>
      </w:r>
      <w:proofErr w:type="spellStart"/>
      <w:r w:rsidR="00716D1D">
        <w:rPr>
          <w:rFonts w:cstheme="minorHAnsi"/>
          <w:sz w:val="24"/>
          <w:szCs w:val="24"/>
        </w:rPr>
        <w:t>metala</w:t>
      </w:r>
      <w:proofErr w:type="spellEnd"/>
      <w:r w:rsidR="00716D1D">
        <w:rPr>
          <w:rFonts w:cstheme="minorHAnsi"/>
          <w:sz w:val="24"/>
          <w:szCs w:val="24"/>
        </w:rPr>
        <w:t xml:space="preserve"> u </w:t>
      </w:r>
      <w:proofErr w:type="spellStart"/>
      <w:r w:rsidR="00716D1D">
        <w:rPr>
          <w:rFonts w:cstheme="minorHAnsi"/>
          <w:sz w:val="24"/>
          <w:szCs w:val="24"/>
        </w:rPr>
        <w:t>biljkama</w:t>
      </w:r>
      <w:proofErr w:type="spellEnd"/>
      <w:r w:rsidR="00716D1D">
        <w:rPr>
          <w:rFonts w:cstheme="minorHAnsi"/>
          <w:sz w:val="24"/>
          <w:szCs w:val="24"/>
        </w:rPr>
        <w:t xml:space="preserve">, </w:t>
      </w:r>
      <w:proofErr w:type="spellStart"/>
      <w:r w:rsidR="00716D1D">
        <w:rPr>
          <w:rFonts w:cstheme="minorHAnsi"/>
          <w:sz w:val="24"/>
          <w:szCs w:val="24"/>
        </w:rPr>
        <w:t>prema</w:t>
      </w:r>
      <w:proofErr w:type="spellEnd"/>
      <w:r w:rsidR="00716D1D">
        <w:rPr>
          <w:rFonts w:cstheme="minorHAnsi"/>
          <w:sz w:val="24"/>
          <w:szCs w:val="24"/>
        </w:rPr>
        <w:t xml:space="preserve"> Clemens et al (2002).</w:t>
      </w:r>
      <w:r w:rsidR="0045435B" w:rsidRPr="002F7569">
        <w:rPr>
          <w:rFonts w:cstheme="minorHAnsi"/>
          <w:sz w:val="24"/>
          <w:szCs w:val="24"/>
        </w:rPr>
        <w:br/>
      </w:r>
    </w:p>
    <w:p w14:paraId="7B57204F" w14:textId="2A59DACB" w:rsidR="00EE7494" w:rsidRPr="00296E02" w:rsidRDefault="00EE7494" w:rsidP="00EE7494">
      <w:pPr>
        <w:rPr>
          <w:rFonts w:ascii="Times New Roman" w:hAnsi="Times New Roman" w:cs="Times New Roman"/>
          <w:sz w:val="24"/>
          <w:szCs w:val="24"/>
        </w:rPr>
      </w:pPr>
      <w:r w:rsidRPr="00EE7494">
        <w:rPr>
          <w:rFonts w:ascii="Times New Roman" w:hAnsi="Times New Roman" w:cs="Times New Roman"/>
          <w:b/>
          <w:sz w:val="36"/>
          <w:szCs w:val="36"/>
        </w:rPr>
        <w:lastRenderedPageBreak/>
        <w:t>MATERIJAL I METODE</w:t>
      </w:r>
      <w:r w:rsidRPr="00EE7494">
        <w:rPr>
          <w:rFonts w:cstheme="minorHAnsi"/>
          <w:b/>
          <w:sz w:val="32"/>
          <w:szCs w:val="32"/>
        </w:rPr>
        <w:t xml:space="preserve"> </w:t>
      </w:r>
      <w:r w:rsidRPr="00EE7494">
        <w:rPr>
          <w:rFonts w:cstheme="minorHAnsi"/>
          <w:b/>
          <w:sz w:val="32"/>
          <w:szCs w:val="32"/>
        </w:rPr>
        <w:br/>
      </w:r>
      <w:r>
        <w:rPr>
          <w:rFonts w:cstheme="minorHAnsi"/>
          <w:b/>
          <w:sz w:val="32"/>
          <w:szCs w:val="32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zasniva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96E0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458A">
        <w:rPr>
          <w:rFonts w:ascii="Times New Roman" w:hAnsi="Times New Roman" w:cs="Times New Roman"/>
          <w:b/>
          <w:bCs/>
          <w:sz w:val="24"/>
          <w:szCs w:val="24"/>
        </w:rPr>
        <w:t>UTICAJ Ni NA KONCENTRACIJU I RASPODJELU NEOPHODNIH ELEMENATA U BILJKAMA GRAŠKA</w:t>
      </w:r>
      <w:r w:rsidR="0006458A" w:rsidRPr="0006458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6458A" w:rsidRPr="0006458A">
        <w:rPr>
          <w:b/>
          <w:sz w:val="24"/>
          <w:szCs w:val="24"/>
        </w:rPr>
        <w:t xml:space="preserve">N. </w:t>
      </w:r>
      <w:proofErr w:type="spellStart"/>
      <w:r w:rsidR="0006458A" w:rsidRPr="0006458A">
        <w:rPr>
          <w:b/>
          <w:sz w:val="24"/>
          <w:szCs w:val="24"/>
        </w:rPr>
        <w:t>Petrović</w:t>
      </w:r>
      <w:proofErr w:type="spellEnd"/>
      <w:r w:rsidR="0006458A" w:rsidRPr="0006458A">
        <w:rPr>
          <w:b/>
          <w:sz w:val="24"/>
          <w:szCs w:val="24"/>
        </w:rPr>
        <w:t xml:space="preserve"> et al., 2005)</w:t>
      </w:r>
      <w:r w:rsidRPr="00296E0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6E0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ogleda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ispitan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doza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Ni: 0 (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), 20, 40, 80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120 g Ni/ha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hemijski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sastav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graška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Nikal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sjetve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inkorporiran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gajene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do faze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zrelosti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Utvrđen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hemijski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sastav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korijena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stabla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listova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mahuna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zrna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Uočeno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primijenjene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doze Ni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uticale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nakupljanje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distribuciju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ispitivanih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neophodnih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elemenata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povećanje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udjela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transporta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elemenata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korijena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nadzemne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djelove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zavisilo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pristupačnog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Ni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>.</w:t>
      </w:r>
    </w:p>
    <w:p w14:paraId="75BFFC87" w14:textId="77777777" w:rsidR="00FB522C" w:rsidRPr="00296E02" w:rsidRDefault="00EE7494" w:rsidP="00EE74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6E02"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viših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ističe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njihovom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gajenju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prisustvu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uree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leguminoznih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azot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primijenjen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uree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soje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duvana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paradajza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zahtijevaju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prisustvo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Ni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hranljivom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supstratu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Ni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neophodna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komponenta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enzima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ureaze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nedostatka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Ni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hranljivom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supstratu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povećava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uree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nivoa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remeti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biljni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metabolizam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rijetko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nakupljanja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uree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tkivima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toksičnim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koncentracijama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617E6" w14:textId="4D6EBE2F" w:rsidR="00FB522C" w:rsidRPr="00FB522C" w:rsidRDefault="00EE7494" w:rsidP="00EE7494">
      <w:pPr>
        <w:rPr>
          <w:rFonts w:ascii="Times New Roman" w:hAnsi="Times New Roman" w:cs="Times New Roman"/>
          <w:sz w:val="28"/>
          <w:szCs w:val="28"/>
        </w:rPr>
      </w:pPr>
      <w:r w:rsidRPr="00296E0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neophodnost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Ni,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leguminoza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ukazuje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22C" w:rsidRPr="00296E02">
        <w:rPr>
          <w:rFonts w:ascii="Times New Roman" w:hAnsi="Times New Roman" w:cs="Times New Roman"/>
          <w:sz w:val="24"/>
          <w:szCs w:val="24"/>
        </w:rPr>
        <w:t>č</w:t>
      </w:r>
      <w:r w:rsidRPr="00296E02">
        <w:rPr>
          <w:rFonts w:ascii="Times New Roman" w:hAnsi="Times New Roman" w:cs="Times New Roman"/>
          <w:sz w:val="24"/>
          <w:szCs w:val="24"/>
        </w:rPr>
        <w:t>injenica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azot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najvećoj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mjeri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transportuje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ureida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alantoin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alantoinska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kiselina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>).</w:t>
      </w:r>
      <w:r w:rsidR="00FB522C" w:rsidRPr="00296E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kvržica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enzima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nitrogenaze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Brojna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ispitivanja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ukazuju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da Ni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vidnu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sintezi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fitoaleksina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otpornost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bolestima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nedostatka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nekih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smanjuje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malat-dehidrogenaze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sjeme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brže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sazrijeva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prinudno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stare.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Niže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nekih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žita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podstiču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klijanja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sjemena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Suvišak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Ni je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slično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teškim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metalima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toksičan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životinje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čovjeka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Ni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suvišku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remeti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fotosinteze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disanja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mineralnu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ishranu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funkciju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membrana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usporava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sintezu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a time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rastenje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razviće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>.</w:t>
      </w:r>
      <w:r w:rsidR="00FB522C" w:rsidRPr="00296E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Imajući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smatralo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se da je od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nižih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nakupljanje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raspodjelu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neophodnih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elemenata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graška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>.</w:t>
      </w:r>
      <w:r w:rsidR="00FB522C" w:rsidRPr="00296E02">
        <w:rPr>
          <w:rFonts w:ascii="Times New Roman" w:hAnsi="Times New Roman" w:cs="Times New Roman"/>
          <w:sz w:val="24"/>
          <w:szCs w:val="24"/>
        </w:rPr>
        <w:br/>
      </w:r>
      <w:r w:rsidRPr="00FB522C">
        <w:rPr>
          <w:rFonts w:ascii="Times New Roman" w:hAnsi="Times New Roman" w:cs="Times New Roman"/>
          <w:sz w:val="28"/>
          <w:szCs w:val="28"/>
        </w:rPr>
        <w:t xml:space="preserve"> </w:t>
      </w:r>
      <w:r w:rsidRPr="00FB522C">
        <w:rPr>
          <w:rFonts w:ascii="Times New Roman" w:hAnsi="Times New Roman" w:cs="Times New Roman"/>
          <w:sz w:val="28"/>
          <w:szCs w:val="28"/>
        </w:rPr>
        <w:br/>
      </w:r>
      <w:r w:rsidR="00FB522C">
        <w:rPr>
          <w:rFonts w:cstheme="minorHAnsi"/>
          <w:b/>
          <w:noProof/>
          <w:sz w:val="32"/>
          <w:szCs w:val="32"/>
        </w:rPr>
        <w:lastRenderedPageBreak/>
        <w:drawing>
          <wp:inline distT="0" distB="0" distL="0" distR="0" wp14:anchorId="77D3D30D" wp14:editId="1454A072">
            <wp:extent cx="5560828" cy="3515360"/>
            <wp:effectExtent l="0" t="0" r="190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-def-soybean-wwweplantscienceco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332" cy="35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2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Slika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FB522C" w:rsidRPr="00296E02">
        <w:rPr>
          <w:rFonts w:ascii="Times New Roman" w:hAnsi="Times New Roman" w:cs="Times New Roman"/>
          <w:sz w:val="24"/>
          <w:szCs w:val="24"/>
        </w:rPr>
        <w:t>Posljedice</w:t>
      </w:r>
      <w:proofErr w:type="spellEnd"/>
      <w:r w:rsidR="00FB522C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22C" w:rsidRPr="00296E02">
        <w:rPr>
          <w:rFonts w:ascii="Times New Roman" w:hAnsi="Times New Roman" w:cs="Times New Roman"/>
          <w:sz w:val="24"/>
          <w:szCs w:val="24"/>
        </w:rPr>
        <w:t>nedostatka</w:t>
      </w:r>
      <w:proofErr w:type="spellEnd"/>
      <w:r w:rsidR="00FB522C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22C" w:rsidRPr="00296E02">
        <w:rPr>
          <w:rFonts w:ascii="Times New Roman" w:hAnsi="Times New Roman" w:cs="Times New Roman"/>
          <w:sz w:val="24"/>
          <w:szCs w:val="24"/>
        </w:rPr>
        <w:t>nikla</w:t>
      </w:r>
      <w:proofErr w:type="spellEnd"/>
      <w:r w:rsidR="00FB522C">
        <w:rPr>
          <w:rFonts w:cstheme="minorHAnsi"/>
          <w:b/>
          <w:sz w:val="32"/>
          <w:szCs w:val="32"/>
        </w:rPr>
        <w:t xml:space="preserve"> </w:t>
      </w:r>
    </w:p>
    <w:p w14:paraId="51883F0C" w14:textId="77777777" w:rsidR="00296E02" w:rsidRDefault="00FB522C" w:rsidP="00FB522C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296E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Ispitivanja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obavljena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oglednom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polju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Naučnog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instituta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ratarstvo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povrtarstvo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Sadu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2004.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Ogledi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postavljeni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4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ponavljanja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veličinomosnovne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parcele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25 m</w:t>
      </w:r>
      <w:proofErr w:type="gramStart"/>
      <w:r w:rsidRPr="00296E02">
        <w:rPr>
          <w:rFonts w:ascii="Times New Roman" w:hAnsi="Times New Roman" w:cs="Times New Roman"/>
          <w:sz w:val="24"/>
          <w:szCs w:val="24"/>
        </w:rPr>
        <w:t>² .</w:t>
      </w:r>
      <w:proofErr w:type="gram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Ispitano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5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doza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nikla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0, 20, 40, 80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120 g Ni/ha.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Nikal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dodat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nikal-sulfat-heksahidrata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inkorporacije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sjetve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graška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zrelosti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svake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parcele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uzeto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po 20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analizu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dijeljene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korijen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stablo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listove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mahune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zrno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Korijen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pran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običnom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ispran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destilovanom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Uzorci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osušeni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sušnici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temperaturi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od700°C, do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konstantne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mase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potom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određenja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suve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materije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Određivan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ukupan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azota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nitrata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fosfora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kalijuma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utvrđivana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kalcijuma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magnezijuma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gvožđa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mangana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cinka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bakra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nikla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>.</w:t>
      </w:r>
      <w:r w:rsidR="00EE7494" w:rsidRPr="00296E02">
        <w:rPr>
          <w:rFonts w:ascii="Times New Roman" w:hAnsi="Times New Roman" w:cs="Times New Roman"/>
          <w:sz w:val="24"/>
          <w:szCs w:val="24"/>
        </w:rPr>
        <w:br/>
      </w:r>
      <w:r w:rsidRPr="00296E02">
        <w:rPr>
          <w:rFonts w:ascii="Times New Roman" w:hAnsi="Times New Roman" w:cs="Times New Roman"/>
          <w:b/>
          <w:sz w:val="32"/>
          <w:szCs w:val="32"/>
        </w:rPr>
        <w:br/>
      </w:r>
    </w:p>
    <w:p w14:paraId="5AFBD00D" w14:textId="77777777" w:rsidR="00296E02" w:rsidRDefault="00296E02" w:rsidP="00FB522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D32CDE7" w14:textId="77777777" w:rsidR="00296E02" w:rsidRDefault="00296E02" w:rsidP="00FB522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867F2FB" w14:textId="77777777" w:rsidR="00296E02" w:rsidRDefault="00296E02" w:rsidP="00FB522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5533515D" w14:textId="77777777" w:rsidR="00296E02" w:rsidRDefault="00296E02" w:rsidP="00FB522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26748C4" w14:textId="26A7EC88" w:rsidR="00AE67C7" w:rsidRPr="00296E02" w:rsidRDefault="00FB522C" w:rsidP="00FB5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lastRenderedPageBreak/>
        <w:t>Uticaj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olova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kadmijuma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koncentracije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fotosintetičkih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pigmenata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listovima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biljaka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597">
        <w:rPr>
          <w:rFonts w:ascii="Times New Roman" w:hAnsi="Times New Roman" w:cs="Times New Roman"/>
          <w:b/>
          <w:i/>
          <w:sz w:val="24"/>
          <w:szCs w:val="24"/>
        </w:rPr>
        <w:t xml:space="preserve">Ailanthus </w:t>
      </w:r>
      <w:proofErr w:type="spellStart"/>
      <w:r w:rsidRPr="00131597">
        <w:rPr>
          <w:rFonts w:ascii="Times New Roman" w:hAnsi="Times New Roman" w:cs="Times New Roman"/>
          <w:b/>
          <w:i/>
          <w:sz w:val="24"/>
          <w:szCs w:val="24"/>
        </w:rPr>
        <w:t>altissima</w:t>
      </w:r>
      <w:proofErr w:type="spellEnd"/>
      <w:r w:rsidR="000645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458A" w:rsidRPr="00CE44B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6458A" w:rsidRPr="00CE44B2">
        <w:rPr>
          <w:rFonts w:ascii="Times New Roman" w:hAnsi="Times New Roman" w:cs="Times New Roman"/>
          <w:b/>
          <w:sz w:val="24"/>
          <w:szCs w:val="24"/>
        </w:rPr>
        <w:t xml:space="preserve">Danijela M. </w:t>
      </w:r>
      <w:proofErr w:type="spellStart"/>
      <w:r w:rsidR="0006458A" w:rsidRPr="00CE44B2">
        <w:rPr>
          <w:rFonts w:ascii="Times New Roman" w:hAnsi="Times New Roman" w:cs="Times New Roman"/>
          <w:b/>
          <w:sz w:val="24"/>
          <w:szCs w:val="24"/>
        </w:rPr>
        <w:t>Đunisijević</w:t>
      </w:r>
      <w:proofErr w:type="spellEnd"/>
      <w:r w:rsidR="0006458A" w:rsidRPr="00CE44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458A" w:rsidRPr="00CE44B2">
        <w:rPr>
          <w:rFonts w:ascii="Times New Roman" w:hAnsi="Times New Roman" w:cs="Times New Roman"/>
          <w:b/>
          <w:sz w:val="24"/>
          <w:szCs w:val="24"/>
        </w:rPr>
        <w:t>Bojović</w:t>
      </w:r>
      <w:proofErr w:type="spellEnd"/>
      <w:r w:rsidR="00CE44B2" w:rsidRPr="00CE44B2">
        <w:rPr>
          <w:rFonts w:ascii="Times New Roman" w:hAnsi="Times New Roman" w:cs="Times New Roman"/>
          <w:b/>
          <w:sz w:val="24"/>
          <w:szCs w:val="24"/>
        </w:rPr>
        <w:t>, 2013)</w:t>
      </w:r>
      <w:r w:rsidR="00EE7494" w:rsidRPr="00CE44B2">
        <w:rPr>
          <w:rFonts w:ascii="Times New Roman" w:hAnsi="Times New Roman" w:cs="Times New Roman"/>
          <w:b/>
          <w:i/>
          <w:sz w:val="32"/>
          <w:szCs w:val="32"/>
        </w:rPr>
        <w:br/>
      </w:r>
      <w:r w:rsidR="00AE67C7" w:rsidRPr="00131597">
        <w:rPr>
          <w:rFonts w:ascii="Times New Roman" w:hAnsi="Times New Roman" w:cs="Times New Roman"/>
          <w:b/>
          <w:i/>
          <w:sz w:val="32"/>
          <w:szCs w:val="32"/>
        </w:rPr>
        <w:br/>
      </w:r>
      <w:r w:rsidR="00AE67C7" w:rsidRPr="00296E02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određivanje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fotosintetičkih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pigmenata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korišćeni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mladi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razvijeni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listovi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Uzorci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svežih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listova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korišćeni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ekstrakciju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acetonu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(1 g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je masa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uzorka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limitirana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homogenizacije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biljnog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dodavana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je mala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kvarcnog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peska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ubrzavanja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homogenizacije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mala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MgCO3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sprečavanja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acidifikacije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et al., 2012).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homogenizacije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filtracije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ekstrakt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fotosintetičkih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pigmenata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kvanititativno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prenošen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merne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sudove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zapremine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25 mL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dopunjavan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acetonom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oznake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. </w:t>
      </w:r>
      <w:r w:rsidR="00AE67C7" w:rsidRPr="00296E02">
        <w:rPr>
          <w:rFonts w:ascii="Times New Roman" w:hAnsi="Times New Roman" w:cs="Times New Roman"/>
          <w:sz w:val="24"/>
          <w:szCs w:val="24"/>
        </w:rPr>
        <w:br/>
      </w:r>
      <w:r w:rsidR="00AE67C7" w:rsidRPr="00296E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uzoraka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razblažiti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rastvore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omogućili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očitavanje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spektrofotometru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pigmenata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visoka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Apsorbanca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pripremljenih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rastvora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očitavana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korišćenjem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spektrofotometra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(Thermo,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evaluation 300 UV-Vis)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talasnim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dužinama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od 662, 644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440 nm.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fotosintetičkih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pigmenata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karotenoida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acetonskom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ekstraktu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izračunate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Wettstein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(1957)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korišćenjem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7C7" w:rsidRPr="00296E02">
        <w:rPr>
          <w:rFonts w:ascii="Times New Roman" w:hAnsi="Times New Roman" w:cs="Times New Roman"/>
          <w:sz w:val="24"/>
          <w:szCs w:val="24"/>
        </w:rPr>
        <w:t>sledećih</w:t>
      </w:r>
      <w:proofErr w:type="spellEnd"/>
      <w:r w:rsidR="00AE67C7" w:rsidRPr="00296E02">
        <w:rPr>
          <w:rFonts w:ascii="Times New Roman" w:hAnsi="Times New Roman" w:cs="Times New Roman"/>
          <w:sz w:val="24"/>
          <w:szCs w:val="24"/>
        </w:rPr>
        <w:t xml:space="preserve"> formula: </w:t>
      </w:r>
    </w:p>
    <w:p w14:paraId="025F5554" w14:textId="1CAD028B" w:rsidR="00AE67C7" w:rsidRPr="00AE67C7" w:rsidRDefault="00AE67C7" w:rsidP="00AE67C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96E02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hlorofil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a = 9,784· A662 – 0,990· A644; </w:t>
      </w:r>
      <w:r w:rsidRPr="00296E02">
        <w:rPr>
          <w:rFonts w:ascii="Times New Roman" w:hAnsi="Times New Roman" w:cs="Times New Roman"/>
          <w:sz w:val="24"/>
          <w:szCs w:val="24"/>
        </w:rPr>
        <w:br/>
        <w:t xml:space="preserve">c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hlorofil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b = 21,426· A644 – 4,650· A662; </w:t>
      </w:r>
      <w:r w:rsidRPr="00296E02">
        <w:rPr>
          <w:rFonts w:ascii="Times New Roman" w:hAnsi="Times New Roman" w:cs="Times New Roman"/>
          <w:sz w:val="24"/>
          <w:szCs w:val="24"/>
        </w:rPr>
        <w:br/>
        <w:t xml:space="preserve">c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hlorofil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a+b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= 5,134· A662 + 20,436· A644; </w:t>
      </w:r>
      <w:r w:rsidRPr="00296E02">
        <w:rPr>
          <w:rFonts w:ascii="Times New Roman" w:hAnsi="Times New Roman" w:cs="Times New Roman"/>
          <w:sz w:val="24"/>
          <w:szCs w:val="24"/>
        </w:rPr>
        <w:br/>
        <w:t xml:space="preserve">c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karotenoidi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= 4,695· A44 – 0,268· (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hlorofil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sz w:val="24"/>
          <w:szCs w:val="24"/>
        </w:rPr>
        <w:t>a+b</w:t>
      </w:r>
      <w:proofErr w:type="spellEnd"/>
      <w:r w:rsidRPr="00296E02">
        <w:rPr>
          <w:rFonts w:ascii="Times New Roman" w:hAnsi="Times New Roman" w:cs="Times New Roman"/>
          <w:sz w:val="24"/>
          <w:szCs w:val="24"/>
        </w:rPr>
        <w:t>).</w:t>
      </w:r>
      <w:r w:rsidRPr="00AE6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34FA2480" w14:textId="1E184439" w:rsidR="00EE7494" w:rsidRDefault="00EE749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5354979" w14:textId="6ACFA638" w:rsidR="00250E37" w:rsidRDefault="00250E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3B289AA5" w14:textId="1FC17FCA" w:rsidR="00250E37" w:rsidRDefault="00250E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D5025AC" w14:textId="66C227A6" w:rsidR="00250E37" w:rsidRDefault="00250E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1780849" w14:textId="34E2B176" w:rsidR="00250E37" w:rsidRDefault="00250E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77BEC6A4" w14:textId="6CD78C6B" w:rsidR="00250E37" w:rsidRDefault="00250E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432D50A" w14:textId="4D23B753" w:rsidR="00250E37" w:rsidRDefault="00250E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6E3CCB0F" w14:textId="2D46EB79" w:rsidR="00250E37" w:rsidRDefault="00250E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14C43F86" w14:textId="47C5C4DB" w:rsidR="00250E37" w:rsidRDefault="00250E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091DE2D9" w14:textId="5A9457C7" w:rsidR="00250E37" w:rsidRDefault="00250E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07F848EF" w14:textId="5B12B1EB" w:rsidR="00250E37" w:rsidRDefault="00250E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21F67D2" w14:textId="57BBABAC" w:rsidR="00250E37" w:rsidRPr="00250E37" w:rsidRDefault="00250E37" w:rsidP="00250E3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lastRenderedPageBreak/>
        <w:t>Uticaj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teških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metala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sadržaj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fitohormona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listovima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kor</w:t>
      </w:r>
      <w:r w:rsidR="00CE44B2">
        <w:rPr>
          <w:rFonts w:ascii="Times New Roman" w:hAnsi="Times New Roman" w:cs="Times New Roman"/>
          <w:b/>
          <w:sz w:val="24"/>
          <w:szCs w:val="24"/>
        </w:rPr>
        <w:t>j</w:t>
      </w:r>
      <w:r w:rsidRPr="00250E37">
        <w:rPr>
          <w:rFonts w:ascii="Times New Roman" w:hAnsi="Times New Roman" w:cs="Times New Roman"/>
          <w:b/>
          <w:sz w:val="24"/>
          <w:szCs w:val="24"/>
        </w:rPr>
        <w:t>enovima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topole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07B">
        <w:rPr>
          <w:rFonts w:ascii="Times New Roman" w:hAnsi="Times New Roman" w:cs="Times New Roman"/>
          <w:b/>
          <w:i/>
          <w:sz w:val="24"/>
          <w:szCs w:val="24"/>
        </w:rPr>
        <w:t xml:space="preserve">P. </w:t>
      </w:r>
      <w:proofErr w:type="spellStart"/>
      <w:r w:rsidRPr="0034107B">
        <w:rPr>
          <w:rFonts w:ascii="Times New Roman" w:hAnsi="Times New Roman" w:cs="Times New Roman"/>
          <w:b/>
          <w:i/>
          <w:sz w:val="24"/>
          <w:szCs w:val="24"/>
        </w:rPr>
        <w:t>deltoides</w:t>
      </w:r>
      <w:proofErr w:type="spellEnd"/>
      <w:r w:rsidR="00CE44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44B2" w:rsidRPr="00CE44B2">
        <w:rPr>
          <w:rFonts w:ascii="Times New Roman" w:hAnsi="Times New Roman" w:cs="Times New Roman"/>
          <w:b/>
          <w:sz w:val="24"/>
          <w:szCs w:val="24"/>
        </w:rPr>
        <w:t xml:space="preserve">(Marko </w:t>
      </w:r>
      <w:proofErr w:type="spellStart"/>
      <w:r w:rsidR="00CE44B2" w:rsidRPr="00CE44B2">
        <w:rPr>
          <w:rFonts w:ascii="Times New Roman" w:hAnsi="Times New Roman" w:cs="Times New Roman"/>
          <w:b/>
          <w:sz w:val="24"/>
          <w:szCs w:val="24"/>
        </w:rPr>
        <w:t>Kebert</w:t>
      </w:r>
      <w:proofErr w:type="spellEnd"/>
      <w:r w:rsidR="00CE44B2" w:rsidRPr="00CE44B2">
        <w:rPr>
          <w:rFonts w:ascii="Times New Roman" w:hAnsi="Times New Roman" w:cs="Times New Roman"/>
          <w:b/>
          <w:sz w:val="24"/>
          <w:szCs w:val="24"/>
        </w:rPr>
        <w:t>, 2014)</w:t>
      </w:r>
      <w:r w:rsidRPr="00CE44B2">
        <w:rPr>
          <w:rFonts w:ascii="Times New Roman" w:hAnsi="Times New Roman" w:cs="Times New Roman"/>
          <w:sz w:val="24"/>
          <w:szCs w:val="24"/>
        </w:rPr>
        <w:br/>
      </w:r>
      <w:r w:rsidRPr="00CE44B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1597">
        <w:rPr>
          <w:rFonts w:ascii="Times New Roman" w:hAnsi="Times New Roman" w:cs="Times New Roman"/>
          <w:sz w:val="24"/>
          <w:szCs w:val="24"/>
        </w:rPr>
        <w:t>Ekstrakcija</w:t>
      </w:r>
      <w:proofErr w:type="spellEnd"/>
      <w:r w:rsidRPr="0013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97">
        <w:rPr>
          <w:rFonts w:ascii="Times New Roman" w:hAnsi="Times New Roman" w:cs="Times New Roman"/>
          <w:sz w:val="24"/>
          <w:szCs w:val="24"/>
        </w:rPr>
        <w:t>fitohormona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0F08DD4" w14:textId="3C2E3A26" w:rsidR="00250E37" w:rsidRPr="00250E37" w:rsidRDefault="00250E37" w:rsidP="00250E3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0E37">
        <w:rPr>
          <w:rFonts w:ascii="Times New Roman" w:hAnsi="Times New Roman" w:cs="Times New Roman"/>
          <w:sz w:val="24"/>
          <w:szCs w:val="24"/>
        </w:rPr>
        <w:t>Biljni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odmah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uzorkovanja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potapan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tečni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azot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skladišten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-700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C u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zamrzivač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dubokim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zamrzavanjem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Zamrznuti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uzorci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liofilizovani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-800 C,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otklonio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višak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vlage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. Na dan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ekstrakcije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100 mg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liofilizovanog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biljnog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dodavano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avan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homogenizaciju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sadržao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50 ml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tečnog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azota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, da bi se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tučkom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uzorak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homegenizovao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10 ml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ekstrakcionog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pufera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(35%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imidazol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0E37">
        <w:rPr>
          <w:rFonts w:ascii="Times New Roman" w:hAnsi="Times New Roman" w:cs="Times New Roman"/>
          <w:sz w:val="24"/>
          <w:szCs w:val="24"/>
        </w:rPr>
        <w:t>pufera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 0.02</w:t>
      </w:r>
      <w:proofErr w:type="gramEnd"/>
      <w:r w:rsidRPr="00250E37">
        <w:rPr>
          <w:rFonts w:ascii="Times New Roman" w:hAnsi="Times New Roman" w:cs="Times New Roman"/>
          <w:sz w:val="24"/>
          <w:szCs w:val="24"/>
        </w:rPr>
        <w:t xml:space="preserve"> M pH-7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65%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izopropanola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Izopropanol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izabran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ekstrakciono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sredstvo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poput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polarnih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organskih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rastvarača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metanola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obezb</w:t>
      </w:r>
      <w:r w:rsidR="00CE44B2">
        <w:rPr>
          <w:rFonts w:ascii="Times New Roman" w:hAnsi="Times New Roman" w:cs="Times New Roman"/>
          <w:sz w:val="24"/>
          <w:szCs w:val="24"/>
        </w:rPr>
        <w:t>j</w:t>
      </w:r>
      <w:r w:rsidRPr="00250E37">
        <w:rPr>
          <w:rFonts w:ascii="Times New Roman" w:hAnsi="Times New Roman" w:cs="Times New Roman"/>
          <w:sz w:val="24"/>
          <w:szCs w:val="24"/>
        </w:rPr>
        <w:t>eđuje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dobru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ekstrakciju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hormona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50E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inhibiciju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enzima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sprečavajući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pritom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stvaranje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estara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konjugovanih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oblika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IAA.  </w:t>
      </w:r>
      <w:r w:rsidRPr="00250E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Ekstraktima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dodato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po 100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internog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100 ng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izotopski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obeleženog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13C6IAA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rastvorenog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izopropanolu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rastvora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internog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100 ng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deuterisanog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2H4ABA.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Ekstrakti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inkubirani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24h u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mraku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+4 0 C, da bi se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sl</w:t>
      </w:r>
      <w:r w:rsidR="00CE44B2">
        <w:rPr>
          <w:rFonts w:ascii="Times New Roman" w:hAnsi="Times New Roman" w:cs="Times New Roman"/>
          <w:sz w:val="24"/>
          <w:szCs w:val="24"/>
        </w:rPr>
        <w:t>j</w:t>
      </w:r>
      <w:r w:rsidRPr="00250E37">
        <w:rPr>
          <w:rFonts w:ascii="Times New Roman" w:hAnsi="Times New Roman" w:cs="Times New Roman"/>
          <w:sz w:val="24"/>
          <w:szCs w:val="24"/>
        </w:rPr>
        <w:t>edeći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centrifugiranja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od 10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10000 rpm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pažljivo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odvojio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supernatant,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talog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tri put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ispirao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ekstrakcionim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sz w:val="24"/>
          <w:szCs w:val="24"/>
        </w:rPr>
        <w:t>sredstvom</w:t>
      </w:r>
      <w:proofErr w:type="spellEnd"/>
      <w:r w:rsidRPr="00250E3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FC59876" w14:textId="276158E9" w:rsidR="00531EB6" w:rsidRPr="008475DF" w:rsidRDefault="00531EB6" w:rsidP="00531E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1597">
        <w:rPr>
          <w:rFonts w:ascii="Times New Roman" w:hAnsi="Times New Roman" w:cs="Times New Roman"/>
          <w:sz w:val="24"/>
          <w:szCs w:val="24"/>
        </w:rPr>
        <w:t>Gasno-hromatografska</w:t>
      </w:r>
      <w:proofErr w:type="spellEnd"/>
      <w:r w:rsidRPr="0013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97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13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97">
        <w:rPr>
          <w:rFonts w:ascii="Times New Roman" w:hAnsi="Times New Roman" w:cs="Times New Roman"/>
          <w:sz w:val="24"/>
          <w:szCs w:val="24"/>
        </w:rPr>
        <w:t>biljnih</w:t>
      </w:r>
      <w:proofErr w:type="spellEnd"/>
      <w:r w:rsidRPr="0013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97">
        <w:rPr>
          <w:rFonts w:ascii="Times New Roman" w:hAnsi="Times New Roman" w:cs="Times New Roman"/>
          <w:sz w:val="24"/>
          <w:szCs w:val="24"/>
        </w:rPr>
        <w:t>hormona</w:t>
      </w:r>
      <w:proofErr w:type="spellEnd"/>
      <w:r w:rsidRPr="001315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1597">
        <w:rPr>
          <w:rFonts w:ascii="Times New Roman" w:hAnsi="Times New Roman" w:cs="Times New Roman"/>
          <w:sz w:val="24"/>
          <w:szCs w:val="24"/>
        </w:rPr>
        <w:t>Rapparini</w:t>
      </w:r>
      <w:proofErr w:type="spellEnd"/>
      <w:r w:rsidRPr="00131597">
        <w:rPr>
          <w:rFonts w:ascii="Times New Roman" w:hAnsi="Times New Roman" w:cs="Times New Roman"/>
          <w:sz w:val="24"/>
          <w:szCs w:val="24"/>
        </w:rPr>
        <w:t xml:space="preserve"> et al., 2002) </w:t>
      </w:r>
      <w:r w:rsidRPr="00131597">
        <w:rPr>
          <w:rFonts w:ascii="Times New Roman" w:hAnsi="Times New Roman" w:cs="Times New Roman"/>
          <w:sz w:val="24"/>
          <w:szCs w:val="24"/>
        </w:rPr>
        <w:br/>
      </w:r>
      <w:r w:rsidRPr="0013159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Kvantitativna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metilovanih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estara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IAA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ABA je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rađena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bikapilarnom-gasnom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hromatografijom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kuplovanom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masenom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spektrometrijom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u SIM (selective ion monitoring)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modu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koristeći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GC/5970 MS Model 5890 (Agilent Technologies,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PaloAlto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, CA)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opremljen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HP-1MS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fuzionisanom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-silica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kapilarnom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kolonom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dužine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60 m x 0.25 mm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unutrašnjeg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dijametra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obloženom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0.25 mm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filma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polimetilsiloksana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; HP1; Hewlett Packard).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GC-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injektora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podešena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270 °C,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peći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GC,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podešena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temperaturnu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rampu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od 90°C do 280°C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brzinom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rasta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temperature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20°C min-1 do 220°C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brzinom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5°C min-1 do 280°C.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jonskog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280°C, 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brzina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protoka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mobilne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faze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je 1 ml min-1. 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Kvadripol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masenog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spektrometra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je radio u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elektron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impakt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modu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“EI-mode”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elektronskom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emisijom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od 70 eV. Za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određivanje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metil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estara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IAA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[13C6]-IAA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internog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praćeni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joni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m/z 130,136, 189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195,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vremenom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naseljavanja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od 50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jonu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. Joni m/z 130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136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odgovaraju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masama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baznih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pikova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hinolinijumskih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metil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-IAA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metil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-[13C6]-IAA,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mase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m/z 189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195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odgovaraju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molekulskim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jonima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jedinjenja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531EB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određivanje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metil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estara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ABA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[2H6]-ABA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internog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praćeni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joni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masa m/z 190, 194, 162,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166,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vremenom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zadržavanja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od 50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jonu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. Joni masa m/z 190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194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odgovaraju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masama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pikova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hinolinijumskim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jonima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metil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-ABA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metil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-[2H6]-ABA,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mase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m/z 162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166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predstavljaju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moleksulske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jone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jedinjenja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manualno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integrisanih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površina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130:136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190:194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korišćeni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računanje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endogenih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IAA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ABA.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D495A61" wp14:editId="23347128">
            <wp:extent cx="6501732" cy="2162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309" cy="216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Slika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38.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Gasni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hromatograf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masenim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detektorom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levo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SIM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hromatogram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jonova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potiču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izotopski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obeleženog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6">
        <w:rPr>
          <w:rFonts w:ascii="Times New Roman" w:hAnsi="Times New Roman" w:cs="Times New Roman"/>
          <w:sz w:val="24"/>
          <w:szCs w:val="24"/>
        </w:rPr>
        <w:t>endogene</w:t>
      </w:r>
      <w:proofErr w:type="spellEnd"/>
      <w:r w:rsidRPr="00531EB6">
        <w:rPr>
          <w:rFonts w:ascii="Times New Roman" w:hAnsi="Times New Roman" w:cs="Times New Roman"/>
          <w:sz w:val="24"/>
          <w:szCs w:val="24"/>
        </w:rPr>
        <w:t xml:space="preserve"> ABA</w:t>
      </w:r>
      <w:r>
        <w:rPr>
          <w:rFonts w:ascii="Times New Roman" w:hAnsi="Times New Roman" w:cs="Times New Roman"/>
          <w:sz w:val="24"/>
          <w:szCs w:val="24"/>
        </w:rPr>
        <w:br/>
      </w:r>
      <w:r w:rsidR="008475DF">
        <w:rPr>
          <w:rFonts w:ascii="Times New Roman" w:hAnsi="Times New Roman" w:cs="Times New Roman"/>
          <w:sz w:val="24"/>
          <w:szCs w:val="24"/>
        </w:rPr>
        <w:br/>
      </w:r>
      <w:r w:rsidR="008475DF" w:rsidRPr="008475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A942EB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</w:t>
      </w:r>
      <w:r w:rsidR="00CE44B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942EB">
        <w:rPr>
          <w:rFonts w:ascii="Times New Roman" w:hAnsi="Times New Roman" w:cs="Times New Roman"/>
          <w:b/>
          <w:sz w:val="24"/>
          <w:szCs w:val="24"/>
        </w:rPr>
        <w:t xml:space="preserve"> REZULTATI</w:t>
      </w:r>
    </w:p>
    <w:p w14:paraId="5CB5E132" w14:textId="5C622601" w:rsidR="00250E37" w:rsidRPr="00250E37" w:rsidRDefault="00250E3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8D20780" w14:textId="77777777" w:rsidR="00D53775" w:rsidRPr="00D53775" w:rsidRDefault="008475DF" w:rsidP="00D53775">
      <w:pPr>
        <w:rPr>
          <w:rFonts w:cstheme="minorHAnsi"/>
          <w:sz w:val="24"/>
          <w:szCs w:val="24"/>
        </w:rPr>
      </w:pPr>
      <w:r w:rsidRPr="00786F38">
        <w:rPr>
          <w:rFonts w:ascii="Times New Roman" w:hAnsi="Times New Roman" w:cs="Times New Roman"/>
          <w:b/>
          <w:bCs/>
          <w:sz w:val="24"/>
          <w:szCs w:val="24"/>
        </w:rPr>
        <w:t>UTICAJ Ni NA KONCENTRACIJU I RASPODJELU NEOPHODNIH ELEMENATA U BILJKAMA GRAŠKA</w:t>
      </w:r>
      <w:r w:rsidRPr="00786F3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53775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Nikal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prisutan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hranljivom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supstratu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pristupačnom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inhibira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podstiče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nakupljanje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neophodnih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elementa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najčešće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zasniva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antagonizmu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sinergizmu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elemenata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>.</w:t>
      </w:r>
      <w:r w:rsidR="00D53775" w:rsidRPr="00D5377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Ispitivane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doze Ni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graška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uticale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koncentraciju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distribuciju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NO3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uticale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kocentraciju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raspodjelu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ukupnog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dozi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Ni od 40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80 g/ha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uočeno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intenzivnije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nakupljanje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NO3 u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korijenu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od20,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40 g/ha u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najvećoj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ispitivanoj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dozi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Ni (120 g Ni/ha)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utvrđeno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NO3 u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reproduktivnim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>.</w:t>
      </w:r>
      <w:r w:rsidR="00D53775" w:rsidRPr="00D5377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Nikal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značajnu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metabolizmu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paradajza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utvrđeno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akumulacija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distribucija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zavisi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obezbijeđenosti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775" w:rsidRPr="00D53775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="00D53775" w:rsidRPr="00D53775">
        <w:rPr>
          <w:rFonts w:ascii="Times New Roman" w:hAnsi="Times New Roman" w:cs="Times New Roman"/>
          <w:sz w:val="24"/>
          <w:szCs w:val="24"/>
        </w:rPr>
        <w:t xml:space="preserve"> Ni.</w:t>
      </w:r>
      <w:r w:rsidR="00D53775" w:rsidRPr="00D53775">
        <w:rPr>
          <w:rFonts w:ascii="Times New Roman" w:hAnsi="Times New Roman" w:cs="Times New Roman"/>
          <w:sz w:val="24"/>
          <w:szCs w:val="24"/>
        </w:rPr>
        <w:br/>
      </w:r>
      <w:r w:rsidR="00D53775" w:rsidRPr="00D53775">
        <w:rPr>
          <w:rFonts w:cstheme="minorHAnsi"/>
          <w:sz w:val="24"/>
          <w:szCs w:val="24"/>
        </w:rPr>
        <w:t xml:space="preserve"> Sa </w:t>
      </w:r>
      <w:proofErr w:type="spellStart"/>
      <w:r w:rsidR="00D53775" w:rsidRPr="00D53775">
        <w:rPr>
          <w:rFonts w:cstheme="minorHAnsi"/>
          <w:sz w:val="24"/>
          <w:szCs w:val="24"/>
        </w:rPr>
        <w:t>povećanjem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koncentracije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Ni u </w:t>
      </w:r>
      <w:proofErr w:type="spellStart"/>
      <w:r w:rsidR="00D53775" w:rsidRPr="00D53775">
        <w:rPr>
          <w:rFonts w:cstheme="minorHAnsi"/>
          <w:sz w:val="24"/>
          <w:szCs w:val="24"/>
        </w:rPr>
        <w:t>hranljivom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supstratu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povećao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se </w:t>
      </w:r>
      <w:proofErr w:type="spellStart"/>
      <w:r w:rsidR="00D53775" w:rsidRPr="00D53775">
        <w:rPr>
          <w:rFonts w:cstheme="minorHAnsi"/>
          <w:sz w:val="24"/>
          <w:szCs w:val="24"/>
        </w:rPr>
        <w:t>udio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N u </w:t>
      </w:r>
      <w:proofErr w:type="spellStart"/>
      <w:r w:rsidR="00D53775" w:rsidRPr="00D53775">
        <w:rPr>
          <w:rFonts w:cstheme="minorHAnsi"/>
          <w:sz w:val="24"/>
          <w:szCs w:val="24"/>
        </w:rPr>
        <w:t>korijenu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i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stablu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, a </w:t>
      </w:r>
      <w:proofErr w:type="spellStart"/>
      <w:r w:rsidR="00D53775" w:rsidRPr="00D53775">
        <w:rPr>
          <w:rFonts w:cstheme="minorHAnsi"/>
          <w:sz w:val="24"/>
          <w:szCs w:val="24"/>
        </w:rPr>
        <w:t>smanjio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u </w:t>
      </w:r>
      <w:proofErr w:type="spellStart"/>
      <w:r w:rsidR="00D53775" w:rsidRPr="00D53775">
        <w:rPr>
          <w:rFonts w:cstheme="minorHAnsi"/>
          <w:sz w:val="24"/>
          <w:szCs w:val="24"/>
        </w:rPr>
        <w:t>listovima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. </w:t>
      </w:r>
      <w:proofErr w:type="spellStart"/>
      <w:r w:rsidR="00D53775" w:rsidRPr="00D53775">
        <w:rPr>
          <w:rFonts w:cstheme="minorHAnsi"/>
          <w:sz w:val="24"/>
          <w:szCs w:val="24"/>
        </w:rPr>
        <w:t>Slični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rezultati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su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dobijeni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kod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crvene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djeteline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, </w:t>
      </w:r>
      <w:proofErr w:type="spellStart"/>
      <w:r w:rsidR="00D53775" w:rsidRPr="00D53775">
        <w:rPr>
          <w:rFonts w:cstheme="minorHAnsi"/>
          <w:sz w:val="24"/>
          <w:szCs w:val="24"/>
        </w:rPr>
        <w:t>dok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je </w:t>
      </w:r>
      <w:proofErr w:type="spellStart"/>
      <w:r w:rsidR="00D53775" w:rsidRPr="00D53775">
        <w:rPr>
          <w:rFonts w:cstheme="minorHAnsi"/>
          <w:sz w:val="24"/>
          <w:szCs w:val="24"/>
        </w:rPr>
        <w:t>kod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ječma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uočeno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značajno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smanjenje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sadržaja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NO3 u </w:t>
      </w:r>
      <w:proofErr w:type="spellStart"/>
      <w:r w:rsidR="00D53775" w:rsidRPr="00D53775">
        <w:rPr>
          <w:rFonts w:cstheme="minorHAnsi"/>
          <w:sz w:val="24"/>
          <w:szCs w:val="24"/>
        </w:rPr>
        <w:t>prisustvu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Ni.</w:t>
      </w:r>
      <w:r w:rsidR="00D53775">
        <w:rPr>
          <w:rFonts w:cstheme="minorHAnsi"/>
          <w:sz w:val="24"/>
          <w:szCs w:val="24"/>
        </w:rPr>
        <w:br/>
      </w:r>
      <w:proofErr w:type="spellStart"/>
      <w:r w:rsidR="00D53775" w:rsidRPr="00D53775">
        <w:rPr>
          <w:rFonts w:cstheme="minorHAnsi"/>
          <w:sz w:val="24"/>
          <w:szCs w:val="24"/>
        </w:rPr>
        <w:t>Niže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koncentracije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Ni u </w:t>
      </w:r>
      <w:proofErr w:type="spellStart"/>
      <w:r w:rsidR="00D53775" w:rsidRPr="00D53775">
        <w:rPr>
          <w:rFonts w:cstheme="minorHAnsi"/>
          <w:sz w:val="24"/>
          <w:szCs w:val="24"/>
        </w:rPr>
        <w:t>hranljivom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supstratu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nisu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značajno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uticale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na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koncentraciju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i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distribuciju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Ca </w:t>
      </w:r>
      <w:proofErr w:type="spellStart"/>
      <w:r w:rsidR="00D53775" w:rsidRPr="00D53775">
        <w:rPr>
          <w:rFonts w:cstheme="minorHAnsi"/>
          <w:sz w:val="24"/>
          <w:szCs w:val="24"/>
        </w:rPr>
        <w:t>kod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 </w:t>
      </w:r>
      <w:proofErr w:type="spellStart"/>
      <w:r w:rsidR="00D53775" w:rsidRPr="00D53775">
        <w:rPr>
          <w:rFonts w:cstheme="minorHAnsi"/>
          <w:sz w:val="24"/>
          <w:szCs w:val="24"/>
        </w:rPr>
        <w:t>graška</w:t>
      </w:r>
      <w:proofErr w:type="spellEnd"/>
      <w:r w:rsidR="00D53775" w:rsidRPr="00D53775">
        <w:rPr>
          <w:rFonts w:cstheme="minorHAnsi"/>
          <w:sz w:val="24"/>
          <w:szCs w:val="24"/>
        </w:rPr>
        <w:t xml:space="preserve">. </w:t>
      </w:r>
    </w:p>
    <w:p w14:paraId="501AC609" w14:textId="3BD8AA3B" w:rsidR="00AE67C7" w:rsidRDefault="00D53775" w:rsidP="00B72C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A942EB">
        <w:rPr>
          <w:rFonts w:cstheme="minorHAnsi"/>
          <w:sz w:val="24"/>
          <w:szCs w:val="24"/>
        </w:rPr>
        <w:br/>
      </w:r>
      <w:proofErr w:type="spellStart"/>
      <w:r w:rsidRPr="00D53775">
        <w:rPr>
          <w:rFonts w:cstheme="minorHAnsi"/>
          <w:sz w:val="24"/>
          <w:szCs w:val="24"/>
        </w:rPr>
        <w:lastRenderedPageBreak/>
        <w:t>Ispitivane</w:t>
      </w:r>
      <w:proofErr w:type="spellEnd"/>
      <w:r w:rsidRPr="00D53775">
        <w:rPr>
          <w:rFonts w:cstheme="minorHAnsi"/>
          <w:sz w:val="24"/>
          <w:szCs w:val="24"/>
        </w:rPr>
        <w:t xml:space="preserve"> doze Ni </w:t>
      </w:r>
      <w:proofErr w:type="spellStart"/>
      <w:r w:rsidRPr="00D53775">
        <w:rPr>
          <w:rFonts w:cstheme="minorHAnsi"/>
          <w:sz w:val="24"/>
          <w:szCs w:val="24"/>
        </w:rPr>
        <w:t>značajno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su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uticale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na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nakupljanje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i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distribuciju</w:t>
      </w:r>
      <w:proofErr w:type="spellEnd"/>
      <w:r w:rsidRPr="00D53775">
        <w:rPr>
          <w:rFonts w:cstheme="minorHAnsi"/>
          <w:sz w:val="24"/>
          <w:szCs w:val="24"/>
        </w:rPr>
        <w:t xml:space="preserve"> Mg </w:t>
      </w:r>
      <w:proofErr w:type="spellStart"/>
      <w:r w:rsidRPr="00D53775">
        <w:rPr>
          <w:rFonts w:cstheme="minorHAnsi"/>
          <w:sz w:val="24"/>
          <w:szCs w:val="24"/>
        </w:rPr>
        <w:t>kod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graška</w:t>
      </w:r>
      <w:proofErr w:type="spellEnd"/>
      <w:r w:rsidRPr="00D53775">
        <w:rPr>
          <w:rFonts w:cstheme="minorHAnsi"/>
          <w:sz w:val="24"/>
          <w:szCs w:val="24"/>
        </w:rPr>
        <w:t xml:space="preserve">. </w:t>
      </w:r>
      <w:proofErr w:type="spellStart"/>
      <w:r w:rsidRPr="00D53775">
        <w:rPr>
          <w:rFonts w:cstheme="minorHAnsi"/>
          <w:sz w:val="24"/>
          <w:szCs w:val="24"/>
        </w:rPr>
        <w:t>Koncentracija</w:t>
      </w:r>
      <w:proofErr w:type="spellEnd"/>
      <w:r w:rsidRPr="00D53775">
        <w:rPr>
          <w:rFonts w:cstheme="minorHAnsi"/>
          <w:sz w:val="24"/>
          <w:szCs w:val="24"/>
        </w:rPr>
        <w:t xml:space="preserve"> Mg u </w:t>
      </w:r>
      <w:proofErr w:type="spellStart"/>
      <w:r w:rsidRPr="00D53775">
        <w:rPr>
          <w:rFonts w:cstheme="minorHAnsi"/>
          <w:sz w:val="24"/>
          <w:szCs w:val="24"/>
        </w:rPr>
        <w:t>stablu</w:t>
      </w:r>
      <w:proofErr w:type="spellEnd"/>
      <w:r w:rsidRPr="00D53775">
        <w:rPr>
          <w:rFonts w:cstheme="minorHAnsi"/>
          <w:sz w:val="24"/>
          <w:szCs w:val="24"/>
        </w:rPr>
        <w:t xml:space="preserve">, </w:t>
      </w:r>
      <w:proofErr w:type="spellStart"/>
      <w:r w:rsidRPr="00D53775">
        <w:rPr>
          <w:rFonts w:cstheme="minorHAnsi"/>
          <w:sz w:val="24"/>
          <w:szCs w:val="24"/>
        </w:rPr>
        <w:t>mahunama</w:t>
      </w:r>
      <w:proofErr w:type="spellEnd"/>
      <w:r w:rsidRPr="00D53775">
        <w:rPr>
          <w:rFonts w:cstheme="minorHAnsi"/>
          <w:sz w:val="24"/>
          <w:szCs w:val="24"/>
        </w:rPr>
        <w:t xml:space="preserve">, a </w:t>
      </w:r>
      <w:proofErr w:type="spellStart"/>
      <w:r w:rsidRPr="00D53775">
        <w:rPr>
          <w:rFonts w:cstheme="minorHAnsi"/>
          <w:sz w:val="24"/>
          <w:szCs w:val="24"/>
        </w:rPr>
        <w:t>posebno</w:t>
      </w:r>
      <w:proofErr w:type="spellEnd"/>
      <w:r w:rsidRPr="00D53775">
        <w:rPr>
          <w:rFonts w:cstheme="minorHAnsi"/>
          <w:sz w:val="24"/>
          <w:szCs w:val="24"/>
        </w:rPr>
        <w:t xml:space="preserve"> u </w:t>
      </w:r>
      <w:proofErr w:type="spellStart"/>
      <w:r w:rsidRPr="00D53775">
        <w:rPr>
          <w:rFonts w:cstheme="minorHAnsi"/>
          <w:sz w:val="24"/>
          <w:szCs w:val="24"/>
        </w:rPr>
        <w:t>zrnu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nije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značajno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zavisila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od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primenjenih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koncentracija</w:t>
      </w:r>
      <w:proofErr w:type="spellEnd"/>
      <w:r w:rsidRPr="00D53775">
        <w:rPr>
          <w:rFonts w:cstheme="minorHAnsi"/>
          <w:sz w:val="24"/>
          <w:szCs w:val="24"/>
        </w:rPr>
        <w:t xml:space="preserve"> Ni. </w:t>
      </w:r>
      <w:proofErr w:type="spellStart"/>
      <w:r w:rsidRPr="00D53775">
        <w:rPr>
          <w:rFonts w:cstheme="minorHAnsi"/>
          <w:sz w:val="24"/>
          <w:szCs w:val="24"/>
        </w:rPr>
        <w:t>Međutim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dolazi</w:t>
      </w:r>
      <w:proofErr w:type="spellEnd"/>
      <w:r w:rsidRPr="00D53775">
        <w:rPr>
          <w:rFonts w:cstheme="minorHAnsi"/>
          <w:sz w:val="24"/>
          <w:szCs w:val="24"/>
        </w:rPr>
        <w:t xml:space="preserve"> do </w:t>
      </w:r>
      <w:proofErr w:type="spellStart"/>
      <w:r w:rsidRPr="00D53775">
        <w:rPr>
          <w:rFonts w:cstheme="minorHAnsi"/>
          <w:sz w:val="24"/>
          <w:szCs w:val="24"/>
        </w:rPr>
        <w:t>značajnog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smanjenja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koncentracije</w:t>
      </w:r>
      <w:proofErr w:type="spellEnd"/>
      <w:r w:rsidRPr="00D53775">
        <w:rPr>
          <w:rFonts w:cstheme="minorHAnsi"/>
          <w:sz w:val="24"/>
          <w:szCs w:val="24"/>
        </w:rPr>
        <w:t xml:space="preserve"> Mg </w:t>
      </w:r>
      <w:proofErr w:type="spellStart"/>
      <w:r w:rsidRPr="00D53775">
        <w:rPr>
          <w:rFonts w:cstheme="minorHAnsi"/>
          <w:sz w:val="24"/>
          <w:szCs w:val="24"/>
        </w:rPr>
        <w:t>kako</w:t>
      </w:r>
      <w:proofErr w:type="spellEnd"/>
      <w:r w:rsidRPr="00D53775">
        <w:rPr>
          <w:rFonts w:cstheme="minorHAnsi"/>
          <w:sz w:val="24"/>
          <w:szCs w:val="24"/>
        </w:rPr>
        <w:t xml:space="preserve"> u </w:t>
      </w:r>
      <w:proofErr w:type="spellStart"/>
      <w:r w:rsidRPr="00D53775">
        <w:rPr>
          <w:rFonts w:cstheme="minorHAnsi"/>
          <w:sz w:val="24"/>
          <w:szCs w:val="24"/>
        </w:rPr>
        <w:t>korijenu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tako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i</w:t>
      </w:r>
      <w:proofErr w:type="spellEnd"/>
      <w:r w:rsidRPr="00D53775">
        <w:rPr>
          <w:rFonts w:cstheme="minorHAnsi"/>
          <w:sz w:val="24"/>
          <w:szCs w:val="24"/>
        </w:rPr>
        <w:t xml:space="preserve"> u </w:t>
      </w:r>
      <w:proofErr w:type="spellStart"/>
      <w:r w:rsidRPr="00D53775">
        <w:rPr>
          <w:rFonts w:cstheme="minorHAnsi"/>
          <w:sz w:val="24"/>
          <w:szCs w:val="24"/>
        </w:rPr>
        <w:t>nadzemnim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djelovima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paradajza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tretiranog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niklom</w:t>
      </w:r>
      <w:proofErr w:type="spellEnd"/>
      <w:r w:rsidRPr="00D53775">
        <w:rPr>
          <w:rFonts w:cstheme="minorHAnsi"/>
          <w:sz w:val="24"/>
          <w:szCs w:val="24"/>
        </w:rPr>
        <w:t xml:space="preserve">. Ni, </w:t>
      </w:r>
      <w:proofErr w:type="spellStart"/>
      <w:r w:rsidRPr="00D53775">
        <w:rPr>
          <w:rFonts w:cstheme="minorHAnsi"/>
          <w:sz w:val="24"/>
          <w:szCs w:val="24"/>
        </w:rPr>
        <w:t>takođe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može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kompetitivno</w:t>
      </w:r>
      <w:proofErr w:type="spellEnd"/>
      <w:r w:rsidRPr="00D53775">
        <w:rPr>
          <w:rFonts w:cstheme="minorHAnsi"/>
          <w:sz w:val="24"/>
          <w:szCs w:val="24"/>
        </w:rPr>
        <w:t xml:space="preserve"> da </w:t>
      </w:r>
      <w:proofErr w:type="spellStart"/>
      <w:r w:rsidRPr="00D53775">
        <w:rPr>
          <w:rFonts w:cstheme="minorHAnsi"/>
          <w:sz w:val="24"/>
          <w:szCs w:val="24"/>
        </w:rPr>
        <w:t>inhibira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usvajanje</w:t>
      </w:r>
      <w:proofErr w:type="spellEnd"/>
      <w:r w:rsidRPr="00D53775">
        <w:rPr>
          <w:rFonts w:cstheme="minorHAnsi"/>
          <w:sz w:val="24"/>
          <w:szCs w:val="24"/>
        </w:rPr>
        <w:t xml:space="preserve"> Mg. </w:t>
      </w:r>
      <w:r>
        <w:rPr>
          <w:rFonts w:cstheme="minorHAnsi"/>
          <w:sz w:val="24"/>
          <w:szCs w:val="24"/>
        </w:rPr>
        <w:br/>
      </w:r>
      <w:proofErr w:type="spellStart"/>
      <w:r w:rsidRPr="00D53775">
        <w:rPr>
          <w:rFonts w:cstheme="minorHAnsi"/>
          <w:sz w:val="24"/>
          <w:szCs w:val="24"/>
        </w:rPr>
        <w:t>Primenjene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niže</w:t>
      </w:r>
      <w:proofErr w:type="spellEnd"/>
      <w:r w:rsidRPr="00D53775">
        <w:rPr>
          <w:rFonts w:cstheme="minorHAnsi"/>
          <w:sz w:val="24"/>
          <w:szCs w:val="24"/>
        </w:rPr>
        <w:t xml:space="preserve"> doze Ni, 20 </w:t>
      </w:r>
      <w:proofErr w:type="spellStart"/>
      <w:r w:rsidRPr="00D53775">
        <w:rPr>
          <w:rFonts w:cstheme="minorHAnsi"/>
          <w:sz w:val="24"/>
          <w:szCs w:val="24"/>
        </w:rPr>
        <w:t>ili</w:t>
      </w:r>
      <w:proofErr w:type="spellEnd"/>
      <w:r w:rsidRPr="00D53775">
        <w:rPr>
          <w:rFonts w:cstheme="minorHAnsi"/>
          <w:sz w:val="24"/>
          <w:szCs w:val="24"/>
        </w:rPr>
        <w:t xml:space="preserve"> 40 g Ni/ha, </w:t>
      </w:r>
      <w:proofErr w:type="spellStart"/>
      <w:r w:rsidRPr="00D53775">
        <w:rPr>
          <w:rFonts w:cstheme="minorHAnsi"/>
          <w:sz w:val="24"/>
          <w:szCs w:val="24"/>
        </w:rPr>
        <w:t>podstakle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su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nakupljanje</w:t>
      </w:r>
      <w:proofErr w:type="spellEnd"/>
      <w:r w:rsidRPr="00D53775">
        <w:rPr>
          <w:rFonts w:cstheme="minorHAnsi"/>
          <w:sz w:val="24"/>
          <w:szCs w:val="24"/>
        </w:rPr>
        <w:t xml:space="preserve"> P u </w:t>
      </w:r>
      <w:proofErr w:type="spellStart"/>
      <w:r w:rsidRPr="00D53775">
        <w:rPr>
          <w:rFonts w:cstheme="minorHAnsi"/>
          <w:sz w:val="24"/>
          <w:szCs w:val="24"/>
        </w:rPr>
        <w:t>korenu</w:t>
      </w:r>
      <w:proofErr w:type="spellEnd"/>
      <w:r w:rsidRPr="00D53775">
        <w:rPr>
          <w:rFonts w:cstheme="minorHAnsi"/>
          <w:sz w:val="24"/>
          <w:szCs w:val="24"/>
        </w:rPr>
        <w:t xml:space="preserve">, a </w:t>
      </w:r>
      <w:proofErr w:type="spellStart"/>
      <w:r w:rsidRPr="00D53775">
        <w:rPr>
          <w:rFonts w:cstheme="minorHAnsi"/>
          <w:sz w:val="24"/>
          <w:szCs w:val="24"/>
        </w:rPr>
        <w:t>najveća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doza</w:t>
      </w:r>
      <w:proofErr w:type="spellEnd"/>
      <w:r w:rsidRPr="00D53775">
        <w:rPr>
          <w:rFonts w:cstheme="minorHAnsi"/>
          <w:sz w:val="24"/>
          <w:szCs w:val="24"/>
        </w:rPr>
        <w:t xml:space="preserve"> (120 g Ni/ha ) je </w:t>
      </w:r>
      <w:proofErr w:type="spellStart"/>
      <w:r w:rsidRPr="00D53775">
        <w:rPr>
          <w:rFonts w:cstheme="minorHAnsi"/>
          <w:sz w:val="24"/>
          <w:szCs w:val="24"/>
        </w:rPr>
        <w:t>smanjila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koncentraciju</w:t>
      </w:r>
      <w:proofErr w:type="spellEnd"/>
      <w:r w:rsidRPr="00D53775">
        <w:rPr>
          <w:rFonts w:cstheme="minorHAnsi"/>
          <w:sz w:val="24"/>
          <w:szCs w:val="24"/>
        </w:rPr>
        <w:t xml:space="preserve"> P u </w:t>
      </w:r>
      <w:proofErr w:type="spellStart"/>
      <w:r w:rsidRPr="00D53775">
        <w:rPr>
          <w:rFonts w:cstheme="minorHAnsi"/>
          <w:sz w:val="24"/>
          <w:szCs w:val="24"/>
        </w:rPr>
        <w:t>listu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i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mahuni</w:t>
      </w:r>
      <w:proofErr w:type="spellEnd"/>
      <w:r w:rsidRPr="00D53775">
        <w:rPr>
          <w:rFonts w:cstheme="minorHAnsi"/>
          <w:sz w:val="24"/>
          <w:szCs w:val="24"/>
        </w:rPr>
        <w:t xml:space="preserve"> (Sl. 1).</w:t>
      </w:r>
      <w:r>
        <w:rPr>
          <w:rFonts w:cstheme="minorHAnsi"/>
          <w:sz w:val="24"/>
          <w:szCs w:val="24"/>
        </w:rPr>
        <w:br/>
      </w:r>
      <w:proofErr w:type="spellStart"/>
      <w:r w:rsidRPr="00D53775">
        <w:rPr>
          <w:rFonts w:cstheme="minorHAnsi"/>
          <w:sz w:val="24"/>
          <w:szCs w:val="24"/>
        </w:rPr>
        <w:t>Ispitivane</w:t>
      </w:r>
      <w:proofErr w:type="spellEnd"/>
      <w:r w:rsidRPr="00D53775">
        <w:rPr>
          <w:rFonts w:cstheme="minorHAnsi"/>
          <w:sz w:val="24"/>
          <w:szCs w:val="24"/>
        </w:rPr>
        <w:t xml:space="preserve"> doze Ni </w:t>
      </w:r>
      <w:proofErr w:type="spellStart"/>
      <w:r w:rsidRPr="00D53775">
        <w:rPr>
          <w:rFonts w:cstheme="minorHAnsi"/>
          <w:sz w:val="24"/>
          <w:szCs w:val="24"/>
        </w:rPr>
        <w:t>nisu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značajno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uticale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na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koncentraciju</w:t>
      </w:r>
      <w:proofErr w:type="spellEnd"/>
      <w:r w:rsidRPr="00D53775">
        <w:rPr>
          <w:rFonts w:cstheme="minorHAnsi"/>
          <w:sz w:val="24"/>
          <w:szCs w:val="24"/>
        </w:rPr>
        <w:t xml:space="preserve"> K u </w:t>
      </w:r>
      <w:proofErr w:type="spellStart"/>
      <w:r w:rsidRPr="00D53775">
        <w:rPr>
          <w:rFonts w:cstheme="minorHAnsi"/>
          <w:sz w:val="24"/>
          <w:szCs w:val="24"/>
        </w:rPr>
        <w:t>korenu</w:t>
      </w:r>
      <w:proofErr w:type="spellEnd"/>
      <w:r w:rsidRPr="00D53775">
        <w:rPr>
          <w:rFonts w:cstheme="minorHAnsi"/>
          <w:sz w:val="24"/>
          <w:szCs w:val="24"/>
        </w:rPr>
        <w:t xml:space="preserve">, </w:t>
      </w:r>
      <w:proofErr w:type="spellStart"/>
      <w:r w:rsidRPr="00D53775">
        <w:rPr>
          <w:rFonts w:cstheme="minorHAnsi"/>
          <w:sz w:val="24"/>
          <w:szCs w:val="24"/>
        </w:rPr>
        <w:t>stablu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i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listovima</w:t>
      </w:r>
      <w:proofErr w:type="spellEnd"/>
      <w:r w:rsidRPr="00D53775">
        <w:rPr>
          <w:rFonts w:cstheme="minorHAnsi"/>
          <w:sz w:val="24"/>
          <w:szCs w:val="24"/>
        </w:rPr>
        <w:t xml:space="preserve">, </w:t>
      </w:r>
      <w:proofErr w:type="spellStart"/>
      <w:r w:rsidRPr="00D53775">
        <w:rPr>
          <w:rFonts w:cstheme="minorHAnsi"/>
          <w:sz w:val="24"/>
          <w:szCs w:val="24"/>
        </w:rPr>
        <w:t>dok</w:t>
      </w:r>
      <w:proofErr w:type="spellEnd"/>
      <w:r w:rsidRPr="00D53775">
        <w:rPr>
          <w:rFonts w:cstheme="minorHAnsi"/>
          <w:sz w:val="24"/>
          <w:szCs w:val="24"/>
        </w:rPr>
        <w:t xml:space="preserve"> se </w:t>
      </w:r>
      <w:proofErr w:type="spellStart"/>
      <w:r w:rsidRPr="00D53775">
        <w:rPr>
          <w:rFonts w:cstheme="minorHAnsi"/>
          <w:sz w:val="24"/>
          <w:szCs w:val="24"/>
        </w:rPr>
        <w:t>udeo</w:t>
      </w:r>
      <w:proofErr w:type="spellEnd"/>
      <w:r w:rsidRPr="00D53775">
        <w:rPr>
          <w:rFonts w:cstheme="minorHAnsi"/>
          <w:sz w:val="24"/>
          <w:szCs w:val="24"/>
        </w:rPr>
        <w:t xml:space="preserve"> K u </w:t>
      </w:r>
      <w:proofErr w:type="spellStart"/>
      <w:r w:rsidRPr="00D53775">
        <w:rPr>
          <w:rFonts w:cstheme="minorHAnsi"/>
          <w:sz w:val="24"/>
          <w:szCs w:val="24"/>
        </w:rPr>
        <w:t>reproduktivnim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organima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biljaka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graška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značajno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smanjio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posebno</w:t>
      </w:r>
      <w:proofErr w:type="spellEnd"/>
      <w:r w:rsidRPr="00D53775">
        <w:rPr>
          <w:rFonts w:cstheme="minorHAnsi"/>
          <w:sz w:val="24"/>
          <w:szCs w:val="24"/>
        </w:rPr>
        <w:t xml:space="preserve"> pod </w:t>
      </w:r>
      <w:proofErr w:type="spellStart"/>
      <w:r w:rsidRPr="00D53775">
        <w:rPr>
          <w:rFonts w:cstheme="minorHAnsi"/>
          <w:sz w:val="24"/>
          <w:szCs w:val="24"/>
        </w:rPr>
        <w:t>uticajem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najveće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ispitivane</w:t>
      </w:r>
      <w:proofErr w:type="spellEnd"/>
      <w:r w:rsidRPr="00D53775">
        <w:rPr>
          <w:rFonts w:cstheme="minorHAnsi"/>
          <w:sz w:val="24"/>
          <w:szCs w:val="24"/>
        </w:rPr>
        <w:t xml:space="preserve"> </w:t>
      </w:r>
      <w:proofErr w:type="spellStart"/>
      <w:r w:rsidRPr="00D53775">
        <w:rPr>
          <w:rFonts w:cstheme="minorHAnsi"/>
          <w:sz w:val="24"/>
          <w:szCs w:val="24"/>
        </w:rPr>
        <w:t>koncentracije</w:t>
      </w:r>
      <w:proofErr w:type="spellEnd"/>
      <w:r w:rsidRPr="00D53775">
        <w:rPr>
          <w:rFonts w:cstheme="minorHAnsi"/>
          <w:sz w:val="24"/>
          <w:szCs w:val="24"/>
        </w:rPr>
        <w:t xml:space="preserve"> Ni (Sl. 1).</w:t>
      </w:r>
    </w:p>
    <w:p w14:paraId="393B3EDE" w14:textId="77777777" w:rsidR="00D53775" w:rsidRPr="00D53775" w:rsidRDefault="00D53775" w:rsidP="00B72C53">
      <w:pPr>
        <w:rPr>
          <w:rFonts w:cstheme="minorHAnsi"/>
          <w:sz w:val="24"/>
          <w:szCs w:val="24"/>
        </w:rPr>
      </w:pPr>
    </w:p>
    <w:p w14:paraId="716319C9" w14:textId="5D113C9D" w:rsidR="00AE67C7" w:rsidRDefault="00D53775" w:rsidP="00B72C53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794F44B3" wp14:editId="41551DE1">
            <wp:extent cx="5231790" cy="558165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2973052_421845655229361_2061967181234569216_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517" cy="558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24EBC" w14:textId="705619ED" w:rsidR="00296E02" w:rsidRPr="00D3723D" w:rsidRDefault="00D3723D" w:rsidP="00D372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723D">
        <w:rPr>
          <w:rFonts w:ascii="Times New Roman" w:hAnsi="Times New Roman" w:cs="Times New Roman"/>
          <w:sz w:val="24"/>
          <w:szCs w:val="24"/>
        </w:rPr>
        <w:lastRenderedPageBreak/>
        <w:t>Niže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doze Ni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povoljno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utiču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nakupljanje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Fe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grašku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(Sl. 2). Doze od 20 do 80 g Ni/ha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izazvale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povećanje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ukupnog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Fe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korenu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stablu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mahunama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zrnu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doza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od 120 g Ni/ha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značajnije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uticala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koncentraciju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Fe.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Ispitivane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doze Ni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uticale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distribuciju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Fe. Na primer,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primeni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20 do 80 g Ni/ha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uočeno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Fe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dobijenih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zaključiti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nakupljanje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Fe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reproduktivnim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najvećoj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ispitivanoj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dozi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Ni.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brojnih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apsorpcija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nakupljanje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distribucija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Cu, a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Zn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zavisi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pristupačnih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Ni za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Ni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najvećoj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mjeri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odvija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putevima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Zn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Cu.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Proučavane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doze Ni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povećale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koncentraciju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Zn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korijenu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stablu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značajnije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uticale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koncentraciju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Zn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mahunama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zrnu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Ispitivane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doze Ni,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80 g/ha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uticale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raspodjelu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Zn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ispitivanim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povećavši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njegov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stablu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smanjujući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mahunama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zrnu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Ispitivane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doze Ni,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slično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njihovom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uticaju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status Zn,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uticale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nakupljanje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distribuciju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Cu.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Naime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primijenjene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doze Ni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korijenu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stablu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povećale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mahunama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zrnu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smanjile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koncentraciju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Cu.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Slično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ispitivane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doze Ni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uticale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raspodjelu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Cu,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smanjujući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transport Cu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korijena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nadzemne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djelove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reproduktivne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3D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D3723D">
        <w:rPr>
          <w:rFonts w:ascii="Times New Roman" w:hAnsi="Times New Roman" w:cs="Times New Roman"/>
          <w:sz w:val="24"/>
          <w:szCs w:val="24"/>
        </w:rPr>
        <w:t>.</w:t>
      </w:r>
    </w:p>
    <w:p w14:paraId="49DE3C2F" w14:textId="637026BE" w:rsidR="00296E02" w:rsidRDefault="00296E02" w:rsidP="00B81924">
      <w:pPr>
        <w:rPr>
          <w:rFonts w:ascii="Times New Roman" w:hAnsi="Times New Roman" w:cs="Times New Roman"/>
          <w:b/>
          <w:sz w:val="28"/>
          <w:szCs w:val="28"/>
        </w:rPr>
      </w:pPr>
    </w:p>
    <w:p w14:paraId="6C1E9987" w14:textId="6CF4B27F" w:rsidR="00D53775" w:rsidRDefault="00D53775" w:rsidP="00B81924">
      <w:pPr>
        <w:rPr>
          <w:rFonts w:ascii="Times New Roman" w:hAnsi="Times New Roman" w:cs="Times New Roman"/>
          <w:b/>
          <w:sz w:val="28"/>
          <w:szCs w:val="28"/>
        </w:rPr>
      </w:pPr>
    </w:p>
    <w:p w14:paraId="0270A60E" w14:textId="77777777" w:rsidR="00D53775" w:rsidRDefault="00D53775" w:rsidP="00B81924">
      <w:pPr>
        <w:rPr>
          <w:rFonts w:ascii="Times New Roman" w:hAnsi="Times New Roman" w:cs="Times New Roman"/>
          <w:b/>
          <w:sz w:val="28"/>
          <w:szCs w:val="28"/>
        </w:rPr>
      </w:pPr>
    </w:p>
    <w:p w14:paraId="35025E75" w14:textId="7192D937" w:rsidR="00AE67C7" w:rsidRDefault="00D3723D" w:rsidP="00B8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8A758D1" wp14:editId="73ADE764">
            <wp:extent cx="6177004" cy="6896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687" cy="689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416C8" w14:textId="170ABD9E" w:rsidR="00D3723D" w:rsidRDefault="00D3723D" w:rsidP="00B81924">
      <w:pPr>
        <w:rPr>
          <w:rFonts w:ascii="Times New Roman" w:hAnsi="Times New Roman" w:cs="Times New Roman"/>
          <w:sz w:val="24"/>
          <w:szCs w:val="24"/>
        </w:rPr>
      </w:pPr>
    </w:p>
    <w:p w14:paraId="12190A67" w14:textId="65B0C724" w:rsidR="00D3723D" w:rsidRDefault="00D3723D" w:rsidP="00B81924">
      <w:pPr>
        <w:rPr>
          <w:rFonts w:ascii="Times New Roman" w:hAnsi="Times New Roman" w:cs="Times New Roman"/>
          <w:sz w:val="24"/>
          <w:szCs w:val="24"/>
        </w:rPr>
      </w:pPr>
    </w:p>
    <w:p w14:paraId="49D492FC" w14:textId="7B179E64" w:rsidR="00D3723D" w:rsidRDefault="00D3723D" w:rsidP="00B81924">
      <w:pPr>
        <w:rPr>
          <w:rFonts w:ascii="Times New Roman" w:hAnsi="Times New Roman" w:cs="Times New Roman"/>
          <w:sz w:val="24"/>
          <w:szCs w:val="24"/>
        </w:rPr>
      </w:pPr>
    </w:p>
    <w:p w14:paraId="3021E34A" w14:textId="1F196D1E" w:rsidR="00D3723D" w:rsidRDefault="00D3723D" w:rsidP="00B81924">
      <w:pPr>
        <w:rPr>
          <w:rFonts w:ascii="Times New Roman" w:hAnsi="Times New Roman" w:cs="Times New Roman"/>
          <w:sz w:val="24"/>
          <w:szCs w:val="24"/>
        </w:rPr>
      </w:pPr>
    </w:p>
    <w:p w14:paraId="2D7BEC92" w14:textId="3CAAD72D" w:rsidR="00D3723D" w:rsidRPr="00AF1496" w:rsidRDefault="00AF1496" w:rsidP="00B819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lastRenderedPageBreak/>
        <w:t>Uticaj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olova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kadmijuma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koncentracije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fotosintetičkih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pigmenata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listovima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biljaka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Ailanthus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altissima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br/>
      </w:r>
      <w:r w:rsidR="00A9258D">
        <w:br/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Ailanthus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altissima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optimalno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obezbeđene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gvožđem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tretman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olovom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od 20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uticao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tretmanu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značajnog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b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svežoj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masi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kontrolne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+Fe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Tabela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1).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izložene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nedostatku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gvožđa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predtretmanu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prisustvo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hranljivom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rastvoru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dovelo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smanjenja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od 20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karotenoida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statistički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Tabela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1)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– Fe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kontrolne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(+Fe)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3,009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je ova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vrednost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veća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konrolnih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–Fe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3,429.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tretmanima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olovom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+Fe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pokazatelj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smanjuje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. </w:t>
      </w:r>
      <w:r w:rsidRPr="00AF14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od 20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2,189 a 96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od 50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uočava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veće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(1,881) (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Tabela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18). Za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tretmana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olovom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optimalno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obezbeđenim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nutrijentima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olovo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izazvalo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a,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tretmanima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kadmijumom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od 20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uočava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a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čemu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uočava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a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tretmanu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Cd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Cd (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Tabela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r w:rsidRPr="00AF1496">
        <w:rPr>
          <w:rFonts w:ascii="Times New Roman" w:hAnsi="Times New Roman" w:cs="Times New Roman"/>
          <w:sz w:val="24"/>
          <w:szCs w:val="24"/>
        </w:rPr>
        <w:t>2</w:t>
      </w:r>
      <w:r w:rsidR="00A9258D" w:rsidRPr="00AF1496">
        <w:rPr>
          <w:rFonts w:ascii="Times New Roman" w:hAnsi="Times New Roman" w:cs="Times New Roman"/>
          <w:sz w:val="24"/>
          <w:szCs w:val="24"/>
        </w:rPr>
        <w:t>).</w:t>
      </w:r>
      <w:r w:rsidRPr="00AF1496">
        <w:rPr>
          <w:rFonts w:ascii="Times New Roman" w:hAnsi="Times New Roman" w:cs="Times New Roman"/>
          <w:sz w:val="24"/>
          <w:szCs w:val="24"/>
        </w:rPr>
        <w:br/>
      </w:r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Kadmijum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hranljivom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rastvoru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doveo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smanjenja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karotenoida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–Fe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uočava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b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tretmanima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kadmijumom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kontrolne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Tabela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r w:rsidRPr="00AF1496">
        <w:rPr>
          <w:rFonts w:ascii="Times New Roman" w:hAnsi="Times New Roman" w:cs="Times New Roman"/>
          <w:sz w:val="24"/>
          <w:szCs w:val="24"/>
        </w:rPr>
        <w:t>2</w:t>
      </w:r>
      <w:r w:rsidR="00A9258D" w:rsidRPr="00AF1496">
        <w:rPr>
          <w:rFonts w:ascii="Times New Roman" w:hAnsi="Times New Roman" w:cs="Times New Roman"/>
          <w:sz w:val="24"/>
          <w:szCs w:val="24"/>
        </w:rPr>
        <w:t xml:space="preserve">).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tretmanima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–Fe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uočava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a.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tretmanu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uočava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karotenoida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tretmanu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analizirani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pokazatelji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uglavnom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istoj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homogenoj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kontrolnim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–Fe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biljkama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Tabela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r w:rsidRPr="00AF1496">
        <w:rPr>
          <w:rFonts w:ascii="Times New Roman" w:hAnsi="Times New Roman" w:cs="Times New Roman"/>
          <w:sz w:val="24"/>
          <w:szCs w:val="24"/>
        </w:rPr>
        <w:t>2</w:t>
      </w:r>
      <w:r w:rsidR="00A9258D" w:rsidRPr="00AF149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Hloroza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mlađih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listova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uočena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biljakama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samog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eksperimenta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određivanje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stepena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hloroze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korišćena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od 1 do 4,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8D" w:rsidRPr="00AF1496">
        <w:rPr>
          <w:rFonts w:ascii="Times New Roman" w:hAnsi="Times New Roman" w:cs="Times New Roman"/>
          <w:sz w:val="24"/>
          <w:szCs w:val="24"/>
        </w:rPr>
        <w:t>Sudahono</w:t>
      </w:r>
      <w:proofErr w:type="spellEnd"/>
      <w:r w:rsidR="00A9258D" w:rsidRPr="00AF1496">
        <w:rPr>
          <w:rFonts w:ascii="Times New Roman" w:hAnsi="Times New Roman" w:cs="Times New Roman"/>
          <w:sz w:val="24"/>
          <w:szCs w:val="24"/>
        </w:rPr>
        <w:t xml:space="preserve"> &amp; Rouse (1994).</w:t>
      </w:r>
    </w:p>
    <w:p w14:paraId="010DBDFB" w14:textId="073DF77D" w:rsidR="00AF1496" w:rsidRDefault="00AF1496" w:rsidP="00B81924"/>
    <w:p w14:paraId="6F4C3DD1" w14:textId="5AEC643C" w:rsidR="00AF1496" w:rsidRDefault="00AF1496" w:rsidP="00B81924"/>
    <w:p w14:paraId="39CE4A35" w14:textId="3A01A91F" w:rsidR="00AF1496" w:rsidRDefault="00AF1496" w:rsidP="00B81924"/>
    <w:p w14:paraId="6CC1EA3E" w14:textId="66444083" w:rsidR="00AF1496" w:rsidRDefault="00AF1496" w:rsidP="00B81924"/>
    <w:p w14:paraId="636BC252" w14:textId="380AB0BC" w:rsidR="00AF1496" w:rsidRDefault="00AF1496" w:rsidP="00B81924"/>
    <w:p w14:paraId="0D2AFA2F" w14:textId="44CCA767" w:rsidR="00AF1496" w:rsidRDefault="00AF1496" w:rsidP="00B81924"/>
    <w:p w14:paraId="7A3EFB72" w14:textId="5D414D3B" w:rsidR="00AF1496" w:rsidRDefault="00AF1496" w:rsidP="00B81924"/>
    <w:p w14:paraId="2D3CC459" w14:textId="0F456419" w:rsidR="00AF1496" w:rsidRDefault="00AF1496" w:rsidP="00B81924"/>
    <w:p w14:paraId="6FABBEFB" w14:textId="2ACA9022" w:rsidR="00AF1496" w:rsidRDefault="00AF1496" w:rsidP="00B81924"/>
    <w:p w14:paraId="38082006" w14:textId="262B7967" w:rsidR="00AF1496" w:rsidRDefault="00AF1496" w:rsidP="00B8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80F218" wp14:editId="0E511589">
            <wp:extent cx="6838315" cy="2457381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874" cy="24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Tabela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fotosintetičkih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pigmenata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karotenoida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) u mg/g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sveže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mase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listova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SveM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hidroponski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gajenih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Ailanthus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altissima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predtretmanu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obezbeđene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gvožđem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od 20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(+Fe)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izložene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nedostatku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gvožđa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(-Fe) a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gajene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tretmanima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olovom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od 20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AF149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AF1496">
        <w:rPr>
          <w:rFonts w:ascii="Times New Roman" w:hAnsi="Times New Roman" w:cs="Times New Roman"/>
          <w:sz w:val="24"/>
          <w:szCs w:val="24"/>
        </w:rPr>
        <w:t xml:space="preserve"> Pb, 14 dana.</w:t>
      </w:r>
    </w:p>
    <w:p w14:paraId="6CDD33D7" w14:textId="0D27AC2E" w:rsidR="00AF1496" w:rsidRDefault="00AF1496" w:rsidP="00B8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1C56A6" wp14:editId="57B25F55">
            <wp:extent cx="6810375" cy="2772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2976988_318894275435258_2506793619776602112_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022" cy="278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50D38" w14:textId="5C413829" w:rsidR="00AF1496" w:rsidRDefault="00AF1496" w:rsidP="00B81924">
      <w:proofErr w:type="spellStart"/>
      <w:r>
        <w:t>Tabela</w:t>
      </w:r>
      <w:proofErr w:type="spellEnd"/>
      <w:r>
        <w:t xml:space="preserve"> 2. </w:t>
      </w:r>
      <w:proofErr w:type="spellStart"/>
      <w:r>
        <w:t>Koncentracije</w:t>
      </w:r>
      <w:proofErr w:type="spellEnd"/>
      <w:r>
        <w:t xml:space="preserve"> </w:t>
      </w:r>
      <w:proofErr w:type="spellStart"/>
      <w:r>
        <w:t>fotosintetičkih</w:t>
      </w:r>
      <w:proofErr w:type="spellEnd"/>
      <w:r>
        <w:t xml:space="preserve"> </w:t>
      </w:r>
      <w:proofErr w:type="spellStart"/>
      <w:r>
        <w:t>pigmenata</w:t>
      </w:r>
      <w:proofErr w:type="spellEnd"/>
      <w:r>
        <w:t xml:space="preserve"> (</w:t>
      </w:r>
      <w:proofErr w:type="spellStart"/>
      <w:r>
        <w:t>hlorofila</w:t>
      </w:r>
      <w:proofErr w:type="spellEnd"/>
      <w:r>
        <w:t xml:space="preserve"> a, </w:t>
      </w:r>
      <w:proofErr w:type="spellStart"/>
      <w:r>
        <w:t>hlorofila</w:t>
      </w:r>
      <w:proofErr w:type="spellEnd"/>
      <w:r>
        <w:t xml:space="preserve"> b, </w:t>
      </w:r>
      <w:proofErr w:type="spellStart"/>
      <w:r>
        <w:t>ukupnih</w:t>
      </w:r>
      <w:proofErr w:type="spellEnd"/>
      <w:r>
        <w:t xml:space="preserve"> </w:t>
      </w:r>
      <w:proofErr w:type="spellStart"/>
      <w:r>
        <w:t>hlorofila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ukupnih</w:t>
      </w:r>
      <w:proofErr w:type="spellEnd"/>
      <w:r>
        <w:t xml:space="preserve"> </w:t>
      </w:r>
      <w:proofErr w:type="spellStart"/>
      <w:r>
        <w:t>karotenoida</w:t>
      </w:r>
      <w:proofErr w:type="spellEnd"/>
      <w:r>
        <w:t xml:space="preserve">) u mg/g </w:t>
      </w:r>
      <w:proofErr w:type="spellStart"/>
      <w:r>
        <w:t>sveže</w:t>
      </w:r>
      <w:proofErr w:type="spellEnd"/>
      <w:r>
        <w:t xml:space="preserve"> </w:t>
      </w:r>
      <w:proofErr w:type="spellStart"/>
      <w:r>
        <w:t>mase</w:t>
      </w:r>
      <w:proofErr w:type="spellEnd"/>
      <w:r>
        <w:t xml:space="preserve"> </w:t>
      </w:r>
      <w:proofErr w:type="spellStart"/>
      <w:r>
        <w:t>listova</w:t>
      </w:r>
      <w:proofErr w:type="spellEnd"/>
      <w:r>
        <w:t xml:space="preserve"> (</w:t>
      </w:r>
      <w:proofErr w:type="spellStart"/>
      <w:r>
        <w:t>SveM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hlorofila</w:t>
      </w:r>
      <w:proofErr w:type="spellEnd"/>
      <w:r>
        <w:t xml:space="preserve"> a </w:t>
      </w:r>
      <w:proofErr w:type="spellStart"/>
      <w:r>
        <w:t>i</w:t>
      </w:r>
      <w:proofErr w:type="spellEnd"/>
      <w:r>
        <w:t xml:space="preserve"> b </w:t>
      </w:r>
      <w:proofErr w:type="spellStart"/>
      <w:r>
        <w:t>kod</w:t>
      </w:r>
      <w:proofErr w:type="spellEnd"/>
      <w:r>
        <w:t xml:space="preserve"> </w:t>
      </w:r>
      <w:proofErr w:type="spellStart"/>
      <w:r>
        <w:t>hidroponski</w:t>
      </w:r>
      <w:proofErr w:type="spellEnd"/>
      <w:r>
        <w:t xml:space="preserve"> </w:t>
      </w:r>
      <w:proofErr w:type="spellStart"/>
      <w:r>
        <w:t>gajenih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Ailanthus </w:t>
      </w:r>
      <w:proofErr w:type="spellStart"/>
      <w:r>
        <w:t>altissima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predtretmanu</w:t>
      </w:r>
      <w:proofErr w:type="spellEnd"/>
      <w:r>
        <w:t xml:space="preserve"> </w:t>
      </w:r>
      <w:proofErr w:type="spellStart"/>
      <w:r>
        <w:t>obezbeđene</w:t>
      </w:r>
      <w:proofErr w:type="spellEnd"/>
      <w:r>
        <w:t xml:space="preserve"> </w:t>
      </w:r>
      <w:proofErr w:type="spellStart"/>
      <w:r>
        <w:t>gvožđem</w:t>
      </w:r>
      <w:proofErr w:type="spellEnd"/>
      <w:r>
        <w:t xml:space="preserve"> u </w:t>
      </w:r>
      <w:proofErr w:type="spellStart"/>
      <w:r>
        <w:t>koncentraciji</w:t>
      </w:r>
      <w:proofErr w:type="spellEnd"/>
      <w:r>
        <w:t xml:space="preserve"> od 20 </w:t>
      </w:r>
      <w:proofErr w:type="spellStart"/>
      <w:r>
        <w:t>μM</w:t>
      </w:r>
      <w:proofErr w:type="spellEnd"/>
      <w:r>
        <w:t xml:space="preserve"> (+Fe)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nedostatku</w:t>
      </w:r>
      <w:proofErr w:type="spellEnd"/>
      <w:r>
        <w:t xml:space="preserve"> </w:t>
      </w:r>
      <w:proofErr w:type="spellStart"/>
      <w:r>
        <w:t>gvožđa</w:t>
      </w:r>
      <w:proofErr w:type="spellEnd"/>
      <w:r>
        <w:t xml:space="preserve"> (-Fe) a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gajene</w:t>
      </w:r>
      <w:proofErr w:type="spellEnd"/>
      <w:r>
        <w:t xml:space="preserve"> u </w:t>
      </w:r>
      <w:proofErr w:type="spellStart"/>
      <w:r>
        <w:t>tretmanima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kadmijumom</w:t>
      </w:r>
      <w:proofErr w:type="spellEnd"/>
      <w:r>
        <w:t xml:space="preserve"> u </w:t>
      </w:r>
      <w:proofErr w:type="spellStart"/>
      <w:r>
        <w:t>koncentraciji</w:t>
      </w:r>
      <w:proofErr w:type="spellEnd"/>
      <w:r>
        <w:t xml:space="preserve"> od 20 </w:t>
      </w:r>
      <w:proofErr w:type="spellStart"/>
      <w:r>
        <w:t>i</w:t>
      </w:r>
      <w:proofErr w:type="spellEnd"/>
      <w:r>
        <w:t xml:space="preserve"> 50 </w:t>
      </w:r>
      <w:proofErr w:type="spellStart"/>
      <w:r>
        <w:t>μM</w:t>
      </w:r>
      <w:proofErr w:type="spellEnd"/>
      <w:r>
        <w:t xml:space="preserve"> Cd, 14 dana.</w:t>
      </w:r>
    </w:p>
    <w:p w14:paraId="4D14560F" w14:textId="20365D23" w:rsidR="002054FE" w:rsidRDefault="002054FE" w:rsidP="00B81924"/>
    <w:p w14:paraId="609FB977" w14:textId="5F0787E1" w:rsidR="002054FE" w:rsidRDefault="002054FE" w:rsidP="00B81924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FD88C0" wp14:editId="157484C8">
            <wp:extent cx="5410200" cy="3934846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2788216_380549909191634_8310921791191121920_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953" cy="39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Slika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Listovi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–Fe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Ailanthus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altissima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tretirani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olovom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levo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listovi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kontrolnih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Uočljiva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pojava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hloroze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većem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stepenu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tretiranih</w:t>
      </w:r>
      <w:proofErr w:type="spellEnd"/>
      <w:r w:rsidRPr="0020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FE">
        <w:rPr>
          <w:rFonts w:ascii="Times New Roman" w:hAnsi="Times New Roman" w:cs="Times New Roman"/>
          <w:sz w:val="24"/>
          <w:szCs w:val="24"/>
        </w:rPr>
        <w:t>olovom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6A90A5" wp14:editId="0DC87C16">
            <wp:extent cx="5524500" cy="322272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-firstsoutham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905" cy="323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t>Slika</w:t>
      </w:r>
      <w:proofErr w:type="spellEnd"/>
      <w:r>
        <w:t xml:space="preserve"> 14. </w:t>
      </w:r>
      <w:proofErr w:type="spellStart"/>
      <w:r>
        <w:t>Hidroponski</w:t>
      </w:r>
      <w:proofErr w:type="spellEnd"/>
      <w:r>
        <w:t xml:space="preserve"> </w:t>
      </w:r>
      <w:proofErr w:type="spellStart"/>
      <w:r>
        <w:t>gajene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tretirane</w:t>
      </w:r>
      <w:proofErr w:type="spellEnd"/>
      <w:r>
        <w:t xml:space="preserve"> </w:t>
      </w:r>
      <w:proofErr w:type="spellStart"/>
      <w:r>
        <w:t>kadmijumom</w:t>
      </w:r>
      <w:proofErr w:type="spellEnd"/>
      <w:r>
        <w:t xml:space="preserve"> (Cd) u </w:t>
      </w:r>
      <w:proofErr w:type="spellStart"/>
      <w:r>
        <w:t>koncentraciji</w:t>
      </w:r>
      <w:proofErr w:type="spellEnd"/>
      <w:r>
        <w:t xml:space="preserve"> od 20 </w:t>
      </w:r>
      <w:proofErr w:type="spellStart"/>
      <w:r>
        <w:t>i</w:t>
      </w:r>
      <w:proofErr w:type="spellEnd"/>
      <w:r>
        <w:t xml:space="preserve"> 50 µM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(</w:t>
      </w:r>
      <w:proofErr w:type="spellStart"/>
      <w:r>
        <w:t>levo</w:t>
      </w:r>
      <w:proofErr w:type="spellEnd"/>
      <w:r>
        <w:t xml:space="preserve">) Ailanthus </w:t>
      </w:r>
      <w:proofErr w:type="spellStart"/>
      <w:r>
        <w:t>altissima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+Fe (dole) </w:t>
      </w:r>
      <w:proofErr w:type="spellStart"/>
      <w:r>
        <w:t>i</w:t>
      </w:r>
      <w:proofErr w:type="spellEnd"/>
      <w:r>
        <w:t xml:space="preserve"> –Fe (gore) </w:t>
      </w:r>
      <w:proofErr w:type="spellStart"/>
      <w:r>
        <w:t>predtretmana</w:t>
      </w:r>
      <w:proofErr w:type="spellEnd"/>
      <w:r>
        <w:t>.</w:t>
      </w:r>
    </w:p>
    <w:p w14:paraId="3EF4A5DE" w14:textId="7C16A4A0" w:rsidR="002054FE" w:rsidRDefault="003A636F" w:rsidP="00786F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lastRenderedPageBreak/>
        <w:t>Uticaj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teških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metala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sadržaj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fitohormona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listovima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korenovima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topole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t xml:space="preserve"> P. </w:t>
      </w:r>
      <w:proofErr w:type="spellStart"/>
      <w:r w:rsidRPr="00250E37">
        <w:rPr>
          <w:rFonts w:ascii="Times New Roman" w:hAnsi="Times New Roman" w:cs="Times New Roman"/>
          <w:b/>
          <w:sz w:val="24"/>
          <w:szCs w:val="24"/>
        </w:rPr>
        <w:t>deltoides</w:t>
      </w:r>
      <w:proofErr w:type="spellEnd"/>
      <w:r w:rsidRPr="00250E37">
        <w:rPr>
          <w:rFonts w:ascii="Times New Roman" w:hAnsi="Times New Roman" w:cs="Times New Roman"/>
          <w:b/>
          <w:sz w:val="24"/>
          <w:szCs w:val="24"/>
        </w:rPr>
        <w:br/>
      </w:r>
      <w:r w:rsidRPr="00250E37">
        <w:rPr>
          <w:rFonts w:ascii="Times New Roman" w:hAnsi="Times New Roman" w:cs="Times New Roman"/>
          <w:b/>
          <w:sz w:val="24"/>
          <w:szCs w:val="24"/>
        </w:rPr>
        <w:br/>
      </w:r>
      <w:r w:rsidRPr="003A636F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uticajem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ispitana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(Ni2+, Cu2+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Cd2+)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koncentracijama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odgovaraju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trostruko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većim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MDK za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metal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je do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abscisinske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kiseline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korenovima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topola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deltoides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klona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Pe19/66). Ni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ispitanih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(Ni2+, Cu2+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Cd2+)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koncentracijama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odgovaraju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njihovim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MDK (50, 100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3 mg/kg),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izazvao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statistički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abscisinske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kiseline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korenovima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klona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Pe19/66.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Najveće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ABA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korenovima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uticajem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odgovaraju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3*MDK za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metal,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izazvao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kadmijum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doveo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ABA od 111%,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nikl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koncentracijama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doveli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ABA od 78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67%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poređenju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netretiranim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biljkama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slika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88a). </w:t>
      </w:r>
      <w:r w:rsidR="005A4935">
        <w:rPr>
          <w:rFonts w:ascii="Times New Roman" w:hAnsi="Times New Roman" w:cs="Times New Roman"/>
          <w:sz w:val="24"/>
          <w:szCs w:val="24"/>
        </w:rPr>
        <w:br/>
      </w:r>
      <w:r w:rsidRPr="003A636F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uticajem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tretmana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od 300 mg/kg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bakra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deltoides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klona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Pe19/66)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je do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drastičnog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ABA (za 170%)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listove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netretiranih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tretmani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jonima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Ni2+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doveli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značajnih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ABA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Tretman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kadmijumom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od 9 mg/kg,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doveo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je do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akumulacije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ABA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za 52%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poređenju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netretiranim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biljkama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slika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88b). </w:t>
      </w:r>
      <w:r w:rsidR="005A4935">
        <w:rPr>
          <w:rFonts w:ascii="Times New Roman" w:hAnsi="Times New Roman" w:cs="Times New Roman"/>
          <w:sz w:val="24"/>
          <w:szCs w:val="24"/>
        </w:rPr>
        <w:br/>
      </w:r>
      <w:r w:rsidRPr="003A636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korenovima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topola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klona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Pe 19/66, pod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uticajem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tretmana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3 mg/kg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kadmijuma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je do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dvostrukog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indol-3-sirćetne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kiseline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(IAA)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poređenju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sadržajem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IAA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korenovima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netretiranih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slika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88c). Pod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uticajem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istog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tretmana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IAA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povećala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za 61 %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poređenju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sadržajem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kontrolnih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slika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88d).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IAA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korenovima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(51,2 ng/g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s.m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.) je pet puta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viša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koncentraciju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hormona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(9,5 ng/g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s.m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proofErr w:type="gramStart"/>
      <w:r w:rsidRPr="003A636F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netretiranih</w:t>
      </w:r>
      <w:proofErr w:type="spellEnd"/>
      <w:proofErr w:type="gram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topola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6F">
        <w:rPr>
          <w:rFonts w:ascii="Times New Roman" w:hAnsi="Times New Roman" w:cs="Times New Roman"/>
          <w:sz w:val="24"/>
          <w:szCs w:val="24"/>
        </w:rPr>
        <w:t>klona</w:t>
      </w:r>
      <w:proofErr w:type="spellEnd"/>
      <w:r w:rsidRPr="003A636F">
        <w:rPr>
          <w:rFonts w:ascii="Times New Roman" w:hAnsi="Times New Roman" w:cs="Times New Roman"/>
          <w:sz w:val="24"/>
          <w:szCs w:val="24"/>
        </w:rPr>
        <w:t xml:space="preserve"> Pe 19/66</w:t>
      </w:r>
      <w:r w:rsidR="005A4935">
        <w:rPr>
          <w:rFonts w:ascii="Times New Roman" w:hAnsi="Times New Roman" w:cs="Times New Roman"/>
          <w:sz w:val="24"/>
          <w:szCs w:val="24"/>
        </w:rPr>
        <w:t>.</w:t>
      </w:r>
      <w:r w:rsidR="005A493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Biljni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hormoni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auksini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giberelini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abscisinska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kiselina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opskrbljenost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nutrijentima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ugljenim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hidratima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azotom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dr.)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igraju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odlučujuću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komunikaciji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korenova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izbojaka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Složene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interakcije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hormonalnih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nutritivnih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faktora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objašnjen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dokaza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potvrđuju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joni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jedinjenja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hormonskom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funkcijom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joni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Ni2+ u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Phaseolus vulgaris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izazvali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povećanje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ABA,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poznata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efektu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zatvaranja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stoma (Bishnoi et al., 1993). </w:t>
      </w:r>
      <w:r w:rsidR="005A493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naučnih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joni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Cd2+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indukuju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biosintezu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ABA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etilena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korenovima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Transmisija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signalnih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molekula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korena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izbojcima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omogućava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prenos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povećanim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koncentracijama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izbojaka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. ABA,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menjanjem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jonskog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fluksa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935">
        <w:rPr>
          <w:rFonts w:ascii="Times New Roman" w:hAnsi="Times New Roman" w:cs="Times New Roman"/>
          <w:sz w:val="24"/>
          <w:szCs w:val="24"/>
        </w:rPr>
        <w:t>ć</w:t>
      </w:r>
      <w:r w:rsidR="005A4935" w:rsidRPr="005A4935">
        <w:rPr>
          <w:rFonts w:ascii="Times New Roman" w:hAnsi="Times New Roman" w:cs="Times New Roman"/>
          <w:sz w:val="24"/>
          <w:szCs w:val="24"/>
        </w:rPr>
        <w:t>elijama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zatvaračicama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dovodi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stomalnog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zatvaranja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igra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glavnu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adaptaciji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suše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Biljka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situacijama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izloženosti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višku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Cd2+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Cu2+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pokazuje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opšteg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biljnog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stresa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manifestuju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redukciji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izduživanja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rasta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listova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smanjenju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veličine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samih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ćelija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etilenski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simptomima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vodnog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deficit,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poput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smanjene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stomatalne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provodljivosti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transpiracije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predstvaljaju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tipičan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ABA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. </w:t>
      </w:r>
      <w:r w:rsidR="005A4935">
        <w:rPr>
          <w:rFonts w:ascii="Times New Roman" w:hAnsi="Times New Roman" w:cs="Times New Roman"/>
          <w:sz w:val="24"/>
          <w:szCs w:val="24"/>
        </w:rPr>
        <w:br/>
      </w:r>
      <w:r w:rsidR="005A4935">
        <w:rPr>
          <w:rFonts w:ascii="Times New Roman" w:hAnsi="Times New Roman" w:cs="Times New Roman"/>
          <w:sz w:val="24"/>
          <w:szCs w:val="24"/>
        </w:rPr>
        <w:br/>
      </w:r>
      <w:r w:rsidR="00CE44B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lastRenderedPageBreak/>
        <w:t>Kontaminacija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jonima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Cd2+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dovodi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ometanja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unosa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korenovima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hidraulična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provodljivost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smanjena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otuda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opskrbljenost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izbojaka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smanjena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Marchiol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et al., 1996). Sa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, transport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Cd2+ do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izbojaka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podstaknut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transpiracijom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egzogene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primene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ABA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transport je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smanjen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(Rubio et al., 1994; Salt et al., 1995).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Povišene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Cu2+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dovele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opšteg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poremećaja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vodnog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režima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ogledali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smanjenoj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efikasnosti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upotrebe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(WUE)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akumulaciji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indikatora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suše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poput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prolina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ABA-e</w:t>
      </w:r>
      <w:r w:rsidR="00CE44B2">
        <w:rPr>
          <w:rFonts w:ascii="Times New Roman" w:hAnsi="Times New Roman" w:cs="Times New Roman"/>
          <w:sz w:val="24"/>
          <w:szCs w:val="24"/>
        </w:rPr>
        <w:t>.</w:t>
      </w:r>
      <w:r w:rsidR="005A4935">
        <w:rPr>
          <w:rFonts w:ascii="Times New Roman" w:hAnsi="Times New Roman" w:cs="Times New Roman"/>
          <w:sz w:val="24"/>
          <w:szCs w:val="24"/>
        </w:rPr>
        <w:br/>
      </w:r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Akumulacija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metabolita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, ABA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prolina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bitna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stvaranja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tolerancije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jone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Cd2+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ukazuje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umreženost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signalnih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abiotičkog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stresa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izazvanog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vodnim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deficitom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povećanim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koncentracijama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="005A4935" w:rsidRPr="005A4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35" w:rsidRPr="005A4935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CE44B2">
        <w:rPr>
          <w:rFonts w:ascii="Times New Roman" w:hAnsi="Times New Roman" w:cs="Times New Roman"/>
          <w:sz w:val="24"/>
          <w:szCs w:val="24"/>
        </w:rPr>
        <w:t>.</w:t>
      </w:r>
      <w:r w:rsidR="00786F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4176F0" wp14:editId="7D84348C">
            <wp:extent cx="6516633" cy="5372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3092864_2070369893083783_2400016180132708352_n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7" cy="537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F3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86F38" w:rsidRPr="00786F38">
        <w:rPr>
          <w:rFonts w:ascii="Times New Roman" w:hAnsi="Times New Roman" w:cs="Times New Roman"/>
          <w:sz w:val="24"/>
          <w:szCs w:val="24"/>
        </w:rPr>
        <w:t>Slika</w:t>
      </w:r>
      <w:proofErr w:type="spellEnd"/>
      <w:r w:rsidR="00786F38" w:rsidRPr="00786F38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="00786F38" w:rsidRPr="00786F38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="00786F38"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38" w:rsidRPr="00786F38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="00786F38"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38" w:rsidRPr="00786F38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786F38"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38" w:rsidRPr="00786F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86F38"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38" w:rsidRPr="00786F38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="00786F38"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38" w:rsidRPr="00786F38">
        <w:rPr>
          <w:rFonts w:ascii="Times New Roman" w:hAnsi="Times New Roman" w:cs="Times New Roman"/>
          <w:sz w:val="24"/>
          <w:szCs w:val="24"/>
        </w:rPr>
        <w:t>fitohormona</w:t>
      </w:r>
      <w:proofErr w:type="spellEnd"/>
      <w:r w:rsidR="00786F38" w:rsidRPr="00786F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6F38" w:rsidRPr="00786F38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="00786F38"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38" w:rsidRPr="00786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6F38"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38" w:rsidRPr="00786F38">
        <w:rPr>
          <w:rFonts w:ascii="Times New Roman" w:hAnsi="Times New Roman" w:cs="Times New Roman"/>
          <w:sz w:val="24"/>
          <w:szCs w:val="24"/>
        </w:rPr>
        <w:t>kor</w:t>
      </w:r>
      <w:r w:rsidR="00CE44B2">
        <w:rPr>
          <w:rFonts w:ascii="Times New Roman" w:hAnsi="Times New Roman" w:cs="Times New Roman"/>
          <w:sz w:val="24"/>
          <w:szCs w:val="24"/>
        </w:rPr>
        <w:t>j</w:t>
      </w:r>
      <w:r w:rsidR="00786F38" w:rsidRPr="00786F38">
        <w:rPr>
          <w:rFonts w:ascii="Times New Roman" w:hAnsi="Times New Roman" w:cs="Times New Roman"/>
          <w:sz w:val="24"/>
          <w:szCs w:val="24"/>
        </w:rPr>
        <w:t>enovima</w:t>
      </w:r>
      <w:proofErr w:type="spellEnd"/>
      <w:r w:rsidR="00786F38"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38" w:rsidRPr="00786F38">
        <w:rPr>
          <w:rFonts w:ascii="Times New Roman" w:hAnsi="Times New Roman" w:cs="Times New Roman"/>
          <w:sz w:val="24"/>
          <w:szCs w:val="24"/>
        </w:rPr>
        <w:t>topole</w:t>
      </w:r>
      <w:proofErr w:type="spellEnd"/>
      <w:r w:rsidR="00786F38" w:rsidRPr="00786F38">
        <w:rPr>
          <w:rFonts w:ascii="Times New Roman" w:hAnsi="Times New Roman" w:cs="Times New Roman"/>
          <w:sz w:val="24"/>
          <w:szCs w:val="24"/>
        </w:rPr>
        <w:t xml:space="preserve"> </w:t>
      </w:r>
      <w:r w:rsidR="00786F38">
        <w:rPr>
          <w:rFonts w:ascii="Times New Roman" w:hAnsi="Times New Roman" w:cs="Times New Roman"/>
          <w:sz w:val="24"/>
          <w:szCs w:val="24"/>
        </w:rPr>
        <w:br/>
      </w:r>
      <w:r w:rsidR="00786F38" w:rsidRPr="00A75E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P. </w:t>
      </w:r>
      <w:proofErr w:type="spellStart"/>
      <w:r w:rsidR="00786F38" w:rsidRPr="00A75EFB">
        <w:rPr>
          <w:rFonts w:ascii="Times New Roman" w:hAnsi="Times New Roman" w:cs="Times New Roman"/>
          <w:i/>
          <w:sz w:val="24"/>
          <w:szCs w:val="24"/>
        </w:rPr>
        <w:t>deltoides</w:t>
      </w:r>
      <w:proofErr w:type="spellEnd"/>
    </w:p>
    <w:p w14:paraId="44975995" w14:textId="49AA61A6" w:rsidR="00786F38" w:rsidRPr="00786F38" w:rsidRDefault="00786F38" w:rsidP="00786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ZAKLJUČCI</w:t>
      </w: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786F38">
        <w:rPr>
          <w:rFonts w:ascii="Times New Roman" w:hAnsi="Times New Roman" w:cs="Times New Roman"/>
          <w:b/>
          <w:bCs/>
          <w:sz w:val="24"/>
          <w:szCs w:val="24"/>
        </w:rPr>
        <w:t>UTICAJ Ni NA KONCENTRACIJU I RASPODJELU NEOPHODNIH ELEMENATA U BILJKAMA GRAŠKA</w:t>
      </w:r>
      <w:r w:rsidRPr="00786F38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Ispitivane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doze Ni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uticale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koncentraciju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distribuciju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ukupnog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Udio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raspodjela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NO3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zavisila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je od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Ni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hranljivom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supstratu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547EFE" w14:textId="77777777" w:rsidR="00786F38" w:rsidRPr="00786F38" w:rsidRDefault="00786F38" w:rsidP="00786F38">
      <w:pPr>
        <w:rPr>
          <w:rFonts w:ascii="Times New Roman" w:hAnsi="Times New Roman" w:cs="Times New Roman"/>
          <w:sz w:val="24"/>
          <w:szCs w:val="24"/>
        </w:rPr>
      </w:pPr>
      <w:r w:rsidRPr="00786F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Nakupljanje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P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ispitivanim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graška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zavisilo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Ni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podlozi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nižim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dozama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udio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povećao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korijenu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najvećoj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smanjio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mahuni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98DC9F" w14:textId="77777777" w:rsidR="00786F38" w:rsidRPr="00786F38" w:rsidRDefault="00786F38" w:rsidP="00786F38">
      <w:pPr>
        <w:rPr>
          <w:rFonts w:ascii="Times New Roman" w:hAnsi="Times New Roman" w:cs="Times New Roman"/>
          <w:sz w:val="24"/>
          <w:szCs w:val="24"/>
        </w:rPr>
      </w:pPr>
      <w:r w:rsidRPr="00786F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Ispitivane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doze Ni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uticale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koncentraciju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Ca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korijenu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stablu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udio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K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reproduktivnim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smanjio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dejstvom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najvećih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doza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Ni. </w:t>
      </w:r>
    </w:p>
    <w:p w14:paraId="5C548D76" w14:textId="77777777" w:rsidR="00786F38" w:rsidRPr="00786F38" w:rsidRDefault="00786F38" w:rsidP="00786F38">
      <w:pPr>
        <w:rPr>
          <w:rFonts w:ascii="Times New Roman" w:hAnsi="Times New Roman" w:cs="Times New Roman"/>
          <w:sz w:val="24"/>
          <w:szCs w:val="24"/>
        </w:rPr>
      </w:pPr>
      <w:r w:rsidRPr="00786F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Mg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stablu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mahunama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zrnu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zavisila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od doze Ni. </w:t>
      </w:r>
    </w:p>
    <w:p w14:paraId="32C3CF92" w14:textId="77777777" w:rsidR="00786F38" w:rsidRPr="00786F38" w:rsidRDefault="00786F38" w:rsidP="00786F38">
      <w:pPr>
        <w:rPr>
          <w:rFonts w:ascii="Times New Roman" w:hAnsi="Times New Roman" w:cs="Times New Roman"/>
          <w:sz w:val="24"/>
          <w:szCs w:val="24"/>
        </w:rPr>
      </w:pPr>
      <w:r w:rsidRPr="00786F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Niže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doze Ni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povoljno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uticale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nakupljanje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raspodjelu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Fe.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nakupljanje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Fe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reproduktivnim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utvrđeno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najvećem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Ni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supstratu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FED681" w14:textId="77777777" w:rsidR="00786F38" w:rsidRPr="00786F38" w:rsidRDefault="00786F38" w:rsidP="00786F38">
      <w:pPr>
        <w:rPr>
          <w:rFonts w:ascii="Times New Roman" w:hAnsi="Times New Roman" w:cs="Times New Roman"/>
          <w:sz w:val="24"/>
          <w:szCs w:val="24"/>
        </w:rPr>
      </w:pPr>
      <w:r w:rsidRPr="00786F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Primijenjene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doze Ni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povećale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koncentraciju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Zn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korijenu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stablu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uticale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njegov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udio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mahunama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zrnu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C66F23" w14:textId="1633423F" w:rsidR="00786F38" w:rsidRDefault="00786F38" w:rsidP="00407CD0">
      <w:pPr>
        <w:rPr>
          <w:rFonts w:ascii="Times New Roman" w:hAnsi="Times New Roman" w:cs="Times New Roman"/>
          <w:sz w:val="24"/>
          <w:szCs w:val="24"/>
        </w:rPr>
      </w:pPr>
      <w:r w:rsidRPr="00786F38">
        <w:rPr>
          <w:rFonts w:ascii="Times New Roman" w:hAnsi="Times New Roman" w:cs="Times New Roman"/>
          <w:sz w:val="24"/>
          <w:szCs w:val="24"/>
        </w:rPr>
        <w:t xml:space="preserve">-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korijenu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stablu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Ni je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povećao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mahunama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zrnu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smanjio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koncentraciju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Cu.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Prisustvo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Ni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hranljivom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supstratu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umanjilo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transport Cu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korijena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nadzemne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djelove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reproduktivne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8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786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407CD0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Uticaj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olova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kadmijuma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koncentracije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fotosintetičkih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pigmenata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listovima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biljaka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t xml:space="preserve"> Ailanthus </w:t>
      </w:r>
      <w:proofErr w:type="spellStart"/>
      <w:r w:rsidRPr="00296E02">
        <w:rPr>
          <w:rFonts w:ascii="Times New Roman" w:hAnsi="Times New Roman" w:cs="Times New Roman"/>
          <w:b/>
          <w:sz w:val="24"/>
          <w:szCs w:val="24"/>
        </w:rPr>
        <w:t>altissima</w:t>
      </w:r>
      <w:proofErr w:type="spellEnd"/>
      <w:r w:rsidRPr="00296E02">
        <w:rPr>
          <w:rFonts w:ascii="Times New Roman" w:hAnsi="Times New Roman" w:cs="Times New Roman"/>
          <w:b/>
          <w:sz w:val="24"/>
          <w:szCs w:val="24"/>
        </w:rPr>
        <w:br/>
      </w:r>
      <w:r w:rsidRPr="00CE44B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Ailanthus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altissima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olovo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od 20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dovelo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b u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kontrolne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Acer negundo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uočeno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povećanje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b. U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interakciji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nedostatkom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gvožđa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Ailanthus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altissima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je do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smanjenja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a. </w:t>
      </w:r>
      <w:r w:rsidR="00407CD0" w:rsidRPr="00CE44B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Kadmijum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od 50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doveo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smanjenja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karotenoida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Acer negundo je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uočen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sličan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efekat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>.</w:t>
      </w:r>
      <w:r w:rsidR="00407CD0" w:rsidRPr="00CE44B2">
        <w:rPr>
          <w:rFonts w:ascii="Times New Roman" w:hAnsi="Times New Roman" w:cs="Times New Roman"/>
          <w:sz w:val="24"/>
          <w:szCs w:val="24"/>
        </w:rPr>
        <w:br/>
      </w:r>
      <w:r w:rsidRPr="00CE44B2">
        <w:rPr>
          <w:rFonts w:ascii="Times New Roman" w:hAnsi="Times New Roman" w:cs="Times New Roman"/>
          <w:sz w:val="24"/>
          <w:szCs w:val="24"/>
        </w:rPr>
        <w:t xml:space="preserve"> •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Negativan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kadmijuma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fotosistema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Ailanthus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altissima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izloženih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nedostatku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gvožđa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izraženiji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efekat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. </w:t>
      </w:r>
      <w:r w:rsidR="00407CD0"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obezbeđenih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potrebnim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nutrijentima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negativan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kadmijuma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merene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parametre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indukcije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fluorescencije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hlorofila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izražen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. </w:t>
      </w:r>
      <w:r w:rsidR="00407CD0" w:rsidRPr="00CE44B2">
        <w:rPr>
          <w:rFonts w:ascii="Times New Roman" w:hAnsi="Times New Roman" w:cs="Times New Roman"/>
          <w:sz w:val="24"/>
          <w:szCs w:val="24"/>
        </w:rPr>
        <w:br/>
      </w:r>
      <w:r w:rsidR="00407CD0">
        <w:br/>
      </w:r>
      <w:r w:rsidRPr="00CE44B2">
        <w:rPr>
          <w:rFonts w:ascii="Times New Roman" w:hAnsi="Times New Roman" w:cs="Times New Roman"/>
          <w:sz w:val="24"/>
          <w:szCs w:val="24"/>
        </w:rPr>
        <w:lastRenderedPageBreak/>
        <w:t xml:space="preserve">•U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hidroponskom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eksperimentalnom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sistemu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tretmani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olovom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prim</w:t>
      </w:r>
      <w:r w:rsidR="00CE44B2">
        <w:rPr>
          <w:rFonts w:ascii="Times New Roman" w:hAnsi="Times New Roman" w:cs="Times New Roman"/>
          <w:sz w:val="24"/>
          <w:szCs w:val="24"/>
        </w:rPr>
        <w:t>ij</w:t>
      </w:r>
      <w:r w:rsidRPr="00CE44B2">
        <w:rPr>
          <w:rFonts w:ascii="Times New Roman" w:hAnsi="Times New Roman" w:cs="Times New Roman"/>
          <w:sz w:val="24"/>
          <w:szCs w:val="24"/>
        </w:rPr>
        <w:t>enjeni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dužem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vremenskom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intervalu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akumulacija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olova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Ailanthus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altissima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veća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obezb</w:t>
      </w:r>
      <w:r w:rsidR="00CE44B2">
        <w:rPr>
          <w:rFonts w:ascii="Times New Roman" w:hAnsi="Times New Roman" w:cs="Times New Roman"/>
          <w:sz w:val="24"/>
          <w:szCs w:val="24"/>
        </w:rPr>
        <w:t>j</w:t>
      </w:r>
      <w:r w:rsidRPr="00CE44B2">
        <w:rPr>
          <w:rFonts w:ascii="Times New Roman" w:hAnsi="Times New Roman" w:cs="Times New Roman"/>
          <w:sz w:val="24"/>
          <w:szCs w:val="24"/>
        </w:rPr>
        <w:t>eđenosti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esencijalnim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nutrijentima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izložene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nedostatku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gvožđa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akumulaciju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kadmijuma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predtretman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uticao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Uočeno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je da 149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nedostatak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gvožđa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indukuje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povećanu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akumulaciju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4B2">
        <w:rPr>
          <w:rFonts w:ascii="Times New Roman" w:hAnsi="Times New Roman" w:cs="Times New Roman"/>
          <w:sz w:val="24"/>
          <w:szCs w:val="24"/>
        </w:rPr>
        <w:t>cinka</w:t>
      </w:r>
      <w:proofErr w:type="spellEnd"/>
      <w:r w:rsidRPr="00CE44B2">
        <w:rPr>
          <w:rFonts w:ascii="Times New Roman" w:hAnsi="Times New Roman" w:cs="Times New Roman"/>
          <w:sz w:val="24"/>
          <w:szCs w:val="24"/>
        </w:rPr>
        <w:t>.</w:t>
      </w:r>
      <w:r w:rsidR="00407CD0" w:rsidRPr="00CE44B2">
        <w:rPr>
          <w:rFonts w:ascii="Times New Roman" w:hAnsi="Times New Roman" w:cs="Times New Roman"/>
          <w:sz w:val="24"/>
          <w:szCs w:val="24"/>
        </w:rPr>
        <w:br/>
      </w:r>
      <w:r w:rsidR="00407CD0">
        <w:br/>
      </w:r>
      <w:r w:rsidR="00407CD0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407CD0" w:rsidRPr="00250E37">
        <w:rPr>
          <w:rFonts w:ascii="Times New Roman" w:hAnsi="Times New Roman" w:cs="Times New Roman"/>
          <w:b/>
          <w:sz w:val="24"/>
          <w:szCs w:val="24"/>
        </w:rPr>
        <w:t>Uticaj</w:t>
      </w:r>
      <w:proofErr w:type="spellEnd"/>
      <w:r w:rsidR="00407CD0"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7CD0" w:rsidRPr="00250E37">
        <w:rPr>
          <w:rFonts w:ascii="Times New Roman" w:hAnsi="Times New Roman" w:cs="Times New Roman"/>
          <w:b/>
          <w:sz w:val="24"/>
          <w:szCs w:val="24"/>
        </w:rPr>
        <w:t>teških</w:t>
      </w:r>
      <w:proofErr w:type="spellEnd"/>
      <w:r w:rsidR="00407CD0"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7CD0" w:rsidRPr="00250E37">
        <w:rPr>
          <w:rFonts w:ascii="Times New Roman" w:hAnsi="Times New Roman" w:cs="Times New Roman"/>
          <w:b/>
          <w:sz w:val="24"/>
          <w:szCs w:val="24"/>
        </w:rPr>
        <w:t>metala</w:t>
      </w:r>
      <w:proofErr w:type="spellEnd"/>
      <w:r w:rsidR="00407CD0"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7CD0" w:rsidRPr="00250E37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407CD0"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7CD0" w:rsidRPr="00250E37">
        <w:rPr>
          <w:rFonts w:ascii="Times New Roman" w:hAnsi="Times New Roman" w:cs="Times New Roman"/>
          <w:b/>
          <w:sz w:val="24"/>
          <w:szCs w:val="24"/>
        </w:rPr>
        <w:t>sadržaj</w:t>
      </w:r>
      <w:proofErr w:type="spellEnd"/>
      <w:r w:rsidR="00407CD0"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7CD0" w:rsidRPr="00250E37">
        <w:rPr>
          <w:rFonts w:ascii="Times New Roman" w:hAnsi="Times New Roman" w:cs="Times New Roman"/>
          <w:b/>
          <w:sz w:val="24"/>
          <w:szCs w:val="24"/>
        </w:rPr>
        <w:t>fitohormona</w:t>
      </w:r>
      <w:proofErr w:type="spellEnd"/>
      <w:r w:rsidR="00407CD0" w:rsidRPr="00250E37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407CD0" w:rsidRPr="00250E37">
        <w:rPr>
          <w:rFonts w:ascii="Times New Roman" w:hAnsi="Times New Roman" w:cs="Times New Roman"/>
          <w:b/>
          <w:sz w:val="24"/>
          <w:szCs w:val="24"/>
        </w:rPr>
        <w:t>listovima</w:t>
      </w:r>
      <w:proofErr w:type="spellEnd"/>
      <w:r w:rsidR="00407CD0"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7CD0" w:rsidRPr="00250E3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407CD0"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7CD0" w:rsidRPr="00250E37">
        <w:rPr>
          <w:rFonts w:ascii="Times New Roman" w:hAnsi="Times New Roman" w:cs="Times New Roman"/>
          <w:b/>
          <w:sz w:val="24"/>
          <w:szCs w:val="24"/>
        </w:rPr>
        <w:t>kor</w:t>
      </w:r>
      <w:r w:rsidR="00CE44B2">
        <w:rPr>
          <w:rFonts w:ascii="Times New Roman" w:hAnsi="Times New Roman" w:cs="Times New Roman"/>
          <w:b/>
          <w:sz w:val="24"/>
          <w:szCs w:val="24"/>
        </w:rPr>
        <w:t>j</w:t>
      </w:r>
      <w:r w:rsidR="00407CD0" w:rsidRPr="00250E37">
        <w:rPr>
          <w:rFonts w:ascii="Times New Roman" w:hAnsi="Times New Roman" w:cs="Times New Roman"/>
          <w:b/>
          <w:sz w:val="24"/>
          <w:szCs w:val="24"/>
        </w:rPr>
        <w:t>enovima</w:t>
      </w:r>
      <w:proofErr w:type="spellEnd"/>
      <w:r w:rsidR="00407CD0"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7CD0" w:rsidRPr="00250E37">
        <w:rPr>
          <w:rFonts w:ascii="Times New Roman" w:hAnsi="Times New Roman" w:cs="Times New Roman"/>
          <w:b/>
          <w:sz w:val="24"/>
          <w:szCs w:val="24"/>
        </w:rPr>
        <w:t>topole</w:t>
      </w:r>
      <w:proofErr w:type="spellEnd"/>
      <w:r w:rsidR="00407CD0" w:rsidRPr="00250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CD0" w:rsidRPr="00A75EFB">
        <w:rPr>
          <w:rFonts w:ascii="Times New Roman" w:hAnsi="Times New Roman" w:cs="Times New Roman"/>
          <w:b/>
          <w:i/>
          <w:sz w:val="24"/>
          <w:szCs w:val="24"/>
        </w:rPr>
        <w:t xml:space="preserve">P. </w:t>
      </w:r>
      <w:proofErr w:type="spellStart"/>
      <w:r w:rsidR="00407CD0" w:rsidRPr="00A75EFB">
        <w:rPr>
          <w:rFonts w:ascii="Times New Roman" w:hAnsi="Times New Roman" w:cs="Times New Roman"/>
          <w:b/>
          <w:i/>
          <w:sz w:val="24"/>
          <w:szCs w:val="24"/>
        </w:rPr>
        <w:t>deltoides</w:t>
      </w:r>
      <w:proofErr w:type="spellEnd"/>
      <w:r w:rsidR="00407CD0" w:rsidRPr="00250E37">
        <w:rPr>
          <w:rFonts w:ascii="Times New Roman" w:hAnsi="Times New Roman" w:cs="Times New Roman"/>
          <w:b/>
          <w:sz w:val="24"/>
          <w:szCs w:val="24"/>
        </w:rPr>
        <w:br/>
      </w:r>
      <w:r w:rsidR="00407CD0" w:rsidRPr="00250E37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ispitana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teška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dovela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statistički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značajnog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biljnih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hormona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(ABA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IAA)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korenovima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topola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topola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Populus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deltoides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. Joni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bakra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od 300 mg/kg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doveli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najvećeg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ABA 187</w:t>
      </w:r>
      <w:r w:rsidR="00407CD0">
        <w:rPr>
          <w:rFonts w:ascii="Times New Roman" w:hAnsi="Times New Roman" w:cs="Times New Roman"/>
          <w:sz w:val="24"/>
          <w:szCs w:val="24"/>
        </w:rPr>
        <w:t xml:space="preserve"> </w:t>
      </w:r>
      <w:r w:rsidR="00407CD0" w:rsidRPr="00407CD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klona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Pe 19/66 (170%),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joni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kadmijuma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trostrukoj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MDK (9 mg/kg)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izazvali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povećanje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hormona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za 52% u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netretirane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ABA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udvostručile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korenovima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topola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usl</w:t>
      </w:r>
      <w:r w:rsidR="00CE44B2">
        <w:rPr>
          <w:rFonts w:ascii="Times New Roman" w:hAnsi="Times New Roman" w:cs="Times New Roman"/>
          <w:sz w:val="24"/>
          <w:szCs w:val="24"/>
        </w:rPr>
        <w:t>j</w:t>
      </w:r>
      <w:r w:rsidR="00407CD0" w:rsidRPr="00407CD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tretmana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većom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koncentracijom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kadmijuma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(9 mg/kg), a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povećale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uticajem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nikla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potvrđuje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da ABA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pozitivno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deluje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povećanje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otpornosti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izazvan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povišenim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koncentracijama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Zahvaljujući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izuzetno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povišenim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koncentracijama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ABA,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klon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topole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Pe19/66 se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izdvojio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adaptirani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klon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topole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povišene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bakra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. </w:t>
      </w:r>
      <w:r w:rsidR="00407CD0">
        <w:rPr>
          <w:rFonts w:ascii="Times New Roman" w:hAnsi="Times New Roman" w:cs="Times New Roman"/>
          <w:sz w:val="24"/>
          <w:szCs w:val="24"/>
        </w:rPr>
        <w:br/>
      </w:r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Trostruko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veće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MDK za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jone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Ni2+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Cu2+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dovele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statistički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značajnog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IAA u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korenovima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Najveći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skok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hormona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rasta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indukovan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nižim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koncentracijama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kadmijuma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IAA za 123% u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kontrolnim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biljkama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Porast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hormona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rasta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uticajem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teških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povećanjem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neophodnog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azota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njegovu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biosintezu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dodavanja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D0" w:rsidRPr="00407CD0">
        <w:rPr>
          <w:rFonts w:ascii="Times New Roman" w:hAnsi="Times New Roman" w:cs="Times New Roman"/>
          <w:sz w:val="24"/>
          <w:szCs w:val="24"/>
        </w:rPr>
        <w:t>nitratnih</w:t>
      </w:r>
      <w:proofErr w:type="spellEnd"/>
      <w:r w:rsidR="00407CD0" w:rsidRPr="00407CD0">
        <w:rPr>
          <w:rFonts w:ascii="Times New Roman" w:hAnsi="Times New Roman" w:cs="Times New Roman"/>
          <w:sz w:val="24"/>
          <w:szCs w:val="24"/>
        </w:rPr>
        <w:t xml:space="preserve"> soli.  </w:t>
      </w:r>
    </w:p>
    <w:p w14:paraId="05E6333C" w14:textId="6B48375F" w:rsidR="00786F38" w:rsidRDefault="00786F38" w:rsidP="00786F38">
      <w:pPr>
        <w:rPr>
          <w:rFonts w:ascii="Times New Roman" w:hAnsi="Times New Roman" w:cs="Times New Roman"/>
          <w:sz w:val="24"/>
          <w:szCs w:val="24"/>
        </w:rPr>
      </w:pPr>
    </w:p>
    <w:p w14:paraId="4C8128A7" w14:textId="1201734D" w:rsidR="00786F38" w:rsidRDefault="00786F38" w:rsidP="00786F38">
      <w:pPr>
        <w:rPr>
          <w:rFonts w:ascii="Times New Roman" w:hAnsi="Times New Roman" w:cs="Times New Roman"/>
          <w:sz w:val="24"/>
          <w:szCs w:val="24"/>
        </w:rPr>
      </w:pPr>
    </w:p>
    <w:p w14:paraId="5CB10246" w14:textId="0DB12534" w:rsidR="00786F38" w:rsidRDefault="00786F38" w:rsidP="00786F38">
      <w:pPr>
        <w:rPr>
          <w:rFonts w:ascii="Times New Roman" w:hAnsi="Times New Roman" w:cs="Times New Roman"/>
          <w:sz w:val="24"/>
          <w:szCs w:val="24"/>
        </w:rPr>
      </w:pPr>
    </w:p>
    <w:p w14:paraId="5FECF356" w14:textId="204013F8" w:rsidR="00786F38" w:rsidRDefault="00786F38" w:rsidP="00786F38">
      <w:pPr>
        <w:rPr>
          <w:rFonts w:ascii="Times New Roman" w:hAnsi="Times New Roman" w:cs="Times New Roman"/>
          <w:sz w:val="24"/>
          <w:szCs w:val="24"/>
        </w:rPr>
      </w:pPr>
    </w:p>
    <w:p w14:paraId="554ACFE2" w14:textId="3215F32F" w:rsidR="00786F38" w:rsidRDefault="00786F38" w:rsidP="00786F38">
      <w:pPr>
        <w:rPr>
          <w:rFonts w:ascii="Times New Roman" w:hAnsi="Times New Roman" w:cs="Times New Roman"/>
          <w:sz w:val="24"/>
          <w:szCs w:val="24"/>
        </w:rPr>
      </w:pPr>
    </w:p>
    <w:p w14:paraId="0F1F2300" w14:textId="388E7112" w:rsidR="00786F38" w:rsidRDefault="00786F38" w:rsidP="00786F38">
      <w:pPr>
        <w:rPr>
          <w:rFonts w:ascii="Times New Roman" w:hAnsi="Times New Roman" w:cs="Times New Roman"/>
          <w:sz w:val="24"/>
          <w:szCs w:val="24"/>
        </w:rPr>
      </w:pPr>
    </w:p>
    <w:p w14:paraId="4B94909C" w14:textId="1D7C9F0B" w:rsidR="00786F38" w:rsidRDefault="00786F38" w:rsidP="00786F38">
      <w:pPr>
        <w:rPr>
          <w:rFonts w:ascii="Times New Roman" w:hAnsi="Times New Roman" w:cs="Times New Roman"/>
          <w:sz w:val="24"/>
          <w:szCs w:val="24"/>
        </w:rPr>
      </w:pPr>
    </w:p>
    <w:p w14:paraId="3813670C" w14:textId="77777777" w:rsidR="00F304DC" w:rsidRDefault="00F304DC" w:rsidP="000A7070">
      <w:pPr>
        <w:pStyle w:val="Heading1"/>
        <w:spacing w:before="0" w:beforeAutospacing="0" w:after="375" w:afterAutospacing="0"/>
        <w:rPr>
          <w:b w:val="0"/>
          <w:sz w:val="32"/>
          <w:szCs w:val="32"/>
        </w:rPr>
      </w:pPr>
    </w:p>
    <w:p w14:paraId="12FF998E" w14:textId="77777777" w:rsidR="00FC1AE2" w:rsidRDefault="00407CD0" w:rsidP="000A7070">
      <w:pPr>
        <w:pStyle w:val="Heading1"/>
        <w:spacing w:before="0" w:beforeAutospacing="0" w:after="375" w:afterAutospacing="0"/>
        <w:rPr>
          <w:b w:val="0"/>
          <w:bCs w:val="0"/>
          <w:color w:val="000000" w:themeColor="text1"/>
          <w:sz w:val="24"/>
          <w:szCs w:val="24"/>
        </w:rPr>
      </w:pPr>
      <w:r w:rsidRPr="00407CD0">
        <w:rPr>
          <w:b w:val="0"/>
          <w:sz w:val="32"/>
          <w:szCs w:val="32"/>
        </w:rPr>
        <w:lastRenderedPageBreak/>
        <w:t xml:space="preserve">                                     L</w:t>
      </w:r>
      <w:r>
        <w:rPr>
          <w:b w:val="0"/>
          <w:sz w:val="32"/>
          <w:szCs w:val="32"/>
        </w:rPr>
        <w:t>ITERATURA</w:t>
      </w:r>
      <w:r>
        <w:rPr>
          <w:b w:val="0"/>
          <w:sz w:val="32"/>
          <w:szCs w:val="32"/>
        </w:rPr>
        <w:br/>
      </w:r>
      <w:r>
        <w:rPr>
          <w:b w:val="0"/>
          <w:sz w:val="32"/>
          <w:szCs w:val="32"/>
        </w:rPr>
        <w:br/>
      </w:r>
      <w:r w:rsidRPr="000A7070">
        <w:rPr>
          <w:b w:val="0"/>
          <w:sz w:val="24"/>
          <w:szCs w:val="24"/>
        </w:rPr>
        <w:t>N. Petrović,J.Maksimović, Ž. Kevrešan,</w:t>
      </w:r>
      <w:r w:rsidR="00867F9B" w:rsidRPr="000A7070">
        <w:rPr>
          <w:b w:val="0"/>
          <w:sz w:val="24"/>
          <w:szCs w:val="24"/>
        </w:rPr>
        <w:t xml:space="preserve"> Uticaj Ni na koncentraciju i raspodjelu neophodnih elemenata u biljkama graška </w:t>
      </w:r>
      <w:r w:rsidRPr="000A7070">
        <w:rPr>
          <w:b w:val="0"/>
          <w:sz w:val="24"/>
          <w:szCs w:val="24"/>
        </w:rPr>
        <w:t>Novi Sad, 2005.</w:t>
      </w:r>
      <w:r w:rsidRPr="000A7070">
        <w:rPr>
          <w:b w:val="0"/>
          <w:sz w:val="24"/>
          <w:szCs w:val="24"/>
        </w:rPr>
        <w:br/>
      </w:r>
      <w:r w:rsidRPr="000A7070">
        <w:rPr>
          <w:b w:val="0"/>
          <w:sz w:val="24"/>
          <w:szCs w:val="24"/>
        </w:rPr>
        <w:br/>
      </w:r>
      <w:r w:rsidR="00867F9B" w:rsidRPr="000A7070">
        <w:rPr>
          <w:b w:val="0"/>
          <w:sz w:val="24"/>
          <w:szCs w:val="24"/>
        </w:rPr>
        <w:t xml:space="preserve">Marko Kebert, </w:t>
      </w:r>
      <w:r w:rsidRPr="000A7070">
        <w:rPr>
          <w:b w:val="0"/>
          <w:sz w:val="24"/>
          <w:szCs w:val="24"/>
        </w:rPr>
        <w:t>Biohemijska i fiziološka karakterizacija klonova topole (Populus spp.) u procesu fitoekstrakcije bakra, nikla i kadmijuma  , doktorska disertacija</w:t>
      </w:r>
      <w:r w:rsidR="00867F9B" w:rsidRPr="000A7070">
        <w:rPr>
          <w:b w:val="0"/>
          <w:sz w:val="24"/>
          <w:szCs w:val="24"/>
        </w:rPr>
        <w:t>, Novi Sad, 2005.</w:t>
      </w:r>
      <w:r w:rsidR="00867F9B" w:rsidRPr="000A7070">
        <w:rPr>
          <w:b w:val="0"/>
          <w:sz w:val="24"/>
          <w:szCs w:val="24"/>
        </w:rPr>
        <w:br/>
      </w:r>
      <w:r w:rsidR="00867F9B" w:rsidRPr="000A7070">
        <w:rPr>
          <w:b w:val="0"/>
          <w:sz w:val="24"/>
          <w:szCs w:val="24"/>
        </w:rPr>
        <w:br/>
        <w:t>Danijela M. Đunisijević Bojović, U</w:t>
      </w:r>
      <w:r w:rsidR="000A7070" w:rsidRPr="000A7070">
        <w:rPr>
          <w:b w:val="0"/>
          <w:sz w:val="24"/>
          <w:szCs w:val="24"/>
        </w:rPr>
        <w:t>ticaj</w:t>
      </w:r>
      <w:r w:rsidR="00867F9B" w:rsidRPr="000A7070">
        <w:rPr>
          <w:b w:val="0"/>
          <w:sz w:val="24"/>
          <w:szCs w:val="24"/>
        </w:rPr>
        <w:t xml:space="preserve"> </w:t>
      </w:r>
      <w:r w:rsidR="000A7070" w:rsidRPr="000A7070">
        <w:rPr>
          <w:b w:val="0"/>
          <w:sz w:val="24"/>
          <w:szCs w:val="24"/>
        </w:rPr>
        <w:t xml:space="preserve">koncentracije olova </w:t>
      </w:r>
      <w:r w:rsidR="00F304DC">
        <w:rPr>
          <w:b w:val="0"/>
          <w:sz w:val="24"/>
          <w:szCs w:val="24"/>
        </w:rPr>
        <w:t xml:space="preserve">i </w:t>
      </w:r>
      <w:r w:rsidR="000A7070" w:rsidRPr="000A7070">
        <w:rPr>
          <w:b w:val="0"/>
          <w:sz w:val="24"/>
          <w:szCs w:val="24"/>
        </w:rPr>
        <w:t>kadmijuma u zemljištu na razvoj drvenastih biljaka, doktorska disertacija, Beograd, 2013</w:t>
      </w:r>
      <w:r w:rsidR="00B67D0C">
        <w:rPr>
          <w:b w:val="0"/>
          <w:sz w:val="24"/>
          <w:szCs w:val="24"/>
        </w:rPr>
        <w:br/>
      </w:r>
      <w:r w:rsidR="00B67D0C">
        <w:rPr>
          <w:b w:val="0"/>
          <w:sz w:val="24"/>
          <w:szCs w:val="24"/>
        </w:rPr>
        <w:br/>
      </w:r>
      <w:r w:rsidR="0028420B" w:rsidRPr="0028420B">
        <w:rPr>
          <w:b w:val="0"/>
          <w:sz w:val="24"/>
          <w:szCs w:val="24"/>
        </w:rPr>
        <w:t>A.Ivanova, A. Krantev , Zh. Stoynova , L. Popova,</w:t>
      </w:r>
      <w:r w:rsidR="0028420B">
        <w:rPr>
          <w:b w:val="0"/>
          <w:sz w:val="24"/>
          <w:szCs w:val="24"/>
        </w:rPr>
        <w:t xml:space="preserve"> Cadmium-induced</w:t>
      </w:r>
      <w:r w:rsidR="00B67D0C" w:rsidRPr="0028420B">
        <w:rPr>
          <w:b w:val="0"/>
          <w:sz w:val="24"/>
          <w:szCs w:val="24"/>
        </w:rPr>
        <w:t xml:space="preserve"> </w:t>
      </w:r>
      <w:r w:rsidR="0028420B">
        <w:rPr>
          <w:b w:val="0"/>
          <w:sz w:val="24"/>
          <w:szCs w:val="24"/>
        </w:rPr>
        <w:t>changes in maize leaves</w:t>
      </w:r>
      <w:r w:rsidR="00B67D0C" w:rsidRPr="0028420B">
        <w:rPr>
          <w:b w:val="0"/>
          <w:sz w:val="24"/>
          <w:szCs w:val="24"/>
        </w:rPr>
        <w:t xml:space="preserve"> </w:t>
      </w:r>
      <w:r w:rsidR="0028420B">
        <w:rPr>
          <w:b w:val="0"/>
          <w:sz w:val="24"/>
          <w:szCs w:val="24"/>
        </w:rPr>
        <w:t>and</w:t>
      </w:r>
      <w:r w:rsidR="00B67D0C" w:rsidRPr="0028420B">
        <w:rPr>
          <w:b w:val="0"/>
          <w:sz w:val="24"/>
          <w:szCs w:val="24"/>
        </w:rPr>
        <w:t xml:space="preserve"> </w:t>
      </w:r>
      <w:r w:rsidR="0028420B">
        <w:rPr>
          <w:b w:val="0"/>
          <w:sz w:val="24"/>
          <w:szCs w:val="24"/>
        </w:rPr>
        <w:t>the</w:t>
      </w:r>
      <w:r w:rsidR="00B67D0C" w:rsidRPr="0028420B">
        <w:rPr>
          <w:b w:val="0"/>
          <w:sz w:val="24"/>
          <w:szCs w:val="24"/>
        </w:rPr>
        <w:t xml:space="preserve"> </w:t>
      </w:r>
      <w:r w:rsidR="0028420B">
        <w:rPr>
          <w:b w:val="0"/>
          <w:sz w:val="24"/>
          <w:szCs w:val="24"/>
        </w:rPr>
        <w:t>protective</w:t>
      </w:r>
      <w:r w:rsidR="00B67D0C" w:rsidRPr="0028420B">
        <w:rPr>
          <w:b w:val="0"/>
          <w:sz w:val="24"/>
          <w:szCs w:val="24"/>
        </w:rPr>
        <w:t xml:space="preserve"> </w:t>
      </w:r>
      <w:r w:rsidR="0028420B">
        <w:rPr>
          <w:b w:val="0"/>
          <w:sz w:val="24"/>
          <w:szCs w:val="24"/>
        </w:rPr>
        <w:t>role</w:t>
      </w:r>
      <w:r w:rsidR="00B67D0C" w:rsidRPr="0028420B">
        <w:rPr>
          <w:b w:val="0"/>
          <w:sz w:val="24"/>
          <w:szCs w:val="24"/>
        </w:rPr>
        <w:t xml:space="preserve"> </w:t>
      </w:r>
      <w:r w:rsidR="0028420B">
        <w:rPr>
          <w:b w:val="0"/>
          <w:sz w:val="24"/>
          <w:szCs w:val="24"/>
        </w:rPr>
        <w:t>of</w:t>
      </w:r>
      <w:r w:rsidR="00B67D0C" w:rsidRPr="0028420B">
        <w:rPr>
          <w:b w:val="0"/>
          <w:sz w:val="24"/>
          <w:szCs w:val="24"/>
        </w:rPr>
        <w:t xml:space="preserve"> S</w:t>
      </w:r>
      <w:r w:rsidR="0028420B">
        <w:rPr>
          <w:b w:val="0"/>
          <w:sz w:val="24"/>
          <w:szCs w:val="24"/>
        </w:rPr>
        <w:t>alycylic</w:t>
      </w:r>
      <w:r w:rsidR="00B67D0C" w:rsidRPr="0028420B">
        <w:rPr>
          <w:b w:val="0"/>
          <w:sz w:val="24"/>
          <w:szCs w:val="24"/>
        </w:rPr>
        <w:t xml:space="preserve"> A</w:t>
      </w:r>
      <w:r w:rsidR="0028420B">
        <w:rPr>
          <w:b w:val="0"/>
          <w:sz w:val="24"/>
          <w:szCs w:val="24"/>
        </w:rPr>
        <w:t>cid, 2008.</w:t>
      </w:r>
      <w:r w:rsidR="000A7070" w:rsidRPr="0028420B">
        <w:rPr>
          <w:b w:val="0"/>
          <w:sz w:val="24"/>
          <w:szCs w:val="24"/>
        </w:rPr>
        <w:br/>
      </w:r>
      <w:r w:rsidR="000A7070" w:rsidRPr="0028420B">
        <w:rPr>
          <w:b w:val="0"/>
          <w:sz w:val="24"/>
          <w:szCs w:val="24"/>
        </w:rPr>
        <w:br/>
      </w:r>
      <w:r w:rsidR="000A7070" w:rsidRPr="000A7070">
        <w:rPr>
          <w:b w:val="0"/>
          <w:sz w:val="24"/>
          <w:szCs w:val="24"/>
        </w:rPr>
        <w:t>Miloš Rajković,  Mirjana Stojanović, Đorđe Glamočlija, Dragan Tošković , Violeta Miletić, Violeta Stefanović, Časlav Lačnjevac, Pšenica i teški metali, Beograd, 2012.</w:t>
      </w:r>
      <w:r w:rsidR="000A7070" w:rsidRPr="000A7070">
        <w:rPr>
          <w:b w:val="0"/>
          <w:sz w:val="24"/>
          <w:szCs w:val="24"/>
        </w:rPr>
        <w:br/>
      </w:r>
      <w:r w:rsidR="000A7070" w:rsidRPr="000A7070">
        <w:rPr>
          <w:b w:val="0"/>
          <w:sz w:val="24"/>
          <w:szCs w:val="24"/>
        </w:rPr>
        <w:br/>
      </w:r>
      <w:r w:rsidR="000A7070" w:rsidRPr="000A7070">
        <w:rPr>
          <w:rStyle w:val="highwire-citation-author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Alexandra Lešková</w:t>
      </w:r>
      <w:r w:rsidR="000A7070" w:rsidRPr="000A7070">
        <w:rPr>
          <w:b w:val="0"/>
          <w:color w:val="000000"/>
          <w:sz w:val="24"/>
          <w:szCs w:val="24"/>
          <w:shd w:val="clear" w:color="auto" w:fill="FFFFFF"/>
        </w:rPr>
        <w:t>, </w:t>
      </w:r>
      <w:r w:rsidR="000A7070" w:rsidRPr="000A7070">
        <w:rPr>
          <w:rStyle w:val="highwire-citation-author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Ricardo F.H. Giehl</w:t>
      </w:r>
      <w:r w:rsidR="000A7070" w:rsidRPr="000A7070">
        <w:rPr>
          <w:b w:val="0"/>
          <w:color w:val="000000"/>
          <w:sz w:val="24"/>
          <w:szCs w:val="24"/>
          <w:shd w:val="clear" w:color="auto" w:fill="FFFFFF"/>
        </w:rPr>
        <w:t>, </w:t>
      </w:r>
      <w:r w:rsidR="000A7070" w:rsidRPr="000A7070">
        <w:rPr>
          <w:rStyle w:val="highwire-citation-author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Anja Hartmann</w:t>
      </w:r>
      <w:r w:rsidR="000A7070" w:rsidRPr="000A7070">
        <w:rPr>
          <w:b w:val="0"/>
          <w:color w:val="000000"/>
          <w:sz w:val="24"/>
          <w:szCs w:val="24"/>
          <w:shd w:val="clear" w:color="auto" w:fill="FFFFFF"/>
        </w:rPr>
        <w:t>, </w:t>
      </w:r>
      <w:r w:rsidR="000A7070" w:rsidRPr="000A7070">
        <w:rPr>
          <w:rStyle w:val="highwire-citation-author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Agáta Fargašová</w:t>
      </w:r>
      <w:r w:rsidR="000A7070" w:rsidRPr="000A7070">
        <w:rPr>
          <w:b w:val="0"/>
          <w:color w:val="000000"/>
          <w:sz w:val="24"/>
          <w:szCs w:val="24"/>
          <w:shd w:val="clear" w:color="auto" w:fill="FFFFFF"/>
        </w:rPr>
        <w:t>, </w:t>
      </w:r>
      <w:r w:rsidR="000A7070" w:rsidRPr="000A7070">
        <w:rPr>
          <w:rStyle w:val="highwire-citation-author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Nicolaus von Wirén, </w:t>
      </w:r>
      <w:r w:rsidR="000A7070" w:rsidRPr="000A7070">
        <w:rPr>
          <w:b w:val="0"/>
          <w:color w:val="000000" w:themeColor="text1"/>
          <w:spacing w:val="-7"/>
          <w:sz w:val="24"/>
          <w:szCs w:val="24"/>
        </w:rPr>
        <w:t>Heavy Metals Induce Iron Deficiency Responses at Different Hierarchic and Regulatory Levels</w:t>
      </w:r>
      <w:r w:rsidR="00FC1AE2">
        <w:rPr>
          <w:b w:val="0"/>
          <w:color w:val="000000" w:themeColor="text1"/>
          <w:spacing w:val="-7"/>
          <w:sz w:val="24"/>
          <w:szCs w:val="24"/>
        </w:rPr>
        <w:br/>
      </w:r>
      <w:r w:rsidR="00FC1AE2">
        <w:rPr>
          <w:b w:val="0"/>
          <w:color w:val="000000" w:themeColor="text1"/>
          <w:spacing w:val="-7"/>
          <w:sz w:val="24"/>
          <w:szCs w:val="24"/>
        </w:rPr>
        <w:br/>
      </w:r>
      <w:hyperlink r:id="rId21" w:history="1">
        <w:r w:rsidR="00FC1AE2" w:rsidRPr="00FC1AE2">
          <w:rPr>
            <w:rStyle w:val="Hyperlink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Ilya V. Seregin</w:t>
        </w:r>
      </w:hyperlink>
      <w:r w:rsidR="00FC1AE2" w:rsidRPr="00FC1AE2">
        <w:rPr>
          <w:b w:val="0"/>
          <w:color w:val="000000" w:themeColor="text1"/>
          <w:sz w:val="24"/>
          <w:szCs w:val="24"/>
        </w:rPr>
        <w:t xml:space="preserve">, </w:t>
      </w:r>
      <w:hyperlink r:id="rId22" w:history="1">
        <w:r w:rsidR="00FC1AE2" w:rsidRPr="00FC1AE2">
          <w:rPr>
            <w:rStyle w:val="Hyperlink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Victor B Ivanov</w:t>
        </w:r>
      </w:hyperlink>
      <w:r w:rsidR="00FC1AE2" w:rsidRPr="00FC1AE2">
        <w:rPr>
          <w:b w:val="0"/>
          <w:color w:val="000000" w:themeColor="text1"/>
          <w:sz w:val="24"/>
          <w:szCs w:val="24"/>
        </w:rPr>
        <w:t xml:space="preserve">, </w:t>
      </w:r>
      <w:r w:rsidR="00FC1AE2" w:rsidRPr="00FC1AE2">
        <w:rPr>
          <w:b w:val="0"/>
          <w:bCs w:val="0"/>
          <w:color w:val="000000" w:themeColor="text1"/>
          <w:sz w:val="24"/>
          <w:szCs w:val="24"/>
        </w:rPr>
        <w:t>Physiological Aspects of Cadmium and Lead Toxic Effects on Higher Plants</w:t>
      </w:r>
      <w:r w:rsidR="00FC1AE2" w:rsidRPr="00FC1AE2">
        <w:rPr>
          <w:b w:val="0"/>
          <w:bCs w:val="0"/>
          <w:color w:val="000000" w:themeColor="text1"/>
          <w:sz w:val="24"/>
          <w:szCs w:val="24"/>
        </w:rPr>
        <w:t>, 2001.</w:t>
      </w:r>
    </w:p>
    <w:p w14:paraId="71DFF794" w14:textId="6F8F8C55" w:rsidR="000A7070" w:rsidRPr="009D003D" w:rsidRDefault="00CE1258" w:rsidP="000A7070">
      <w:pPr>
        <w:pStyle w:val="Heading1"/>
        <w:spacing w:before="0" w:beforeAutospacing="0" w:after="375" w:afterAutospacing="0"/>
        <w:rPr>
          <w:b w:val="0"/>
          <w:bCs w:val="0"/>
          <w:color w:val="000000" w:themeColor="text1"/>
          <w:sz w:val="24"/>
          <w:szCs w:val="24"/>
        </w:rPr>
      </w:pPr>
      <w:hyperlink r:id="rId23" w:history="1">
        <w:r w:rsidR="000A7070" w:rsidRPr="000A7070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Farha Ashfaque</w:t>
        </w:r>
      </w:hyperlink>
      <w:r w:rsidR="000A7070" w:rsidRPr="000A7070">
        <w:rPr>
          <w:b w:val="0"/>
          <w:sz w:val="24"/>
          <w:szCs w:val="24"/>
        </w:rPr>
        <w:t xml:space="preserve">, </w:t>
      </w:r>
      <w:hyperlink r:id="rId24" w:history="1">
        <w:r w:rsidR="000A7070" w:rsidRPr="000A7070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Akhtar Inam</w:t>
        </w:r>
      </w:hyperlink>
      <w:r w:rsidR="000A7070" w:rsidRPr="000A7070">
        <w:rPr>
          <w:b w:val="0"/>
          <w:sz w:val="24"/>
          <w:szCs w:val="24"/>
        </w:rPr>
        <w:t xml:space="preserve">, </w:t>
      </w:r>
      <w:hyperlink r:id="rId25" w:history="1">
        <w:r w:rsidR="000A7070" w:rsidRPr="000A7070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Seema Sahay</w:t>
        </w:r>
      </w:hyperlink>
      <w:r w:rsidR="000A7070" w:rsidRPr="000A7070">
        <w:rPr>
          <w:b w:val="0"/>
          <w:sz w:val="24"/>
          <w:szCs w:val="24"/>
        </w:rPr>
        <w:t xml:space="preserve">, </w:t>
      </w:r>
      <w:hyperlink r:id="rId26" w:history="1">
        <w:r w:rsidR="000A7070" w:rsidRPr="000A7070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Saba Iqbal</w:t>
        </w:r>
      </w:hyperlink>
      <w:r w:rsidR="000A7070" w:rsidRPr="000A7070">
        <w:rPr>
          <w:b w:val="0"/>
          <w:sz w:val="24"/>
          <w:szCs w:val="24"/>
        </w:rPr>
        <w:t xml:space="preserve">, </w:t>
      </w:r>
      <w:r w:rsidR="000A7070" w:rsidRPr="000A7070">
        <w:rPr>
          <w:b w:val="0"/>
          <w:bCs w:val="0"/>
          <w:sz w:val="24"/>
          <w:szCs w:val="24"/>
        </w:rPr>
        <w:t>Influence of Heavy Metal Toxicity on Plant Growth, Metabolism and Its Alleviation by Phytoremediation - A Promising Technology</w:t>
      </w:r>
      <w:r w:rsidR="000A7070">
        <w:rPr>
          <w:b w:val="0"/>
          <w:bCs w:val="0"/>
          <w:sz w:val="24"/>
          <w:szCs w:val="24"/>
        </w:rPr>
        <w:t>, 2016</w:t>
      </w:r>
      <w:r w:rsidR="0006458A">
        <w:rPr>
          <w:b w:val="0"/>
          <w:bCs w:val="0"/>
          <w:sz w:val="24"/>
          <w:szCs w:val="24"/>
        </w:rPr>
        <w:br/>
      </w:r>
      <w:r w:rsidR="0006458A">
        <w:rPr>
          <w:b w:val="0"/>
          <w:bCs w:val="0"/>
          <w:sz w:val="24"/>
          <w:szCs w:val="24"/>
        </w:rPr>
        <w:br/>
      </w:r>
      <w:r w:rsidR="0006458A" w:rsidRPr="0006458A">
        <w:rPr>
          <w:b w:val="0"/>
          <w:sz w:val="24"/>
          <w:szCs w:val="24"/>
        </w:rPr>
        <w:t>Gajewska. E., Sklodowska, M., Slaba, M., Mazur, J., Effect of Nickel on Antioxidative Enzyme Activities, Proline and Chlorophyll Content in Wheat Shoots</w:t>
      </w:r>
      <w:r w:rsidR="0006458A">
        <w:rPr>
          <w:b w:val="0"/>
          <w:sz w:val="24"/>
          <w:szCs w:val="24"/>
        </w:rPr>
        <w:t>, 2006.</w:t>
      </w:r>
      <w:r w:rsidR="00CE44B2">
        <w:rPr>
          <w:b w:val="0"/>
          <w:sz w:val="24"/>
          <w:szCs w:val="24"/>
        </w:rPr>
        <w:br/>
      </w:r>
      <w:r w:rsidR="00CE44B2">
        <w:rPr>
          <w:b w:val="0"/>
          <w:sz w:val="24"/>
          <w:szCs w:val="24"/>
        </w:rPr>
        <w:br/>
      </w:r>
      <w:r w:rsidR="00CE44B2" w:rsidRPr="00CE44B2">
        <w:rPr>
          <w:b w:val="0"/>
          <w:bCs w:val="0"/>
          <w:color w:val="000000" w:themeColor="text1"/>
          <w:sz w:val="24"/>
          <w:szCs w:val="24"/>
        </w:rPr>
        <w:t>Bernal, M., Roncel, M., Ortega, J. M., Picorel, R., Yruela, I.</w:t>
      </w:r>
      <w:r w:rsidR="00CE44B2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="00CE44B2" w:rsidRPr="00CE44B2">
        <w:rPr>
          <w:b w:val="0"/>
          <w:bCs w:val="0"/>
          <w:color w:val="000000" w:themeColor="text1"/>
          <w:sz w:val="24"/>
          <w:szCs w:val="24"/>
        </w:rPr>
        <w:t>Copper effect on cytochrome b559 of photosystem II under photoinhibitory conditions</w:t>
      </w:r>
      <w:r w:rsidR="00CE44B2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="00CE44B2" w:rsidRPr="00CE44B2">
        <w:rPr>
          <w:b w:val="0"/>
          <w:bCs w:val="0"/>
          <w:color w:val="000000" w:themeColor="text1"/>
          <w:sz w:val="24"/>
          <w:szCs w:val="24"/>
        </w:rPr>
        <w:t>2004</w:t>
      </w:r>
      <w:r w:rsidR="00CE44B2">
        <w:rPr>
          <w:b w:val="0"/>
          <w:bCs w:val="0"/>
          <w:color w:val="000000" w:themeColor="text1"/>
          <w:sz w:val="24"/>
          <w:szCs w:val="24"/>
        </w:rPr>
        <w:t>.</w:t>
      </w:r>
      <w:r w:rsidR="006D66E5">
        <w:rPr>
          <w:b w:val="0"/>
          <w:bCs w:val="0"/>
          <w:color w:val="000000" w:themeColor="text1"/>
          <w:sz w:val="24"/>
          <w:szCs w:val="24"/>
        </w:rPr>
        <w:br/>
      </w:r>
      <w:r w:rsidR="006D66E5">
        <w:rPr>
          <w:b w:val="0"/>
          <w:bCs w:val="0"/>
          <w:color w:val="000000" w:themeColor="text1"/>
          <w:sz w:val="24"/>
          <w:szCs w:val="24"/>
        </w:rPr>
        <w:br/>
      </w:r>
      <w:r w:rsidR="006D66E5" w:rsidRPr="006D66E5">
        <w:rPr>
          <w:b w:val="0"/>
          <w:color w:val="000000"/>
          <w:sz w:val="24"/>
          <w:szCs w:val="24"/>
          <w:shd w:val="clear" w:color="auto" w:fill="FFFFFF"/>
        </w:rPr>
        <w:t>Wagner, G.J.</w:t>
      </w:r>
      <w:r w:rsidR="006D66E5" w:rsidRPr="006D66E5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6D66E5" w:rsidRPr="006D66E5">
        <w:rPr>
          <w:b w:val="0"/>
          <w:color w:val="000000"/>
          <w:sz w:val="24"/>
          <w:szCs w:val="24"/>
          <w:shd w:val="clear" w:color="auto" w:fill="FFFFFF"/>
        </w:rPr>
        <w:t>Accumulation of Cadmium in Crop Plants and Its Consequences to Human Health. Advances in Agronomy</w:t>
      </w:r>
      <w:r w:rsidR="006D66E5" w:rsidRPr="006D66E5">
        <w:rPr>
          <w:b w:val="0"/>
          <w:color w:val="000000"/>
          <w:sz w:val="24"/>
          <w:szCs w:val="24"/>
          <w:shd w:val="clear" w:color="auto" w:fill="FFFFFF"/>
        </w:rPr>
        <w:t>, 1993.</w:t>
      </w:r>
      <w:r w:rsidR="00A14E73">
        <w:rPr>
          <w:b w:val="0"/>
          <w:color w:val="000000"/>
          <w:sz w:val="24"/>
          <w:szCs w:val="24"/>
          <w:shd w:val="clear" w:color="auto" w:fill="FFFFFF"/>
        </w:rPr>
        <w:br/>
      </w:r>
      <w:r w:rsidR="00A14E73">
        <w:rPr>
          <w:b w:val="0"/>
          <w:color w:val="000000"/>
          <w:sz w:val="24"/>
          <w:szCs w:val="24"/>
          <w:shd w:val="clear" w:color="auto" w:fill="FFFFFF"/>
        </w:rPr>
        <w:br/>
      </w:r>
      <w:r w:rsidR="00A14E73" w:rsidRPr="00A14E73">
        <w:rPr>
          <w:b w:val="0"/>
          <w:sz w:val="24"/>
          <w:szCs w:val="24"/>
        </w:rPr>
        <w:t>M. Nagarajan, K. Sankar Ganes</w:t>
      </w:r>
      <w:r w:rsidR="00A14E73" w:rsidRPr="00A14E73">
        <w:rPr>
          <w:b w:val="0"/>
          <w:sz w:val="24"/>
          <w:szCs w:val="24"/>
        </w:rPr>
        <w:t>h, Ef</w:t>
      </w:r>
      <w:r w:rsidR="00A14E73" w:rsidRPr="00A14E73">
        <w:rPr>
          <w:b w:val="0"/>
          <w:sz w:val="24"/>
          <w:szCs w:val="24"/>
        </w:rPr>
        <w:t>fect of chromium on growth, biochemicals and nutrient accumulation of paddy (Oryza sativa L.)</w:t>
      </w:r>
      <w:r w:rsidR="00A14E73">
        <w:rPr>
          <w:b w:val="0"/>
          <w:sz w:val="24"/>
          <w:szCs w:val="24"/>
        </w:rPr>
        <w:t>, 2014.</w:t>
      </w:r>
      <w:r w:rsidR="009D003D">
        <w:rPr>
          <w:b w:val="0"/>
          <w:sz w:val="24"/>
          <w:szCs w:val="24"/>
        </w:rPr>
        <w:br/>
      </w:r>
      <w:r w:rsidR="009D003D">
        <w:rPr>
          <w:b w:val="0"/>
          <w:sz w:val="24"/>
          <w:szCs w:val="24"/>
        </w:rPr>
        <w:br/>
      </w:r>
      <w:r w:rsidR="009D003D" w:rsidRPr="009D003D">
        <w:rPr>
          <w:b w:val="0"/>
          <w:sz w:val="24"/>
          <w:szCs w:val="24"/>
        </w:rPr>
        <w:t>Khaled Al-Akee</w:t>
      </w:r>
      <w:r w:rsidR="009D003D">
        <w:rPr>
          <w:b w:val="0"/>
          <w:bCs w:val="0"/>
          <w:color w:val="000000" w:themeColor="text1"/>
          <w:sz w:val="24"/>
          <w:szCs w:val="24"/>
        </w:rPr>
        <w:t xml:space="preserve">l, </w:t>
      </w:r>
      <w:r w:rsidR="009D003D" w:rsidRPr="009D003D">
        <w:rPr>
          <w:b w:val="0"/>
          <w:sz w:val="24"/>
          <w:szCs w:val="24"/>
        </w:rPr>
        <w:t>Lead Uptake, Accumulation and Effects on Plant Growth of common reed (Pharagmites Australis(Cav.) Trin. ex Steudel) plants in Hydroponic Culture</w:t>
      </w:r>
      <w:r w:rsidR="009D003D">
        <w:rPr>
          <w:b w:val="0"/>
          <w:sz w:val="24"/>
          <w:szCs w:val="24"/>
        </w:rPr>
        <w:t>, 2016.</w:t>
      </w:r>
      <w:r w:rsidR="009D003D" w:rsidRPr="009D003D">
        <w:rPr>
          <w:b w:val="0"/>
          <w:sz w:val="24"/>
          <w:szCs w:val="24"/>
        </w:rPr>
        <w:t xml:space="preserve"> </w:t>
      </w:r>
    </w:p>
    <w:p w14:paraId="232D4383" w14:textId="5D81010F" w:rsidR="000A7070" w:rsidRPr="009D003D" w:rsidRDefault="000A7070" w:rsidP="000A7070">
      <w:pPr>
        <w:pStyle w:val="Heading1"/>
        <w:shd w:val="clear" w:color="auto" w:fill="FFFFFF"/>
        <w:spacing w:before="0" w:beforeAutospacing="0" w:after="300" w:afterAutospacing="0" w:line="293" w:lineRule="atLeast"/>
        <w:textAlignment w:val="baseline"/>
        <w:rPr>
          <w:b w:val="0"/>
          <w:spacing w:val="-7"/>
          <w:sz w:val="24"/>
          <w:szCs w:val="24"/>
        </w:rPr>
      </w:pPr>
    </w:p>
    <w:p w14:paraId="68F602A1" w14:textId="48618762" w:rsidR="00786F38" w:rsidRPr="00407CD0" w:rsidRDefault="00407CD0" w:rsidP="00786F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/>
      </w:r>
    </w:p>
    <w:sectPr w:rsidR="00786F38" w:rsidRPr="00407CD0" w:rsidSect="00D20075">
      <w:footerReference w:type="default" r:id="rId27"/>
      <w:pgSz w:w="12240" w:h="15840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32EFE" w14:textId="77777777" w:rsidR="00CE1258" w:rsidRDefault="00CE1258" w:rsidP="00D20075">
      <w:pPr>
        <w:spacing w:after="0" w:line="240" w:lineRule="auto"/>
      </w:pPr>
      <w:r>
        <w:separator/>
      </w:r>
    </w:p>
  </w:endnote>
  <w:endnote w:type="continuationSeparator" w:id="0">
    <w:p w14:paraId="76752715" w14:textId="77777777" w:rsidR="00CE1258" w:rsidRDefault="00CE1258" w:rsidP="00D2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72861" w14:textId="77777777" w:rsidR="00D20075" w:rsidRDefault="00D20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638FE" w14:textId="77777777" w:rsidR="00CE1258" w:rsidRDefault="00CE1258" w:rsidP="00D20075">
      <w:pPr>
        <w:spacing w:after="0" w:line="240" w:lineRule="auto"/>
      </w:pPr>
      <w:r>
        <w:separator/>
      </w:r>
    </w:p>
  </w:footnote>
  <w:footnote w:type="continuationSeparator" w:id="0">
    <w:p w14:paraId="7E84B978" w14:textId="77777777" w:rsidR="00CE1258" w:rsidRDefault="00CE1258" w:rsidP="00D20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79"/>
    <w:rsid w:val="00052A69"/>
    <w:rsid w:val="00056DBC"/>
    <w:rsid w:val="0006458A"/>
    <w:rsid w:val="000A7070"/>
    <w:rsid w:val="000E2166"/>
    <w:rsid w:val="00131597"/>
    <w:rsid w:val="002054FE"/>
    <w:rsid w:val="00250E37"/>
    <w:rsid w:val="0028420B"/>
    <w:rsid w:val="00296E02"/>
    <w:rsid w:val="002C646E"/>
    <w:rsid w:val="002F7569"/>
    <w:rsid w:val="0034107B"/>
    <w:rsid w:val="003608AF"/>
    <w:rsid w:val="003A636F"/>
    <w:rsid w:val="00407CD0"/>
    <w:rsid w:val="0045435B"/>
    <w:rsid w:val="00516027"/>
    <w:rsid w:val="00531EB6"/>
    <w:rsid w:val="00572B38"/>
    <w:rsid w:val="005A4935"/>
    <w:rsid w:val="00630154"/>
    <w:rsid w:val="006A2CA3"/>
    <w:rsid w:val="006B3169"/>
    <w:rsid w:val="006D66E5"/>
    <w:rsid w:val="00716D1D"/>
    <w:rsid w:val="00742880"/>
    <w:rsid w:val="00786F38"/>
    <w:rsid w:val="0079686E"/>
    <w:rsid w:val="007B3BC2"/>
    <w:rsid w:val="007F52B9"/>
    <w:rsid w:val="008475DF"/>
    <w:rsid w:val="00867F9B"/>
    <w:rsid w:val="009B17F2"/>
    <w:rsid w:val="009D003D"/>
    <w:rsid w:val="00A14E73"/>
    <w:rsid w:val="00A3646B"/>
    <w:rsid w:val="00A41379"/>
    <w:rsid w:val="00A66B3B"/>
    <w:rsid w:val="00A75EFB"/>
    <w:rsid w:val="00A83F42"/>
    <w:rsid w:val="00A9258D"/>
    <w:rsid w:val="00A942EB"/>
    <w:rsid w:val="00AE67C7"/>
    <w:rsid w:val="00AF1496"/>
    <w:rsid w:val="00B67D0C"/>
    <w:rsid w:val="00B72C53"/>
    <w:rsid w:val="00B81924"/>
    <w:rsid w:val="00BB7861"/>
    <w:rsid w:val="00CD05A0"/>
    <w:rsid w:val="00CE1258"/>
    <w:rsid w:val="00CE44B2"/>
    <w:rsid w:val="00D20075"/>
    <w:rsid w:val="00D3723D"/>
    <w:rsid w:val="00D53775"/>
    <w:rsid w:val="00DC494C"/>
    <w:rsid w:val="00EE7494"/>
    <w:rsid w:val="00F304DC"/>
    <w:rsid w:val="00F7249C"/>
    <w:rsid w:val="00FB522C"/>
    <w:rsid w:val="00F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870B"/>
  <w15:chartTrackingRefBased/>
  <w15:docId w15:val="{777B5A3E-0929-428D-B4CE-3FF9EFB2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37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0A7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42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2880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highwire-citation-author">
    <w:name w:val="highwire-citation-author"/>
    <w:basedOn w:val="DefaultParagraphFont"/>
    <w:rsid w:val="000A7070"/>
  </w:style>
  <w:style w:type="character" w:customStyle="1" w:styleId="Heading1Char">
    <w:name w:val="Heading 1 Char"/>
    <w:basedOn w:val="DefaultParagraphFont"/>
    <w:link w:val="Heading1"/>
    <w:uiPriority w:val="9"/>
    <w:rsid w:val="000A7070"/>
    <w:rPr>
      <w:rFonts w:ascii="Times New Roman" w:eastAsia="Times New Roman" w:hAnsi="Times New Roman" w:cs="Times New Roman"/>
      <w:b/>
      <w:bCs/>
      <w:kern w:val="36"/>
      <w:sz w:val="48"/>
      <w:szCs w:val="48"/>
      <w:lang w:val="sr-Latn-ME" w:eastAsia="sr-Latn-ME"/>
    </w:rPr>
  </w:style>
  <w:style w:type="character" w:styleId="Hyperlink">
    <w:name w:val="Hyperlink"/>
    <w:basedOn w:val="DefaultParagraphFont"/>
    <w:uiPriority w:val="99"/>
    <w:semiHidden/>
    <w:unhideWhenUsed/>
    <w:rsid w:val="000A7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075"/>
  </w:style>
  <w:style w:type="paragraph" w:styleId="Footer">
    <w:name w:val="footer"/>
    <w:basedOn w:val="Normal"/>
    <w:link w:val="FooterChar"/>
    <w:uiPriority w:val="99"/>
    <w:unhideWhenUsed/>
    <w:rsid w:val="00D20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075"/>
  </w:style>
  <w:style w:type="paragraph" w:styleId="BalloonText">
    <w:name w:val="Balloon Text"/>
    <w:basedOn w:val="Normal"/>
    <w:link w:val="BalloonTextChar"/>
    <w:uiPriority w:val="99"/>
    <w:semiHidden/>
    <w:unhideWhenUsed/>
    <w:rsid w:val="00FC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Farha_Ashfaque" TargetMode="Externa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yperlink" Target="https://www.researchgate.net/profile/Saba_Iqbal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rofile/Ilya_Seregin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yperlink" Target="https://www.researchgate.net/profile/Seema_Sahay4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hyperlink" Target="https://www.researchgate.net/scientific-contributions/2126956213_Akhtar_In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hyperlink" Target="https://www.researchgate.net/profile/Farha_Ashfaqu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yperlink" Target="https://www.researchgate.net/profile/Victor_Ivanov5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7CE75-61C9-4DDA-B56B-F8BB06E2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27</Pages>
  <Words>6603</Words>
  <Characters>37639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2019-03-01T21:07:00Z</dcterms:created>
  <dcterms:modified xsi:type="dcterms:W3CDTF">2019-03-10T21:56:00Z</dcterms:modified>
</cp:coreProperties>
</file>