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5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PRAKTIČNA PITANJA I GRUPA</w:t>
      </w: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1.KAKO POSTUP</w:t>
      </w:r>
      <w:r w:rsidR="000A47DB">
        <w:rPr>
          <w:rFonts w:ascii="Times New Roman" w:hAnsi="Times New Roman" w:cs="Times New Roman"/>
          <w:sz w:val="24"/>
          <w:szCs w:val="24"/>
          <w:lang w:val="sr-Latn-ME"/>
        </w:rPr>
        <w:t xml:space="preserve">A DRUGOSTEPENI SUD U SLUČAJU U </w:t>
      </w:r>
      <w:r w:rsidRPr="00B060F0">
        <w:rPr>
          <w:rFonts w:ascii="Times New Roman" w:hAnsi="Times New Roman" w:cs="Times New Roman"/>
          <w:sz w:val="24"/>
          <w:szCs w:val="24"/>
          <w:lang w:val="sr-Latn-ME"/>
        </w:rPr>
        <w:t>KOME JE TUŽENOGA U PRVOSTEPENOM POSTUPKU ZASTUPAO ADVOKAT KAO PUNOMOĆNIK, A U SPISIMA PRILIKOM ODLUČIVANJA O ŽALBI NEMA PUNOMOĆJA?</w:t>
      </w:r>
    </w:p>
    <w:p w:rsidR="00B060F0" w:rsidRPr="00B060F0" w:rsidRDefault="00DE056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Kada je u toku postupka tužioca zastupao advokat kao punomoćnik, a u spisima nema punomoćja, prilikom odlučivanja po žalbi, drugostepeni sud bi vratio spise prvostepenom sudu da otkloni procesni nedostatak u vezi sa zastupanjem  sa nalogom tužiocu da se izjasni da li odobrava parnične radnje koje je u parnici preduzeo njegov advokat.</w:t>
      </w: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 xml:space="preserve">2.SUD JE DONIO RJEŠENJE O ODBACIVANJU TUŽBE ZBOG </w:t>
      </w:r>
      <w:r w:rsidR="000A47DB">
        <w:rPr>
          <w:rFonts w:ascii="Times New Roman" w:hAnsi="Times New Roman" w:cs="Times New Roman"/>
          <w:sz w:val="24"/>
          <w:szCs w:val="24"/>
          <w:lang w:val="sr-Latn-ME"/>
        </w:rPr>
        <w:t>LITISPENDENCIJE. KADA</w:t>
      </w:r>
      <w:r w:rsidRPr="00B060F0">
        <w:rPr>
          <w:rFonts w:ascii="Times New Roman" w:hAnsi="Times New Roman" w:cs="Times New Roman"/>
          <w:sz w:val="24"/>
          <w:szCs w:val="24"/>
          <w:lang w:val="sr-Latn-ME"/>
        </w:rPr>
        <w:t>?</w:t>
      </w:r>
    </w:p>
    <w:p w:rsidR="00B060F0" w:rsidRPr="00B060F0" w:rsidRDefault="00DE056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Rješenje o odbacivanju tužbe zbog litispendencije, sud  donosi nakon prethodnog ispitivanja tužbe</w:t>
      </w: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3.U TUŽBENOM ZAHTJEVU SE TRAŽI DA SE UTVRDI DA JE TUŽILAC U TOKU KORIŠĆENJA POSLOVNOG PROSTORA IZVRŠIO ULAGANJA U ADAPTACIJU POSLOVNOG PROSTORA. RADI LI SE U OVOM SLUČAJU O TUŽBI IZ ODREDBE ČLANA 188 ZPP-A DEKLARATIVNOJ?</w:t>
      </w:r>
    </w:p>
    <w:p w:rsidR="00DE0569" w:rsidRPr="00B060F0" w:rsidRDefault="00DE056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radi, jer činjenice ne mogu biti predmet tužbe za utvrđivanje.</w:t>
      </w:r>
    </w:p>
    <w:p w:rsidR="000A47DB" w:rsidRDefault="000A47D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4.NOVOTUŽENI JE STUPIO U PARNICU NA MJESTO PRVOTUŽENOG. NOVOTUŽENI ISTIČE PRIGOVOR MJESNE NENADLEŽNOSTI, KOJI NIJE ISTAKAO PRVOBITNO TUŽENI. KOMENTARISATI OVAJ PRIGOVOR.</w:t>
      </w:r>
    </w:p>
    <w:p w:rsidR="00392FBB" w:rsidRDefault="001F1B7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Tuženi koji pristane da stupi u parnicu umjesto prvobitno</w:t>
      </w:r>
      <w:r w:rsidR="00347D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tuženog, mora je primiti u onom stanju u kome se ona nalazi kad u nju stupa. To znači da je on prekludiran u pogledu roka do koga može staviti prigovor mjesne nadležnosti i taj prigovor ne može staviti ako to nije</w:t>
      </w:r>
      <w:r w:rsidR="00191C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učinio prvobitno tuženi</w:t>
      </w:r>
      <w:r w:rsidR="00191C53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5.TUŽBOM SE TRAŽI UTVRĐIVANJE STICANJA SVOJINE PUTEM ODRAŽAJA. TUŽENA SU TRI ZEMLJIŠNOKNJIŠKA SUVLASNIKA NEPOKRETNOSTI. KOJE JE SUPARNIČARSTVO U PITANJU?</w:t>
      </w:r>
    </w:p>
    <w:p w:rsidR="001F1B7B" w:rsidRDefault="00347D67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Ovo pitanje sam priznala svima, jer mi je greškom prilik</w:t>
      </w:r>
      <w:r w:rsidR="00B959AA">
        <w:rPr>
          <w:rFonts w:ascii="Times New Roman" w:hAnsi="Times New Roman" w:cs="Times New Roman"/>
          <w:sz w:val="24"/>
          <w:szCs w:val="24"/>
          <w:lang w:val="sr-Latn-ME"/>
        </w:rPr>
        <w:t>om kucanje ispušten dio pitanja.</w:t>
      </w: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6.TUŽENO JE VIŠE OSIGURAVAJUĆIH ORGANIZACIJA U PARNICI RADI NAKNADE ŠTETE. KAKVO JE SUPARNIČARSTVO OSIGURAVAJUĆIH DRUŠTAVA?</w:t>
      </w:r>
    </w:p>
    <w:p w:rsidR="009759E9" w:rsidRDefault="001F1B7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Formalno i obično</w:t>
      </w:r>
      <w:r w:rsidR="00191C53">
        <w:rPr>
          <w:rFonts w:ascii="Times New Roman" w:hAnsi="Times New Roman" w:cs="Times New Roman"/>
          <w:sz w:val="24"/>
          <w:szCs w:val="24"/>
          <w:lang w:val="sr-Latn-ME"/>
        </w:rPr>
        <w:t xml:space="preserve"> suparničarstvo.</w:t>
      </w: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7.TUŽENI JE DUŽAN DA NAKNADI ŠTETU KAO OSIGURAVATELJ PUTNIČKIH KOLA VLASNIŠTVO LICA A KOJI JE POVRIJEDIO TUŽIOČEVOG OSIGURANIKA ZBOG ČEGA JE TUŽILAC IMA IZDATKE OKO NJEGOVOG LIJEČENJA I NAKNADE PLATE. TUŽENI JE PREDLAGAO DA SUD UTVRDI DOPRINOS OŠTEĆENOG U NASTANKU ŠTETE, ŠTO SUD NIJE USVOJIO, VEĆ JE SVOJU ODLUKU BAZIRAO NA PRAVNOSNAŽNOJ OSUĐUJUĆOJ PRESUDI KRIVIČNOG SUDA. KOMENTARISATI POSTUPANJE SUDA.</w:t>
      </w:r>
    </w:p>
    <w:p w:rsidR="009759E9" w:rsidRDefault="00191C53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Ustanovljenje krivičnog djela o postojanju štete i njenom iznosu-visini kod ovog krivičnog dje</w:t>
      </w:r>
      <w:r w:rsidR="003D425F">
        <w:rPr>
          <w:rFonts w:ascii="Times New Roman" w:hAnsi="Times New Roman" w:cs="Times New Roman"/>
          <w:sz w:val="24"/>
          <w:szCs w:val="24"/>
          <w:lang w:val="sr-Latn-ME"/>
        </w:rPr>
        <w:t>la ne ulazi i red elemenata njegovog zakonskog bića, nije obavezno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za parnični sud. Stoga bi parnični sud mogao nezavisno od postojanja krivične presude da utvrđuje da li je krivičnim djelom prouzrokovana šteta ili ne, koliko ja njena visina, kao i pitanje krivice za tu štetu.</w:t>
      </w:r>
    </w:p>
    <w:p w:rsidR="00DE0569" w:rsidRDefault="00DE0569" w:rsidP="00DE056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DE056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8.LICE A IZ PODGORICE JE PODNIJELO TUŽBU PROTIV LICA B IZ PODGORICE ZBOG ISPLATE ZAKUPNINE</w:t>
      </w:r>
      <w:r w:rsidR="009965D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32ADF">
        <w:rPr>
          <w:rFonts w:ascii="Times New Roman" w:hAnsi="Times New Roman" w:cs="Times New Roman"/>
          <w:sz w:val="24"/>
          <w:szCs w:val="24"/>
          <w:lang w:val="sr-Latn-ME"/>
        </w:rPr>
        <w:t>KUĆE KOJA SE NALAZI NA TERITORIJI NIKŠIĆA.TUŽBA JE PODNIJETA PODGORIČKOM SUDU. KAKO ĆE POSTUPITI PODGORIČKI SUD?</w:t>
      </w:r>
    </w:p>
    <w:p w:rsidR="00832ADF" w:rsidRDefault="009965D1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Oglasiće se mjesno nenadležnim i bez odlaganja u roku od tri dana, ustupiti predmet nadležnom sudu</w:t>
      </w: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9.TUŽILAC JE U ODSUSTVU TUŽENOG IZNIO ČINJENIČNU TVRDNJU. KAKO ĆE SUD POSTUPITI?</w:t>
      </w:r>
    </w:p>
    <w:p w:rsidR="00832ADF" w:rsidRDefault="009965D1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Sud uzi</w:t>
      </w:r>
      <w:r w:rsidR="00347D67">
        <w:rPr>
          <w:rFonts w:ascii="Times New Roman" w:hAnsi="Times New Roman" w:cs="Times New Roman"/>
          <w:sz w:val="24"/>
          <w:szCs w:val="24"/>
          <w:lang w:val="sr-Latn-ME"/>
        </w:rPr>
        <w:t>ma kao da je osporena činjenica, jer se radi i principu</w:t>
      </w:r>
      <w:r w:rsidR="00B959A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47D67">
        <w:rPr>
          <w:rFonts w:ascii="Times New Roman" w:hAnsi="Times New Roman" w:cs="Times New Roman"/>
          <w:sz w:val="24"/>
          <w:szCs w:val="24"/>
          <w:lang w:val="sr-Latn-ME"/>
        </w:rPr>
        <w:t>negativne litiskontestacije</w:t>
      </w:r>
      <w:r w:rsidR="00B959AA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10.TUŽENI SE BRANI KOMPENZACIONIM PRIGOVOROM. TUŽILAC POVUČE TUŽBU. ŠTA SUD RADI?</w:t>
      </w:r>
    </w:p>
    <w:p w:rsidR="00347D67" w:rsidRDefault="00347D67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Prigovor dijeli sudbinu tužbe.</w:t>
      </w:r>
    </w:p>
    <w:p w:rsidR="00347D67" w:rsidRDefault="00347D67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Broj tačnih o</w:t>
      </w:r>
      <w:r w:rsidR="003D425F">
        <w:rPr>
          <w:rFonts w:ascii="Times New Roman" w:hAnsi="Times New Roman" w:cs="Times New Roman"/>
          <w:sz w:val="24"/>
          <w:szCs w:val="24"/>
          <w:lang w:val="sr-Latn-ME"/>
        </w:rPr>
        <w:t>d</w:t>
      </w:r>
      <w:r>
        <w:rPr>
          <w:rFonts w:ascii="Times New Roman" w:hAnsi="Times New Roman" w:cs="Times New Roman"/>
          <w:sz w:val="24"/>
          <w:szCs w:val="24"/>
          <w:lang w:val="sr-Latn-ME"/>
        </w:rPr>
        <w:t>govora za ocjenu E, a to je šest</w:t>
      </w:r>
      <w:r w:rsidR="003D425F">
        <w:rPr>
          <w:rFonts w:ascii="Times New Roman" w:hAnsi="Times New Roman" w:cs="Times New Roman"/>
          <w:sz w:val="24"/>
          <w:szCs w:val="24"/>
          <w:lang w:val="sr-Latn-ME"/>
        </w:rPr>
        <w:t xml:space="preserve"> odgovora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3D425F">
        <w:rPr>
          <w:rFonts w:ascii="Times New Roman" w:hAnsi="Times New Roman" w:cs="Times New Roman"/>
          <w:sz w:val="24"/>
          <w:szCs w:val="24"/>
          <w:lang w:val="sr-Latn-ME"/>
        </w:rPr>
        <w:t xml:space="preserve"> ukupno iznosi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20 poena, a broj tačnih odgovora za ocjenu A je deset</w:t>
      </w:r>
      <w:r w:rsidR="003D425F">
        <w:rPr>
          <w:rFonts w:ascii="Times New Roman" w:hAnsi="Times New Roman" w:cs="Times New Roman"/>
          <w:sz w:val="24"/>
          <w:szCs w:val="24"/>
          <w:lang w:val="sr-Latn-ME"/>
        </w:rPr>
        <w:t xml:space="preserve"> tačnih</w:t>
      </w:r>
      <w:r>
        <w:rPr>
          <w:rFonts w:ascii="Times New Roman" w:hAnsi="Times New Roman" w:cs="Times New Roman"/>
          <w:sz w:val="24"/>
          <w:szCs w:val="24"/>
          <w:lang w:val="sr-Latn-ME"/>
        </w:rPr>
        <w:t>, to je</w:t>
      </w:r>
      <w:r w:rsidR="003D425F">
        <w:rPr>
          <w:rFonts w:ascii="Times New Roman" w:hAnsi="Times New Roman" w:cs="Times New Roman"/>
          <w:sz w:val="24"/>
          <w:szCs w:val="24"/>
          <w:lang w:val="sr-Latn-ME"/>
        </w:rPr>
        <w:t xml:space="preserve"> ukupno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47</w:t>
      </w:r>
      <w:r w:rsidR="003D425F">
        <w:rPr>
          <w:rFonts w:ascii="Times New Roman" w:hAnsi="Times New Roman" w:cs="Times New Roman"/>
          <w:sz w:val="24"/>
          <w:szCs w:val="24"/>
          <w:lang w:val="sr-Latn-ME"/>
        </w:rPr>
        <w:t xml:space="preserve"> poena-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za kolokvijum.</w:t>
      </w:r>
    </w:p>
    <w:p w:rsidR="003D425F" w:rsidRDefault="003D425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</w:t>
      </w:r>
      <w:r w:rsidR="00347D67">
        <w:rPr>
          <w:rFonts w:ascii="Times New Roman" w:hAnsi="Times New Roman" w:cs="Times New Roman"/>
          <w:sz w:val="24"/>
          <w:szCs w:val="24"/>
          <w:lang w:val="sr-Latn-ME"/>
        </w:rPr>
        <w:t>roj tačnih odgovora za ocjenu E</w:t>
      </w:r>
      <w:r>
        <w:rPr>
          <w:rFonts w:ascii="Times New Roman" w:hAnsi="Times New Roman" w:cs="Times New Roman"/>
          <w:sz w:val="24"/>
          <w:szCs w:val="24"/>
          <w:lang w:val="sr-Latn-ME"/>
        </w:rPr>
        <w:t>, a to je šest odgovora, ukupno iznosi 30 poena, a broj tačnih odgovora za ocjenu A je deset tačnih, to je ukupno 47 poena-završni ispit.</w:t>
      </w:r>
    </w:p>
    <w:p w:rsidR="003D425F" w:rsidRDefault="003D425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Maksimalan broj poena za seminarski rad je 6.</w:t>
      </w:r>
    </w:p>
    <w:p w:rsidR="00347D67" w:rsidRDefault="003D425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47+47+6=100</w:t>
      </w:r>
      <w:r w:rsidR="00347D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0707A0" w:rsidRDefault="00CD1962" w:rsidP="000707A0">
      <w:pPr>
        <w:rPr>
          <w:lang w:val="sr-Latn-ME"/>
        </w:rPr>
      </w:pPr>
      <w:r>
        <w:rPr>
          <w:lang w:val="sr-Latn-ME"/>
        </w:rPr>
        <w:t>B</w:t>
      </w:r>
      <w:r w:rsidR="00EC4665">
        <w:rPr>
          <w:lang w:val="sr-Latn-ME"/>
        </w:rPr>
        <w:t xml:space="preserve">roj </w:t>
      </w:r>
      <w:r>
        <w:rPr>
          <w:lang w:val="sr-Latn-ME"/>
        </w:rPr>
        <w:t>odgovora za prelaznu ocjenu</w:t>
      </w:r>
      <w:r w:rsidR="00347D67">
        <w:rPr>
          <w:lang w:val="sr-Latn-ME"/>
        </w:rPr>
        <w:t xml:space="preserve"> E</w:t>
      </w:r>
      <w:r>
        <w:rPr>
          <w:lang w:val="sr-Latn-ME"/>
        </w:rPr>
        <w:t xml:space="preserve"> je 6 </w:t>
      </w:r>
      <w:r w:rsidR="00347D67">
        <w:rPr>
          <w:lang w:val="sr-Latn-ME"/>
        </w:rPr>
        <w:t xml:space="preserve"> tačnih odgovora što nosi</w:t>
      </w:r>
      <w:r>
        <w:rPr>
          <w:lang w:val="sr-Latn-ME"/>
        </w:rPr>
        <w:t xml:space="preserve"> 20 poena, se</w:t>
      </w:r>
      <w:r w:rsidR="00347D67">
        <w:rPr>
          <w:lang w:val="sr-Latn-ME"/>
        </w:rPr>
        <w:t>dam tačnih odgovora bi nosilo 27</w:t>
      </w:r>
      <w:r>
        <w:rPr>
          <w:lang w:val="sr-Latn-ME"/>
        </w:rPr>
        <w:t xml:space="preserve"> poena što odgovara ocje</w:t>
      </w:r>
      <w:r w:rsidR="00347D67">
        <w:rPr>
          <w:lang w:val="sr-Latn-ME"/>
        </w:rPr>
        <w:t>ni D, osam tačnih odgovora je 34</w:t>
      </w:r>
      <w:r>
        <w:rPr>
          <w:lang w:val="sr-Latn-ME"/>
        </w:rPr>
        <w:t xml:space="preserve"> poena što odgovara ocjeni C, devet </w:t>
      </w:r>
      <w:r w:rsidR="00347D67">
        <w:rPr>
          <w:lang w:val="sr-Latn-ME"/>
        </w:rPr>
        <w:t>tačnih odgovora je 41</w:t>
      </w:r>
      <w:r>
        <w:rPr>
          <w:lang w:val="sr-Latn-ME"/>
        </w:rPr>
        <w:t xml:space="preserve"> poena što odgovara ocjeni B i deset tačnih odgovora je 47 poena što je ocjena A.</w:t>
      </w:r>
    </w:p>
    <w:p w:rsidR="00CD1962" w:rsidRDefault="00FA053B" w:rsidP="000707A0">
      <w:pPr>
        <w:rPr>
          <w:lang w:val="sr-Latn-ME"/>
        </w:rPr>
      </w:pPr>
      <w:r>
        <w:rPr>
          <w:lang w:val="sr-Latn-ME"/>
        </w:rPr>
        <w:t xml:space="preserve">Dvadeset poena nosi šest </w:t>
      </w:r>
      <w:r w:rsidR="003D425F">
        <w:rPr>
          <w:lang w:val="sr-Latn-ME"/>
        </w:rPr>
        <w:t xml:space="preserve">tačnih </w:t>
      </w:r>
      <w:r>
        <w:rPr>
          <w:lang w:val="sr-Latn-ME"/>
        </w:rPr>
        <w:t>odgovora, odnosno svaki po 3,33 poena, stim š</w:t>
      </w:r>
      <w:r w:rsidR="00B959AA">
        <w:rPr>
          <w:lang w:val="sr-Latn-ME"/>
        </w:rPr>
        <w:t>to su</w:t>
      </w:r>
      <w:r w:rsidR="003D425F">
        <w:rPr>
          <w:lang w:val="sr-Latn-ME"/>
        </w:rPr>
        <w:t xml:space="preserve"> negde poeni zaokružni:</w:t>
      </w:r>
    </w:p>
    <w:p w:rsidR="003D425F" w:rsidRDefault="003D425F" w:rsidP="000707A0">
      <w:pPr>
        <w:rPr>
          <w:lang w:val="sr-Latn-ME"/>
        </w:rPr>
      </w:pPr>
      <w:r>
        <w:rPr>
          <w:lang w:val="sr-Latn-ME"/>
        </w:rPr>
        <w:t>Jedan</w:t>
      </w:r>
      <w:r w:rsidR="00B959AA">
        <w:rPr>
          <w:lang w:val="sr-Latn-ME"/>
        </w:rPr>
        <w:t xml:space="preserve"> odgovor</w:t>
      </w:r>
      <w:r>
        <w:rPr>
          <w:lang w:val="sr-Latn-ME"/>
        </w:rPr>
        <w:t xml:space="preserve">:3,33 zaokruženo na 4; dva:6,6 zaokruženo na 7; tri:9,9 zaokruženo na 10; četiri; 13,2 zaokruženo na </w:t>
      </w:r>
      <w:r w:rsidR="00B959AA">
        <w:rPr>
          <w:lang w:val="sr-Latn-ME"/>
        </w:rPr>
        <w:t>13; pet:16,5 zaokruženo na 17 i  još jedan odgovor 3 boda do</w:t>
      </w:r>
      <w:bookmarkStart w:id="0" w:name="_GoBack"/>
      <w:bookmarkEnd w:id="0"/>
      <w:r>
        <w:rPr>
          <w:lang w:val="sr-Latn-ME"/>
        </w:rPr>
        <w:t xml:space="preserve"> 20.</w:t>
      </w:r>
    </w:p>
    <w:p w:rsidR="00EC4665" w:rsidRDefault="00EC4665" w:rsidP="000707A0"/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B060F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Pr="00B060F0" w:rsidRDefault="00832ADF" w:rsidP="00B060F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B060F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060F0" w:rsidRPr="00B0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B05"/>
    <w:multiLevelType w:val="hybridMultilevel"/>
    <w:tmpl w:val="CB7E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F0"/>
    <w:rsid w:val="00024FF5"/>
    <w:rsid w:val="000707A0"/>
    <w:rsid w:val="000A47DB"/>
    <w:rsid w:val="00191C53"/>
    <w:rsid w:val="001F1B7B"/>
    <w:rsid w:val="00347D67"/>
    <w:rsid w:val="00392FBB"/>
    <w:rsid w:val="003D425F"/>
    <w:rsid w:val="00832ADF"/>
    <w:rsid w:val="009759E9"/>
    <w:rsid w:val="009965D1"/>
    <w:rsid w:val="00A645B9"/>
    <w:rsid w:val="00AA502D"/>
    <w:rsid w:val="00B060F0"/>
    <w:rsid w:val="00B959AA"/>
    <w:rsid w:val="00CD1962"/>
    <w:rsid w:val="00DE0569"/>
    <w:rsid w:val="00E06013"/>
    <w:rsid w:val="00EC4665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26C1"/>
  <w15:chartTrackingRefBased/>
  <w15:docId w15:val="{09AFDDC0-C40B-42C6-9B12-8F253E3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23</cp:revision>
  <dcterms:created xsi:type="dcterms:W3CDTF">2020-05-01T11:43:00Z</dcterms:created>
  <dcterms:modified xsi:type="dcterms:W3CDTF">2020-05-05T07:11:00Z</dcterms:modified>
</cp:coreProperties>
</file>