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46" w:rsidRDefault="00117E46" w:rsidP="008D3B24">
      <w:pPr>
        <w:jc w:val="both"/>
        <w:rPr>
          <w:rFonts w:ascii="Times New Roman" w:hAnsi="Times New Roman" w:cs="Times New Roman"/>
          <w:sz w:val="24"/>
          <w:szCs w:val="24"/>
          <w:lang w:val="sr-Latn-ME"/>
        </w:rPr>
      </w:pPr>
    </w:p>
    <w:p w:rsidR="00117E46" w:rsidRDefault="00117E46" w:rsidP="008D3B24">
      <w:pPr>
        <w:jc w:val="both"/>
        <w:rPr>
          <w:rFonts w:ascii="Times New Roman" w:hAnsi="Times New Roman" w:cs="Times New Roman"/>
          <w:sz w:val="24"/>
          <w:szCs w:val="24"/>
          <w:lang w:val="sr-Latn-ME"/>
        </w:rPr>
      </w:pPr>
    </w:p>
    <w:p w:rsidR="0057049C" w:rsidRPr="005D14E5" w:rsidRDefault="005D14E5" w:rsidP="008D3B24">
      <w:pPr>
        <w:jc w:val="both"/>
        <w:rPr>
          <w:rFonts w:ascii="Times New Roman" w:hAnsi="Times New Roman" w:cs="Times New Roman"/>
          <w:sz w:val="24"/>
          <w:szCs w:val="24"/>
          <w:lang w:val="sr-Latn-ME"/>
        </w:rPr>
      </w:pPr>
      <w:r w:rsidRPr="005D14E5">
        <w:rPr>
          <w:rFonts w:ascii="Times New Roman" w:hAnsi="Times New Roman" w:cs="Times New Roman"/>
          <w:sz w:val="24"/>
          <w:szCs w:val="24"/>
          <w:lang w:val="sr-Latn-ME"/>
        </w:rPr>
        <w:t>PRAKTIČNA PITANJA II GRUPA</w:t>
      </w:r>
    </w:p>
    <w:p w:rsidR="005D14E5" w:rsidRPr="005D14E5" w:rsidRDefault="005D14E5" w:rsidP="008D3B24">
      <w:pPr>
        <w:jc w:val="both"/>
        <w:rPr>
          <w:rFonts w:ascii="Times New Roman" w:hAnsi="Times New Roman" w:cs="Times New Roman"/>
          <w:sz w:val="24"/>
          <w:szCs w:val="24"/>
          <w:lang w:val="sr-Latn-ME"/>
        </w:rPr>
      </w:pPr>
    </w:p>
    <w:p w:rsidR="005D14E5" w:rsidRDefault="005D14E5" w:rsidP="008D3B24">
      <w:pPr>
        <w:jc w:val="both"/>
        <w:rPr>
          <w:rFonts w:ascii="Times New Roman" w:hAnsi="Times New Roman" w:cs="Times New Roman"/>
          <w:sz w:val="24"/>
          <w:szCs w:val="24"/>
          <w:lang w:val="sr-Latn-ME"/>
        </w:rPr>
      </w:pPr>
      <w:r w:rsidRPr="005D14E5">
        <w:rPr>
          <w:rFonts w:ascii="Times New Roman" w:hAnsi="Times New Roman" w:cs="Times New Roman"/>
          <w:sz w:val="24"/>
          <w:szCs w:val="24"/>
          <w:lang w:val="sr-Latn-ME"/>
        </w:rPr>
        <w:t>1.PUNOMOĆNIK TUŽIOCA JE DOSTAVIO SUDU FOTOKOPIJU PUNOMOĆJA KOJA NIJE OVJERENA. KAKO ĆE SUD POSTUPITI?</w:t>
      </w:r>
    </w:p>
    <w:p w:rsidR="005D14E5" w:rsidRPr="005D14E5" w:rsidRDefault="0074680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Fotokopija</w:t>
      </w:r>
      <w:r w:rsidR="00472F9A">
        <w:rPr>
          <w:rFonts w:ascii="Times New Roman" w:hAnsi="Times New Roman" w:cs="Times New Roman"/>
          <w:sz w:val="24"/>
          <w:szCs w:val="24"/>
          <w:lang w:val="sr-Latn-ME"/>
        </w:rPr>
        <w:t>, po pravilu</w:t>
      </w:r>
      <w:r w:rsidR="008E5515">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ne mora biti ovjerena.</w:t>
      </w:r>
      <w:r w:rsidR="00472F9A">
        <w:rPr>
          <w:rFonts w:ascii="Times New Roman" w:hAnsi="Times New Roman" w:cs="Times New Roman"/>
          <w:sz w:val="24"/>
          <w:szCs w:val="24"/>
          <w:lang w:val="sr-Latn-ME"/>
        </w:rPr>
        <w:t xml:space="preserve"> Izuzetno, ako sud posumnja u istinitost pisanog punomoćja, može rješenjem odrediti da se podnese ovjereno punomoćje.</w:t>
      </w:r>
    </w:p>
    <w:p w:rsidR="005D14E5" w:rsidRPr="005D14E5" w:rsidRDefault="005D14E5" w:rsidP="008D3B24">
      <w:pPr>
        <w:jc w:val="both"/>
        <w:rPr>
          <w:rFonts w:ascii="Times New Roman" w:hAnsi="Times New Roman" w:cs="Times New Roman"/>
          <w:sz w:val="24"/>
          <w:szCs w:val="24"/>
          <w:lang w:val="sr-Latn-ME"/>
        </w:rPr>
      </w:pPr>
      <w:r w:rsidRPr="005D14E5">
        <w:rPr>
          <w:rFonts w:ascii="Times New Roman" w:hAnsi="Times New Roman" w:cs="Times New Roman"/>
          <w:sz w:val="24"/>
          <w:szCs w:val="24"/>
          <w:lang w:val="sr-Latn-ME"/>
        </w:rPr>
        <w:t>2.TUŽILAC NIJE U ODREĐENOM ROKU DOSTAVIO SUDU TAČNU ADRESU TUŽENOG, A SUD JE NIJE MOGAO PRIBAVITI SLUŽBENIM PUTEM. KAKO ĆE SUD POSTUPITI?</w:t>
      </w:r>
    </w:p>
    <w:p w:rsidR="005D14E5" w:rsidRPr="005D14E5" w:rsidRDefault="00AC7966"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Sud ne može odbaciti tužbu protiv tuženog zbog toga što tužilac nije u određenom roku dostavio sudu tačnu adresu tuženog, a istu nije mogao pribaviti službenim putem ni sud koji vodi postupak. Sud je dužan postaviti tuženom privremenog zastupnika shodno odredbi člana 82.stav3. tač.1.ZPP, a dalje postupati po odredbi čl. 86. Zpp-a.</w:t>
      </w:r>
    </w:p>
    <w:p w:rsidR="005D14E5" w:rsidRPr="005D14E5" w:rsidRDefault="005D14E5" w:rsidP="008D3B24">
      <w:pPr>
        <w:jc w:val="both"/>
        <w:rPr>
          <w:rFonts w:ascii="Times New Roman" w:hAnsi="Times New Roman" w:cs="Times New Roman"/>
          <w:sz w:val="24"/>
          <w:szCs w:val="24"/>
          <w:lang w:val="sr-Latn-ME"/>
        </w:rPr>
      </w:pPr>
      <w:r w:rsidRPr="005D14E5">
        <w:rPr>
          <w:rFonts w:ascii="Times New Roman" w:hAnsi="Times New Roman" w:cs="Times New Roman"/>
          <w:sz w:val="24"/>
          <w:szCs w:val="24"/>
          <w:lang w:val="sr-Latn-ME"/>
        </w:rPr>
        <w:t>3.TUŽILAC JE PREDAO TUŽBU KOJOM TRAŽI DA SE UTVRDI POSTOJANJE UGOVORA O JEMSTVU. TUŽBA JE PODNIJETA POSLIJE DOSPJELOSTI OBAVEZE. KAKO ĆE SUD POSTUPITI?</w:t>
      </w:r>
    </w:p>
    <w:p w:rsidR="005D14E5" w:rsidRPr="005D14E5" w:rsidRDefault="00B6627B"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Sud će takvu tužbu odbaciti.</w:t>
      </w:r>
      <w:r w:rsidR="00D50CAE">
        <w:rPr>
          <w:rFonts w:ascii="Times New Roman" w:hAnsi="Times New Roman" w:cs="Times New Roman"/>
          <w:sz w:val="24"/>
          <w:szCs w:val="24"/>
          <w:lang w:val="sr-Latn-ME"/>
        </w:rPr>
        <w:t xml:space="preserve"> Odredbom čla</w:t>
      </w:r>
      <w:r w:rsidR="00737FAD">
        <w:rPr>
          <w:rFonts w:ascii="Times New Roman" w:hAnsi="Times New Roman" w:cs="Times New Roman"/>
          <w:sz w:val="24"/>
          <w:szCs w:val="24"/>
          <w:lang w:val="sr-Latn-ME"/>
        </w:rPr>
        <w:t>na 188.st.2.Zpp-a je predviđeno,da se ova tužba može podići... kad tužilac ima pravni interes da sud utvrdi postojanje, odnosno nepostojanje nekog prava ili pravnog odnosa ili istinitost, odnosno neistinitost neke isprave prije dospjelosti zahtjeva za činidbu iz istog odnosa.</w:t>
      </w:r>
    </w:p>
    <w:p w:rsidR="005D14E5" w:rsidRPr="005D14E5" w:rsidRDefault="005D14E5" w:rsidP="008D3B24">
      <w:pPr>
        <w:jc w:val="both"/>
        <w:rPr>
          <w:rFonts w:ascii="Times New Roman" w:hAnsi="Times New Roman" w:cs="Times New Roman"/>
          <w:sz w:val="24"/>
          <w:szCs w:val="24"/>
          <w:lang w:val="sr-Latn-ME"/>
        </w:rPr>
      </w:pPr>
    </w:p>
    <w:p w:rsidR="005D14E5" w:rsidRDefault="005D14E5" w:rsidP="008D3B24">
      <w:pPr>
        <w:jc w:val="both"/>
        <w:rPr>
          <w:rFonts w:ascii="Times New Roman" w:hAnsi="Times New Roman" w:cs="Times New Roman"/>
          <w:sz w:val="24"/>
          <w:szCs w:val="24"/>
          <w:lang w:val="sr-Latn-ME"/>
        </w:rPr>
      </w:pPr>
      <w:r w:rsidRPr="005D14E5">
        <w:rPr>
          <w:rFonts w:ascii="Times New Roman" w:hAnsi="Times New Roman" w:cs="Times New Roman"/>
          <w:sz w:val="24"/>
          <w:szCs w:val="24"/>
          <w:lang w:val="sr-Latn-ME"/>
        </w:rPr>
        <w:t>4.TUŽILAC JE ŽALBU ULOŽIO 20 12.2019. POSLJEDNJI DAN ROKA ZA ULAGANJE ŽALBE JE BIO 19</w:t>
      </w:r>
      <w:r w:rsidR="008D3B24">
        <w:rPr>
          <w:rFonts w:ascii="Times New Roman" w:hAnsi="Times New Roman" w:cs="Times New Roman"/>
          <w:sz w:val="24"/>
          <w:szCs w:val="24"/>
          <w:lang w:val="sr-Latn-ME"/>
        </w:rPr>
        <w:t xml:space="preserve"> DECEMBAR, N</w:t>
      </w:r>
      <w:r w:rsidRPr="005D14E5">
        <w:rPr>
          <w:rFonts w:ascii="Times New Roman" w:hAnsi="Times New Roman" w:cs="Times New Roman"/>
          <w:sz w:val="24"/>
          <w:szCs w:val="24"/>
          <w:lang w:val="sr-Latn-ME"/>
        </w:rPr>
        <w:t>IKOLJDAN, KOJI JE ON SLAVIO. KAKO ĆE SUD POSTUPITI?</w:t>
      </w:r>
    </w:p>
    <w:p w:rsidR="00746801" w:rsidRDefault="0074680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Sud je odbacio žalbu tužioca kao neblagovremenu, jer vjerski praznik se ne</w:t>
      </w:r>
      <w:r w:rsidR="00031B77">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računa kao državni.</w:t>
      </w:r>
    </w:p>
    <w:p w:rsidR="00431621" w:rsidRDefault="00431621" w:rsidP="008D3B24">
      <w:pPr>
        <w:jc w:val="both"/>
        <w:rPr>
          <w:rFonts w:ascii="Times New Roman" w:hAnsi="Times New Roman" w:cs="Times New Roman"/>
          <w:sz w:val="24"/>
          <w:szCs w:val="24"/>
          <w:lang w:val="sr-Latn-ME"/>
        </w:rPr>
      </w:pPr>
    </w:p>
    <w:p w:rsidR="00431621" w:rsidRDefault="0043162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5.O KOJOJ VRSTI SUPARNIČARSTVA SE RADI U PARNICI RADI UTVRĐENJA DA POSTOJI PRAVO SLUŽBENOSTI PROLAZA PREKO NEPOKRETNOSTI KOJE SU SUVLASNIŠTVO TUŽENIH?</w:t>
      </w:r>
    </w:p>
    <w:p w:rsidR="00431621" w:rsidRDefault="0074680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Jedinstveno </w:t>
      </w:r>
      <w:r w:rsidR="00B6627B">
        <w:rPr>
          <w:rFonts w:ascii="Times New Roman" w:hAnsi="Times New Roman" w:cs="Times New Roman"/>
          <w:sz w:val="24"/>
          <w:szCs w:val="24"/>
          <w:lang w:val="sr-Latn-ME"/>
        </w:rPr>
        <w:t>(nužno)</w:t>
      </w:r>
      <w:r>
        <w:rPr>
          <w:rFonts w:ascii="Times New Roman" w:hAnsi="Times New Roman" w:cs="Times New Roman"/>
          <w:sz w:val="24"/>
          <w:szCs w:val="24"/>
          <w:lang w:val="sr-Latn-ME"/>
        </w:rPr>
        <w:t>suparničarstvo.</w:t>
      </w:r>
    </w:p>
    <w:p w:rsidR="00431621" w:rsidRDefault="00431621" w:rsidP="008D3B24">
      <w:pPr>
        <w:jc w:val="both"/>
        <w:rPr>
          <w:rFonts w:ascii="Times New Roman" w:hAnsi="Times New Roman" w:cs="Times New Roman"/>
          <w:sz w:val="24"/>
          <w:szCs w:val="24"/>
          <w:lang w:val="sr-Latn-ME"/>
        </w:rPr>
      </w:pPr>
    </w:p>
    <w:p w:rsidR="00431621" w:rsidRDefault="0043162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6.KO SU STRANKE U PARNICI ZA UTVRĐIVANJE POSTOJANJA BRAKA AKO SU OBA SUPRUŽNIKA UMRLA I KAKVIM SE SUPARNIČARIMA TA LICA SMATRAJU?</w:t>
      </w:r>
    </w:p>
    <w:p w:rsidR="00751DC9" w:rsidRDefault="008E5515"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Nužni suparničari</w:t>
      </w:r>
      <w:r w:rsidR="00746801">
        <w:rPr>
          <w:rFonts w:ascii="Times New Roman" w:hAnsi="Times New Roman" w:cs="Times New Roman"/>
          <w:sz w:val="24"/>
          <w:szCs w:val="24"/>
          <w:lang w:val="sr-Latn-ME"/>
        </w:rPr>
        <w:t>.</w:t>
      </w:r>
    </w:p>
    <w:p w:rsidR="00751DC9" w:rsidRDefault="00751DC9" w:rsidP="008D3B24">
      <w:pPr>
        <w:jc w:val="both"/>
        <w:rPr>
          <w:rFonts w:ascii="Times New Roman" w:hAnsi="Times New Roman" w:cs="Times New Roman"/>
          <w:sz w:val="24"/>
          <w:szCs w:val="24"/>
          <w:lang w:val="sr-Latn-ME"/>
        </w:rPr>
      </w:pPr>
    </w:p>
    <w:p w:rsidR="00751DC9" w:rsidRDefault="00751DC9"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7.U PARNICI, KOJA SE VODI NAKON OSUDE</w:t>
      </w:r>
      <w:r w:rsidR="008D3B24">
        <w:rPr>
          <w:rFonts w:ascii="Times New Roman" w:hAnsi="Times New Roman" w:cs="Times New Roman"/>
          <w:sz w:val="24"/>
          <w:szCs w:val="24"/>
          <w:lang w:val="sr-Latn-ME"/>
        </w:rPr>
        <w:t xml:space="preserve"> KRIVIČNOG SUDA</w:t>
      </w:r>
      <w:r>
        <w:rPr>
          <w:rFonts w:ascii="Times New Roman" w:hAnsi="Times New Roman" w:cs="Times New Roman"/>
          <w:sz w:val="24"/>
          <w:szCs w:val="24"/>
          <w:lang w:val="sr-Latn-ME"/>
        </w:rPr>
        <w:t xml:space="preserve"> ZA TJELESNU POVREDU, TUŽENI OSPORAVA TUŽIOČEVU TVRDNJU TVRDNJU DA SU MU TOM POVREDOM PROUZROKOVANI TROŠKOVI OKO LIJEČENJA I GUBITKA PLATE. KAKO ĆE SUD POSTUPITI?</w:t>
      </w:r>
    </w:p>
    <w:p w:rsidR="00751DC9" w:rsidRDefault="00031B77"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U parnici nakon osude za tjelesnu povredu, tuženi može da ospori tužiočevu tvrdnju da su tom povredom prouzrokovani troškovi oko liječenja i gubitka plate. To iz razloga, jer ove posledice ne predstavljaju obilježja krivičnog djela tjelesne povrede, pa i ako i budu osporene, tužilac snosi teret dokazivanja da su one nastupile, i kad ih je krivični sud presudom utvrdio.</w:t>
      </w:r>
    </w:p>
    <w:p w:rsidR="00751DC9" w:rsidRDefault="00751DC9" w:rsidP="008D3B24">
      <w:pPr>
        <w:jc w:val="both"/>
        <w:rPr>
          <w:rFonts w:ascii="Times New Roman" w:hAnsi="Times New Roman" w:cs="Times New Roman"/>
          <w:sz w:val="24"/>
          <w:szCs w:val="24"/>
          <w:lang w:val="sr-Latn-ME"/>
        </w:rPr>
      </w:pPr>
    </w:p>
    <w:p w:rsidR="00751DC9" w:rsidRDefault="00751DC9"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8.TUŽILAC JE PODNIO TUŽBU PREMA PRAVILU ACTOR SEQUITUR FORUM REI. TUŽENI JE PODNIO PRIGOVOR NA PRIPREMNOM ROČIŠTU DA SU STRANKE UGOVORILE ARBITRAŽU U TOM SPORU. KAKO SUD POSTUPA?</w:t>
      </w:r>
    </w:p>
    <w:p w:rsidR="00751DC9" w:rsidRDefault="0017759E"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Ako su stranke ugovorile arbitražu, sud kojem je tužba podnesena u istom sporu i između istih stranaka, na prigovor tuženog oglasiće se nenadležnim, ukinuće sprovedene radnje i odbaciti tužbu, osim ako nađe da je ugovor nije punovažan, da je prestao da važi ili da se ne može ispuniti.</w:t>
      </w:r>
      <w:r w:rsidR="004B74A9">
        <w:rPr>
          <w:rFonts w:ascii="Times New Roman" w:hAnsi="Times New Roman" w:cs="Times New Roman"/>
          <w:sz w:val="24"/>
          <w:szCs w:val="24"/>
          <w:lang w:val="sr-Latn-ME"/>
        </w:rPr>
        <w:t>Prigovor tuženi može da podnese najkasnije u odgovoru na tužbu.</w:t>
      </w:r>
      <w:r w:rsidR="00656278">
        <w:rPr>
          <w:rFonts w:ascii="Times New Roman" w:hAnsi="Times New Roman" w:cs="Times New Roman"/>
          <w:sz w:val="24"/>
          <w:szCs w:val="24"/>
          <w:lang w:val="sr-Latn-ME"/>
        </w:rPr>
        <w:t xml:space="preserve"> Ako tuženi u roku koji je propisan u odredbi čl.21.st.2.ZPP ne istakne prigovor nenadležnosti zbog postojanja ugovora o arbitraž</w:t>
      </w:r>
      <w:r w:rsidR="00C778D6">
        <w:rPr>
          <w:rFonts w:ascii="Times New Roman" w:hAnsi="Times New Roman" w:cs="Times New Roman"/>
          <w:sz w:val="24"/>
          <w:szCs w:val="24"/>
          <w:lang w:val="sr-Latn-ME"/>
        </w:rPr>
        <w:t>i, sud će voditi postupak.</w:t>
      </w:r>
    </w:p>
    <w:p w:rsidR="00751DC9" w:rsidRDefault="00751DC9"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9.TUŽENI JE IZOSTAO SA PRIPREMNOG ROČIŠTA, NIJE OSPORIO TUŽBENI ZAHTJEV. KAKO ĆE SUD POSTUPITI SA TVRDNJAMA TUŽIOCA?</w:t>
      </w:r>
    </w:p>
    <w:p w:rsidR="00751DC9" w:rsidRDefault="005F4547"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Sud uzima činjenične tvrdnje prisutnog tužioca u podlogu odluke bez dokazivanja-princip afirmativne litiskontestacije-don</w:t>
      </w:r>
      <w:r w:rsidR="00737FAD">
        <w:rPr>
          <w:rFonts w:ascii="Times New Roman" w:hAnsi="Times New Roman" w:cs="Times New Roman"/>
          <w:sz w:val="24"/>
          <w:szCs w:val="24"/>
          <w:lang w:val="sr-Latn-ME"/>
        </w:rPr>
        <w:t>ošenje presude zbog propuštanja uz ostale uslove.</w:t>
      </w:r>
      <w:r>
        <w:rPr>
          <w:rFonts w:ascii="Times New Roman" w:hAnsi="Times New Roman" w:cs="Times New Roman"/>
          <w:sz w:val="24"/>
          <w:szCs w:val="24"/>
          <w:lang w:val="sr-Latn-ME"/>
        </w:rPr>
        <w:t xml:space="preserve"> Ovo je jedini izuzetak od principa negati</w:t>
      </w:r>
      <w:r w:rsidR="00031B77">
        <w:rPr>
          <w:rFonts w:ascii="Times New Roman" w:hAnsi="Times New Roman" w:cs="Times New Roman"/>
          <w:sz w:val="24"/>
          <w:szCs w:val="24"/>
          <w:lang w:val="sr-Latn-ME"/>
        </w:rPr>
        <w:t>vne litiskontestacije u nas.</w:t>
      </w:r>
      <w:r w:rsidR="0017759E">
        <w:rPr>
          <w:rFonts w:ascii="Times New Roman" w:hAnsi="Times New Roman" w:cs="Times New Roman"/>
          <w:sz w:val="24"/>
          <w:szCs w:val="24"/>
          <w:lang w:val="sr-Latn-ME"/>
        </w:rPr>
        <w:t xml:space="preserve"> Udžbenik, str.136</w:t>
      </w:r>
    </w:p>
    <w:p w:rsidR="00CE559E" w:rsidRDefault="00751DC9"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10.TUŽENI JE NA GLAVNOJ RASPRAVI PODNIO PROTIVTUŽBU ZA PREBIJANJEM POTRAŽIVANJA. KAKO ĆE SUD ODLUČITI?</w:t>
      </w:r>
    </w:p>
    <w:p w:rsidR="004B74A9" w:rsidRDefault="00642081" w:rsidP="008D3B24">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Tuženi može u odgovoru na tužbu, a najkasnije na pripremnom ročištu, odnosno na prvom ročištu za glavnu raspravu, ako pripremno nije održano podnijeti ovu </w:t>
      </w:r>
      <w:r w:rsidR="008E5515">
        <w:rPr>
          <w:rFonts w:ascii="Times New Roman" w:hAnsi="Times New Roman" w:cs="Times New Roman"/>
          <w:sz w:val="24"/>
          <w:szCs w:val="24"/>
          <w:lang w:val="sr-Latn-ME"/>
        </w:rPr>
        <w:t>protiv</w:t>
      </w:r>
      <w:r>
        <w:rPr>
          <w:rFonts w:ascii="Times New Roman" w:hAnsi="Times New Roman" w:cs="Times New Roman"/>
          <w:sz w:val="24"/>
          <w:szCs w:val="24"/>
          <w:lang w:val="sr-Latn-ME"/>
        </w:rPr>
        <w:t xml:space="preserve">tužbu. Nakon održavanja ročišta, protivtužba se može podnijeti samo uz pristanak  tužioca. </w:t>
      </w:r>
      <w:r w:rsidR="008E5515">
        <w:rPr>
          <w:rFonts w:ascii="Times New Roman" w:hAnsi="Times New Roman" w:cs="Times New Roman"/>
          <w:sz w:val="24"/>
          <w:szCs w:val="24"/>
          <w:lang w:val="sr-Latn-ME"/>
        </w:rPr>
        <w:t xml:space="preserve">Naravno, i tada sud će po njoj postupati. </w:t>
      </w:r>
      <w:r>
        <w:rPr>
          <w:rFonts w:ascii="Times New Roman" w:hAnsi="Times New Roman" w:cs="Times New Roman"/>
          <w:sz w:val="24"/>
          <w:szCs w:val="24"/>
          <w:lang w:val="sr-Latn-ME"/>
        </w:rPr>
        <w:t>Protivtužba se ne može podnijeti ako je za zahtjev iz protivtužbe stvarno nadležan sud druge vrste.</w:t>
      </w:r>
    </w:p>
    <w:p w:rsidR="00CE559E" w:rsidRDefault="00CE559E" w:rsidP="00CE559E">
      <w:pPr>
        <w:rPr>
          <w:rFonts w:ascii="Times New Roman" w:hAnsi="Times New Roman" w:cs="Times New Roman"/>
          <w:sz w:val="24"/>
          <w:szCs w:val="24"/>
          <w:lang w:val="sr-Latn-ME"/>
        </w:rPr>
      </w:pPr>
    </w:p>
    <w:p w:rsidR="0017759E" w:rsidRDefault="0017759E" w:rsidP="0017759E">
      <w:pPr>
        <w:jc w:val="both"/>
        <w:rPr>
          <w:rFonts w:ascii="Times New Roman" w:hAnsi="Times New Roman" w:cs="Times New Roman"/>
          <w:sz w:val="24"/>
          <w:szCs w:val="24"/>
          <w:lang w:val="sr-Latn-ME"/>
        </w:rPr>
      </w:pPr>
      <w:r>
        <w:rPr>
          <w:rFonts w:ascii="Times New Roman" w:hAnsi="Times New Roman" w:cs="Times New Roman"/>
          <w:sz w:val="24"/>
          <w:szCs w:val="24"/>
          <w:lang w:val="sr-Latn-ME"/>
        </w:rPr>
        <w:t>Broj tačnih odgovora za ocjenu E, a to je šest odgovora, ukupno iznosi 20 poena, a broj tačnih odgovora za ocjenu A je deset tačnih, to je ukupno 47 poena- za kolokvijum.</w:t>
      </w:r>
    </w:p>
    <w:p w:rsidR="0017759E" w:rsidRDefault="0017759E" w:rsidP="0017759E">
      <w:pPr>
        <w:jc w:val="both"/>
        <w:rPr>
          <w:rFonts w:ascii="Times New Roman" w:hAnsi="Times New Roman" w:cs="Times New Roman"/>
          <w:sz w:val="24"/>
          <w:szCs w:val="24"/>
          <w:lang w:val="sr-Latn-ME"/>
        </w:rPr>
      </w:pPr>
      <w:r>
        <w:rPr>
          <w:rFonts w:ascii="Times New Roman" w:hAnsi="Times New Roman" w:cs="Times New Roman"/>
          <w:sz w:val="24"/>
          <w:szCs w:val="24"/>
          <w:lang w:val="sr-Latn-ME"/>
        </w:rPr>
        <w:lastRenderedPageBreak/>
        <w:t>Broj tačnih odgovora za ocjenu E, a to je šest odgovora, ukupno iznosi 30 poena, a broj tačnih odgovora za ocjenu A je deset tačnih, to je ukupno 47 poena-završni ispit.</w:t>
      </w:r>
    </w:p>
    <w:p w:rsidR="0017759E" w:rsidRDefault="0017759E" w:rsidP="0017759E">
      <w:pPr>
        <w:jc w:val="both"/>
        <w:rPr>
          <w:rFonts w:ascii="Times New Roman" w:hAnsi="Times New Roman" w:cs="Times New Roman"/>
          <w:sz w:val="24"/>
          <w:szCs w:val="24"/>
          <w:lang w:val="sr-Latn-ME"/>
        </w:rPr>
      </w:pPr>
      <w:r>
        <w:rPr>
          <w:rFonts w:ascii="Times New Roman" w:hAnsi="Times New Roman" w:cs="Times New Roman"/>
          <w:sz w:val="24"/>
          <w:szCs w:val="24"/>
          <w:lang w:val="sr-Latn-ME"/>
        </w:rPr>
        <w:t>Maksimalan broj poena za seminarski rad je 6.</w:t>
      </w:r>
    </w:p>
    <w:p w:rsidR="0017759E" w:rsidRDefault="0017759E" w:rsidP="0017759E">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47+47+6=100 </w:t>
      </w:r>
    </w:p>
    <w:p w:rsidR="0017759E" w:rsidRDefault="0017759E" w:rsidP="0017759E">
      <w:pPr>
        <w:rPr>
          <w:lang w:val="sr-Latn-ME"/>
        </w:rPr>
      </w:pPr>
      <w:r>
        <w:rPr>
          <w:lang w:val="sr-Latn-ME"/>
        </w:rPr>
        <w:t>Broj odgovora za prelaznu ocjenu E je 6  tačnih odgovora što nosi 20 poena, sedam tačnih odgovora bi nosilo 27 poena što odgovara ocjeni D, osam tačnih odgovora je 34 poena što odgovara ocjeni C, devet tačnih odgovora je 41 poena što odgovara ocjeni B i deset tačnih odgovora je 47 poena što je ocjena A.</w:t>
      </w:r>
    </w:p>
    <w:p w:rsidR="0017759E" w:rsidRDefault="0017759E" w:rsidP="0017759E">
      <w:pPr>
        <w:rPr>
          <w:lang w:val="sr-Latn-ME"/>
        </w:rPr>
      </w:pPr>
      <w:r>
        <w:rPr>
          <w:lang w:val="sr-Latn-ME"/>
        </w:rPr>
        <w:t>Dvadeset poena nosi šest tačnih odgovora, odnosno svaki po 3,33 poena, stim što su negde poeni zaokružni:</w:t>
      </w:r>
    </w:p>
    <w:p w:rsidR="0017759E" w:rsidRDefault="0017759E" w:rsidP="0017759E">
      <w:pPr>
        <w:rPr>
          <w:lang w:val="sr-Latn-ME"/>
        </w:rPr>
      </w:pPr>
      <w:r>
        <w:rPr>
          <w:lang w:val="sr-Latn-ME"/>
        </w:rPr>
        <w:t>Jedan odgovor:3,33 zaokruženo na 4; dva:6,6 zaokruženo na 7; tri:9,9 zaokruženo na 10; četiri; 13,2 zaokruženo na 13; pet:16,5 zaokruženo na 17 i  još jedan odgovor 3 boda do 20.</w:t>
      </w:r>
    </w:p>
    <w:p w:rsidR="00D50CAE" w:rsidRDefault="00D50CAE" w:rsidP="00CE559E">
      <w:pPr>
        <w:rPr>
          <w:rFonts w:ascii="Times New Roman" w:hAnsi="Times New Roman" w:cs="Times New Roman"/>
          <w:sz w:val="24"/>
          <w:szCs w:val="24"/>
          <w:lang w:val="sr-Latn-ME"/>
        </w:rPr>
      </w:pPr>
      <w:r>
        <w:rPr>
          <w:rFonts w:ascii="Times New Roman" w:hAnsi="Times New Roman" w:cs="Times New Roman"/>
          <w:sz w:val="24"/>
          <w:szCs w:val="24"/>
          <w:lang w:val="sr-Latn-ME"/>
        </w:rPr>
        <w:t>REZULTATI KOLOKVIJUMA</w:t>
      </w:r>
    </w:p>
    <w:p w:rsidR="00C778D6" w:rsidRDefault="00C778D6" w:rsidP="00D50CAE">
      <w:pPr>
        <w:jc w:val="both"/>
        <w:rPr>
          <w:rFonts w:ascii="Times New Roman" w:hAnsi="Times New Roman" w:cs="Times New Roman"/>
          <w:sz w:val="24"/>
          <w:szCs w:val="24"/>
          <w:lang w:val="sr-Latn-ME"/>
        </w:rPr>
      </w:pPr>
      <w:r>
        <w:rPr>
          <w:rFonts w:ascii="Times New Roman" w:hAnsi="Times New Roman" w:cs="Times New Roman"/>
          <w:sz w:val="24"/>
          <w:szCs w:val="24"/>
          <w:lang w:val="sr-Latn-ME"/>
        </w:rPr>
        <w:t>TUZOVIĆ 7 POENA, STRIKOVIĆ 20, ĆIROVIĆ, 10, MINIĆ 7, KEKIĆ 4, KUĆ 10, BAJČETA 10, STOJANOVIĆ 7, ŽUGIĆ 13, VELJIĆ 13, JOVOVIĆ 20, RAMOVIĆ 10, BRAJKOVIĆ 10, POPOVIĆ K. 7, NOVAKOVIĆ 7, MARSENIĆ 13, ADŽIĆ 13, SIMUNOVIČ 13, BOJANIĆ 13, BOŠKOVIĆ 27, VRANIĆ 10, MARTINOVIĆ 7, DRAŠKOVIĆ 20, ŠĆEPANOVIĆ 13, RADUNOVIĆ 10, ŠILJAK 10, RASP</w:t>
      </w:r>
      <w:r w:rsidR="00C954ED">
        <w:rPr>
          <w:rFonts w:ascii="Times New Roman" w:hAnsi="Times New Roman" w:cs="Times New Roman"/>
          <w:sz w:val="24"/>
          <w:szCs w:val="24"/>
          <w:lang w:val="sr-Latn-ME"/>
        </w:rPr>
        <w:t xml:space="preserve">OPOVIĆ 20, </w:t>
      </w:r>
      <w:r w:rsidR="00D50CAE">
        <w:rPr>
          <w:rFonts w:ascii="Times New Roman" w:hAnsi="Times New Roman" w:cs="Times New Roman"/>
          <w:sz w:val="24"/>
          <w:szCs w:val="24"/>
          <w:lang w:val="sr-Latn-ME"/>
        </w:rPr>
        <w:t>GORANOVIĆ 13, KAPA 27</w:t>
      </w:r>
      <w:r>
        <w:rPr>
          <w:rFonts w:ascii="Times New Roman" w:hAnsi="Times New Roman" w:cs="Times New Roman"/>
          <w:sz w:val="24"/>
          <w:szCs w:val="24"/>
          <w:lang w:val="sr-Latn-ME"/>
        </w:rPr>
        <w:t>, PEJOVIĆ 10, IVANOVIĆ 13, ŠOŠKIĆ 10, VULAŠ 10, RUDIĆ 10, DOBRILOVIĆ 7, VELIČKOVIĆ 20, PAVIĆEVIĆ 20</w:t>
      </w:r>
      <w:r w:rsidR="00D50CAE">
        <w:rPr>
          <w:rFonts w:ascii="Times New Roman" w:hAnsi="Times New Roman" w:cs="Times New Roman"/>
          <w:sz w:val="24"/>
          <w:szCs w:val="24"/>
          <w:lang w:val="sr-Latn-ME"/>
        </w:rPr>
        <w:t>, DROBAC 10, CEROVIĆ 10</w:t>
      </w:r>
    </w:p>
    <w:p w:rsidR="00D50CAE" w:rsidRDefault="00D50CAE" w:rsidP="00D50CAE">
      <w:pPr>
        <w:jc w:val="both"/>
        <w:rPr>
          <w:rFonts w:ascii="Times New Roman" w:hAnsi="Times New Roman" w:cs="Times New Roman"/>
          <w:sz w:val="24"/>
          <w:szCs w:val="24"/>
          <w:lang w:val="sr-Latn-ME"/>
        </w:rPr>
      </w:pPr>
      <w:r>
        <w:rPr>
          <w:rFonts w:ascii="Times New Roman" w:hAnsi="Times New Roman" w:cs="Times New Roman"/>
          <w:sz w:val="24"/>
          <w:szCs w:val="24"/>
          <w:lang w:val="sr-Latn-ME"/>
        </w:rPr>
        <w:t>SVA PITANJA I KOMENTARISANJE KOLOKVIJUMA ĆE BITI DOSTUPNO NA ZOOM-U U PONEDELJAK TOKOM ČASOVA ZA NASTAVU</w:t>
      </w:r>
      <w:r w:rsidR="00C954ED">
        <w:rPr>
          <w:rFonts w:ascii="Times New Roman" w:hAnsi="Times New Roman" w:cs="Times New Roman"/>
          <w:sz w:val="24"/>
          <w:szCs w:val="24"/>
          <w:lang w:val="sr-Latn-ME"/>
        </w:rPr>
        <w:t>.</w:t>
      </w:r>
      <w:bookmarkStart w:id="0" w:name="_GoBack"/>
      <w:bookmarkEnd w:id="0"/>
    </w:p>
    <w:p w:rsidR="00D50CAE" w:rsidRPr="00CE559E" w:rsidRDefault="00D50CAE" w:rsidP="00D50CAE">
      <w:pPr>
        <w:jc w:val="both"/>
        <w:rPr>
          <w:rFonts w:ascii="Times New Roman" w:hAnsi="Times New Roman" w:cs="Times New Roman"/>
          <w:sz w:val="24"/>
          <w:szCs w:val="24"/>
          <w:lang w:val="sr-Latn-ME"/>
        </w:rPr>
      </w:pPr>
    </w:p>
    <w:sectPr w:rsidR="00D50CAE" w:rsidRPr="00CE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E5"/>
    <w:rsid w:val="00031B77"/>
    <w:rsid w:val="00117E46"/>
    <w:rsid w:val="0017759E"/>
    <w:rsid w:val="002C061F"/>
    <w:rsid w:val="00431621"/>
    <w:rsid w:val="00472F9A"/>
    <w:rsid w:val="004B74A9"/>
    <w:rsid w:val="0057049C"/>
    <w:rsid w:val="005D14E5"/>
    <w:rsid w:val="005F4547"/>
    <w:rsid w:val="00642081"/>
    <w:rsid w:val="00656278"/>
    <w:rsid w:val="006A1936"/>
    <w:rsid w:val="00737FAD"/>
    <w:rsid w:val="00746801"/>
    <w:rsid w:val="00751DC9"/>
    <w:rsid w:val="008D3B24"/>
    <w:rsid w:val="008E5515"/>
    <w:rsid w:val="00AB38BE"/>
    <w:rsid w:val="00AC7966"/>
    <w:rsid w:val="00B6627B"/>
    <w:rsid w:val="00C778D6"/>
    <w:rsid w:val="00C954ED"/>
    <w:rsid w:val="00CE559E"/>
    <w:rsid w:val="00D50CAE"/>
    <w:rsid w:val="00F3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4CD0"/>
  <w15:chartTrackingRefBased/>
  <w15:docId w15:val="{557BD204-89CD-4E9B-A5E1-426FDF2F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5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92202">
      <w:bodyDiv w:val="1"/>
      <w:marLeft w:val="0"/>
      <w:marRight w:val="0"/>
      <w:marTop w:val="0"/>
      <w:marBottom w:val="0"/>
      <w:divBdr>
        <w:top w:val="none" w:sz="0" w:space="0" w:color="auto"/>
        <w:left w:val="none" w:sz="0" w:space="0" w:color="auto"/>
        <w:bottom w:val="none" w:sz="0" w:space="0" w:color="auto"/>
        <w:right w:val="none" w:sz="0" w:space="0" w:color="auto"/>
      </w:divBdr>
    </w:div>
    <w:div w:id="12714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29</cp:revision>
  <dcterms:created xsi:type="dcterms:W3CDTF">2020-05-01T11:53:00Z</dcterms:created>
  <dcterms:modified xsi:type="dcterms:W3CDTF">2020-05-05T18:50:00Z</dcterms:modified>
</cp:coreProperties>
</file>