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35" w:rsidRPr="009D1488" w:rsidRDefault="00F20C2F" w:rsidP="008553C1">
      <w:pPr>
        <w:jc w:val="center"/>
        <w:rPr>
          <w:b/>
          <w:u w:val="single"/>
        </w:rPr>
      </w:pPr>
      <w:r>
        <w:rPr>
          <w:b/>
          <w:u w:val="single"/>
        </w:rPr>
        <w:t>Ispitna pitanja</w:t>
      </w:r>
    </w:p>
    <w:p w:rsidR="008553C1" w:rsidRDefault="008553C1" w:rsidP="003C4883">
      <w:pPr>
        <w:jc w:val="both"/>
      </w:pPr>
    </w:p>
    <w:p w:rsidR="008553C1" w:rsidRDefault="008553C1" w:rsidP="008553C1">
      <w:pPr>
        <w:pStyle w:val="ListParagraph"/>
        <w:numPr>
          <w:ilvl w:val="0"/>
          <w:numId w:val="1"/>
        </w:numPr>
        <w:jc w:val="both"/>
      </w:pPr>
      <w:r>
        <w:t>Ekonomija rada kao disciplina</w:t>
      </w:r>
    </w:p>
    <w:p w:rsidR="008553C1" w:rsidRDefault="000C57B2" w:rsidP="008553C1">
      <w:pPr>
        <w:pStyle w:val="ListParagraph"/>
        <w:numPr>
          <w:ilvl w:val="0"/>
          <w:numId w:val="1"/>
        </w:numPr>
        <w:jc w:val="both"/>
      </w:pPr>
      <w:r>
        <w:t>Odluka o izboru između rada i dokolice – osnovni model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Efekat dohotka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Efekat supstitucije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Efekti dohotka i supstitucije koji proizilaze iz porasta nadnice</w:t>
      </w:r>
    </w:p>
    <w:p w:rsidR="008553C1" w:rsidRDefault="008553C1" w:rsidP="008553C1">
      <w:pPr>
        <w:pStyle w:val="ListParagraph"/>
        <w:numPr>
          <w:ilvl w:val="0"/>
          <w:numId w:val="1"/>
        </w:numPr>
        <w:jc w:val="both"/>
      </w:pPr>
      <w:r>
        <w:t>Kratkoročna funkcija proizvodnje preduzeća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Kratkoročna tražnja za radom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Dugoročna tražnja za radom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Tržišna tražnja za radom</w:t>
      </w:r>
    </w:p>
    <w:p w:rsidR="008553C1" w:rsidRDefault="008553C1" w:rsidP="008553C1">
      <w:pPr>
        <w:pStyle w:val="ListParagraph"/>
        <w:numPr>
          <w:ilvl w:val="0"/>
          <w:numId w:val="1"/>
        </w:numPr>
        <w:jc w:val="both"/>
      </w:pPr>
      <w:r>
        <w:t>Determinante elastičnosti tražnje za radom</w:t>
      </w:r>
    </w:p>
    <w:p w:rsidR="008553C1" w:rsidRDefault="008553C1" w:rsidP="008553C1">
      <w:pPr>
        <w:pStyle w:val="ListParagraph"/>
        <w:numPr>
          <w:ilvl w:val="0"/>
          <w:numId w:val="1"/>
        </w:numPr>
        <w:jc w:val="both"/>
      </w:pPr>
      <w:r>
        <w:t>Determinante tražnje za radom</w:t>
      </w:r>
    </w:p>
    <w:p w:rsidR="008553C1" w:rsidRDefault="008553C1" w:rsidP="008553C1">
      <w:pPr>
        <w:pStyle w:val="ListParagraph"/>
        <w:numPr>
          <w:ilvl w:val="0"/>
          <w:numId w:val="1"/>
        </w:numPr>
        <w:jc w:val="both"/>
      </w:pPr>
      <w:r>
        <w:t>Kratkoročna vs dugoročna tražnja za radom</w:t>
      </w:r>
    </w:p>
    <w:p w:rsidR="008553C1" w:rsidRDefault="008553C1" w:rsidP="008553C1">
      <w:pPr>
        <w:pStyle w:val="ListParagraph"/>
        <w:numPr>
          <w:ilvl w:val="0"/>
          <w:numId w:val="1"/>
        </w:numPr>
        <w:jc w:val="both"/>
      </w:pPr>
      <w:r>
        <w:t>Teorija savršeno konkurentnog tržišta rada</w:t>
      </w:r>
    </w:p>
    <w:p w:rsidR="00A33A80" w:rsidRDefault="00A33A80" w:rsidP="008553C1">
      <w:pPr>
        <w:pStyle w:val="ListParagraph"/>
        <w:numPr>
          <w:ilvl w:val="0"/>
          <w:numId w:val="1"/>
        </w:numPr>
        <w:jc w:val="both"/>
      </w:pPr>
      <w:r>
        <w:t>Efikasnost tržišta rada</w:t>
      </w:r>
    </w:p>
    <w:p w:rsidR="00533AF2" w:rsidRDefault="00533AF2" w:rsidP="008553C1">
      <w:pPr>
        <w:pStyle w:val="ListParagraph"/>
        <w:numPr>
          <w:ilvl w:val="0"/>
          <w:numId w:val="1"/>
        </w:numPr>
        <w:jc w:val="both"/>
      </w:pPr>
      <w:r>
        <w:t>Determinante ponude rada</w:t>
      </w:r>
    </w:p>
    <w:p w:rsidR="00D71100" w:rsidRDefault="00D71100" w:rsidP="008553C1">
      <w:pPr>
        <w:pStyle w:val="ListParagraph"/>
        <w:numPr>
          <w:ilvl w:val="0"/>
          <w:numId w:val="1"/>
        </w:numPr>
        <w:jc w:val="both"/>
      </w:pPr>
      <w:r>
        <w:t>Određivanje nadnica i zaposlenosti: monopol na tržištu proizvoda</w:t>
      </w:r>
    </w:p>
    <w:p w:rsidR="00533AF2" w:rsidRDefault="00533AF2" w:rsidP="008553C1">
      <w:pPr>
        <w:pStyle w:val="ListParagraph"/>
        <w:numPr>
          <w:ilvl w:val="0"/>
          <w:numId w:val="1"/>
        </w:numPr>
        <w:jc w:val="both"/>
      </w:pPr>
      <w:r>
        <w:t>Sindikati i određivanje nadnica</w:t>
      </w:r>
      <w:r w:rsidR="009E22AD">
        <w:t xml:space="preserve"> – povećanje tražnje za radom</w:t>
      </w:r>
    </w:p>
    <w:p w:rsidR="009E22AD" w:rsidRDefault="009E22AD" w:rsidP="008553C1">
      <w:pPr>
        <w:pStyle w:val="ListParagraph"/>
        <w:numPr>
          <w:ilvl w:val="0"/>
          <w:numId w:val="1"/>
        </w:numPr>
        <w:jc w:val="both"/>
      </w:pPr>
      <w:r>
        <w:t>Sindikati i određivanje nadnica – ograničavanje ponude rada</w:t>
      </w:r>
    </w:p>
    <w:p w:rsidR="009E22AD" w:rsidRDefault="009E22AD" w:rsidP="008553C1">
      <w:pPr>
        <w:pStyle w:val="ListParagraph"/>
        <w:numPr>
          <w:ilvl w:val="0"/>
          <w:numId w:val="1"/>
        </w:numPr>
        <w:jc w:val="both"/>
      </w:pPr>
      <w:r>
        <w:t>Sindikati i određivanje nadnica – pregovaranje</w:t>
      </w:r>
    </w:p>
    <w:p w:rsidR="00533AF2" w:rsidRDefault="000C57B2" w:rsidP="008553C1">
      <w:pPr>
        <w:pStyle w:val="ListParagraph"/>
        <w:numPr>
          <w:ilvl w:val="0"/>
          <w:numId w:val="1"/>
        </w:numPr>
        <w:jc w:val="both"/>
      </w:pPr>
      <w:r>
        <w:t>Hipoteze o slabljenju sindikalizma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Da li su sindikati maksimizatori?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Chamberlain-ov model pregovaranja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Implikacije modela pregovaranja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Uticaj oporezivanja dohotka pojedinca na nadnice i zaposlenost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Uticaj oporezivanja dohotka pojedinca na njegovu ponudu rada</w:t>
      </w:r>
    </w:p>
    <w:p w:rsidR="000C57B2" w:rsidRDefault="003C4883" w:rsidP="00B545F0">
      <w:pPr>
        <w:ind w:left="360"/>
        <w:jc w:val="both"/>
      </w:pPr>
      <w:bookmarkStart w:id="0" w:name="_GoBack"/>
      <w:r w:rsidRPr="003C4883">
        <w:rPr>
          <w:b/>
          <w:u w:val="single"/>
        </w:rPr>
        <w:t>LITERATURA</w:t>
      </w:r>
      <w:bookmarkEnd w:id="0"/>
      <w:r>
        <w:t xml:space="preserve">: </w:t>
      </w:r>
      <w:r w:rsidRPr="003C4883">
        <w:t>Campbell R. McConnell &amp; Stanley L. Brue, “Suvremena ekonomija rada“, Mate d.o.o.  Zagreb</w:t>
      </w:r>
    </w:p>
    <w:sectPr w:rsidR="000C5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EF1"/>
    <w:multiLevelType w:val="hybridMultilevel"/>
    <w:tmpl w:val="7A2C608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C1"/>
    <w:rsid w:val="000C57B2"/>
    <w:rsid w:val="003146EA"/>
    <w:rsid w:val="003C4883"/>
    <w:rsid w:val="00533AF2"/>
    <w:rsid w:val="008553C1"/>
    <w:rsid w:val="009D1488"/>
    <w:rsid w:val="009E22AD"/>
    <w:rsid w:val="00A33A80"/>
    <w:rsid w:val="00AA5C07"/>
    <w:rsid w:val="00AC7212"/>
    <w:rsid w:val="00B545F0"/>
    <w:rsid w:val="00B62935"/>
    <w:rsid w:val="00D71100"/>
    <w:rsid w:val="00F2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2021-05-11T18:00:00Z</dcterms:created>
  <dcterms:modified xsi:type="dcterms:W3CDTF">2021-05-12T15:52:00Z</dcterms:modified>
</cp:coreProperties>
</file>