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804" w:rsidRPr="00BA6E35" w:rsidRDefault="00AB6BBB" w:rsidP="00BA6E35">
      <w:pPr>
        <w:jc w:val="center"/>
        <w:rPr>
          <w:rFonts w:ascii="Times New Roman" w:hAnsi="Times New Roman" w:cs="Times New Roman"/>
          <w:b/>
          <w:sz w:val="28"/>
          <w:szCs w:val="28"/>
        </w:rPr>
      </w:pPr>
      <w:r>
        <w:rPr>
          <w:rFonts w:ascii="Times New Roman" w:hAnsi="Times New Roman" w:cs="Times New Roman"/>
          <w:b/>
          <w:sz w:val="28"/>
          <w:szCs w:val="28"/>
        </w:rPr>
        <w:t xml:space="preserve">Ukupna </w:t>
      </w:r>
      <w:r w:rsidR="00BA6E35">
        <w:rPr>
          <w:rFonts w:ascii="Times New Roman" w:hAnsi="Times New Roman" w:cs="Times New Roman"/>
          <w:b/>
          <w:sz w:val="28"/>
          <w:szCs w:val="28"/>
        </w:rPr>
        <w:t>f</w:t>
      </w:r>
      <w:r w:rsidR="00BA6E35" w:rsidRPr="00BA6E35">
        <w:rPr>
          <w:rFonts w:ascii="Times New Roman" w:hAnsi="Times New Roman" w:cs="Times New Roman"/>
          <w:b/>
          <w:sz w:val="28"/>
          <w:szCs w:val="28"/>
        </w:rPr>
        <w:t xml:space="preserve">aktorska produktivnost i </w:t>
      </w:r>
      <w:r w:rsidR="002A303F">
        <w:rPr>
          <w:rFonts w:ascii="Times New Roman" w:hAnsi="Times New Roman" w:cs="Times New Roman"/>
          <w:b/>
          <w:sz w:val="28"/>
          <w:szCs w:val="28"/>
        </w:rPr>
        <w:t>ekonomski</w:t>
      </w:r>
      <w:r w:rsidR="00BA6E35" w:rsidRPr="00BA6E35">
        <w:rPr>
          <w:rFonts w:ascii="Times New Roman" w:hAnsi="Times New Roman" w:cs="Times New Roman"/>
          <w:b/>
          <w:sz w:val="28"/>
          <w:szCs w:val="28"/>
        </w:rPr>
        <w:t xml:space="preserve"> rast</w:t>
      </w:r>
    </w:p>
    <w:p w:rsidR="00BA6E35" w:rsidRDefault="00BA6E35" w:rsidP="00BA6E35">
      <w:pPr>
        <w:jc w:val="center"/>
        <w:rPr>
          <w:rFonts w:ascii="Times New Roman" w:hAnsi="Times New Roman" w:cs="Times New Roman"/>
          <w:sz w:val="24"/>
          <w:szCs w:val="24"/>
        </w:rPr>
      </w:pPr>
      <w:r>
        <w:rPr>
          <w:rFonts w:ascii="Times New Roman" w:hAnsi="Times New Roman" w:cs="Times New Roman"/>
          <w:sz w:val="24"/>
          <w:szCs w:val="24"/>
        </w:rPr>
        <w:t>Prof.dr Maja Baćović</w:t>
      </w:r>
    </w:p>
    <w:p w:rsidR="00BA6E35" w:rsidRPr="00BA6E35" w:rsidRDefault="00BA6E35" w:rsidP="00BA6E35">
      <w:pPr>
        <w:jc w:val="center"/>
        <w:rPr>
          <w:rFonts w:ascii="Times New Roman" w:hAnsi="Times New Roman" w:cs="Times New Roman"/>
          <w:sz w:val="24"/>
          <w:szCs w:val="24"/>
        </w:rPr>
      </w:pPr>
      <w:r>
        <w:rPr>
          <w:rFonts w:ascii="Times New Roman" w:hAnsi="Times New Roman" w:cs="Times New Roman"/>
          <w:sz w:val="24"/>
          <w:szCs w:val="24"/>
        </w:rPr>
        <w:t>Univerzitet Crne Gore, Ekonomski fakultet</w:t>
      </w:r>
    </w:p>
    <w:p w:rsidR="00BA6E35" w:rsidRDefault="00BA6E35" w:rsidP="00BA6E35">
      <w:pPr>
        <w:widowControl w:val="0"/>
        <w:autoSpaceDE w:val="0"/>
        <w:autoSpaceDN w:val="0"/>
        <w:adjustRightInd w:val="0"/>
        <w:spacing w:after="0" w:line="240" w:lineRule="auto"/>
        <w:jc w:val="both"/>
        <w:rPr>
          <w:rFonts w:ascii="Times New Roman" w:hAnsi="Times New Roman" w:cs="Times New Roman"/>
          <w:sz w:val="24"/>
          <w:szCs w:val="24"/>
        </w:rPr>
      </w:pPr>
    </w:p>
    <w:p w:rsidR="00BA6E35" w:rsidRDefault="00BA6E35" w:rsidP="00BA6E3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Produktivnost utiče na </w:t>
      </w:r>
      <w:r w:rsidRPr="00BA6E35">
        <w:rPr>
          <w:rFonts w:ascii="Times New Roman" w:hAnsi="Times New Roman" w:cs="Times New Roman"/>
          <w:sz w:val="24"/>
          <w:szCs w:val="24"/>
        </w:rPr>
        <w:t>efikasno</w:t>
      </w:r>
      <w:r>
        <w:rPr>
          <w:rFonts w:ascii="Times New Roman" w:hAnsi="Times New Roman" w:cs="Times New Roman"/>
          <w:sz w:val="24"/>
          <w:szCs w:val="24"/>
        </w:rPr>
        <w:t>st korišćenja inputa u procesu proizvodnje</w:t>
      </w:r>
      <w:r w:rsidRPr="00BA6E35">
        <w:rPr>
          <w:rFonts w:ascii="Times New Roman" w:hAnsi="Times New Roman" w:cs="Times New Roman"/>
          <w:sz w:val="24"/>
          <w:szCs w:val="24"/>
        </w:rPr>
        <w:t>. Ukupna faktorska produktivnost</w:t>
      </w:r>
      <w:r w:rsidR="003C33AC">
        <w:rPr>
          <w:rFonts w:ascii="Times New Roman" w:hAnsi="Times New Roman" w:cs="Times New Roman"/>
          <w:sz w:val="24"/>
          <w:szCs w:val="24"/>
        </w:rPr>
        <w:t xml:space="preserve"> (TFP)</w:t>
      </w:r>
      <w:r w:rsidRPr="00BA6E35">
        <w:rPr>
          <w:rFonts w:ascii="Times New Roman" w:hAnsi="Times New Roman" w:cs="Times New Roman"/>
          <w:sz w:val="24"/>
          <w:szCs w:val="24"/>
        </w:rPr>
        <w:t xml:space="preserve"> je važna determinanta ekonomskih fluktuacija, ekonomskog rasta i razlika u dohotku po glavi stanovnika među zemljama, što je potvrđeno mnogim empirijskim studijama. Barro (1998) ističe da je tehnološki napredak zapravo ključan za dugoročni rast po glavi stanovnika koji je američka ekonomija bila u stanju da održi dva vijeka. Baier, Dwyer i Tamura (2006), koristeći uzorak od 145 zemalja i podatke za više od sto godina za 23 zemlje u uzorku, pokazali su da ukupna faktorska produktivnost objašnjava 14% prosječnog rasta proizvodnje po radniku. </w:t>
      </w:r>
    </w:p>
    <w:p w:rsidR="003C33E5" w:rsidRDefault="003C33E5" w:rsidP="00BA6E35">
      <w:pPr>
        <w:widowControl w:val="0"/>
        <w:autoSpaceDE w:val="0"/>
        <w:autoSpaceDN w:val="0"/>
        <w:adjustRightInd w:val="0"/>
        <w:spacing w:after="0" w:line="240" w:lineRule="auto"/>
        <w:jc w:val="both"/>
        <w:rPr>
          <w:rFonts w:ascii="Times New Roman" w:hAnsi="Times New Roman" w:cs="Times New Roman"/>
          <w:sz w:val="24"/>
          <w:szCs w:val="24"/>
        </w:rPr>
      </w:pPr>
    </w:p>
    <w:p w:rsidR="00D10B87" w:rsidRDefault="003C33E5" w:rsidP="00D10B8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Studija na uzorku </w:t>
      </w:r>
      <w:r w:rsidRPr="00BA6E35">
        <w:rPr>
          <w:rFonts w:ascii="Times New Roman" w:hAnsi="Times New Roman" w:cs="Times New Roman"/>
          <w:sz w:val="24"/>
          <w:szCs w:val="24"/>
        </w:rPr>
        <w:t xml:space="preserve">sedam balkanskih zemalja (Albanija, Bugarska, Bosna i Hercegovina, Sjeverna Makedonija, Crna Gora, Srbija i Rumunija), </w:t>
      </w:r>
      <w:r>
        <w:rPr>
          <w:rFonts w:ascii="Times New Roman" w:hAnsi="Times New Roman" w:cs="Times New Roman"/>
          <w:sz w:val="24"/>
          <w:szCs w:val="24"/>
        </w:rPr>
        <w:t>u periodu od</w:t>
      </w:r>
      <w:r w:rsidRPr="00BA6E35">
        <w:rPr>
          <w:rFonts w:ascii="Times New Roman" w:hAnsi="Times New Roman" w:cs="Times New Roman"/>
          <w:sz w:val="24"/>
          <w:szCs w:val="24"/>
        </w:rPr>
        <w:t xml:space="preserve"> 2000. do 2017</w:t>
      </w:r>
      <w:r>
        <w:rPr>
          <w:rFonts w:ascii="Times New Roman" w:hAnsi="Times New Roman" w:cs="Times New Roman"/>
          <w:sz w:val="24"/>
          <w:szCs w:val="24"/>
        </w:rPr>
        <w:t xml:space="preserve">. </w:t>
      </w:r>
      <w:r w:rsidR="00003C92">
        <w:rPr>
          <w:rFonts w:ascii="Times New Roman" w:hAnsi="Times New Roman" w:cs="Times New Roman"/>
          <w:sz w:val="24"/>
          <w:szCs w:val="24"/>
        </w:rPr>
        <w:t>g</w:t>
      </w:r>
      <w:r>
        <w:rPr>
          <w:rFonts w:ascii="Times New Roman" w:hAnsi="Times New Roman" w:cs="Times New Roman"/>
          <w:sz w:val="24"/>
          <w:szCs w:val="24"/>
        </w:rPr>
        <w:t>odine, sprovedena je sa ciljem ocjene</w:t>
      </w:r>
      <w:r w:rsidR="00BA6E35" w:rsidRPr="00BA6E35">
        <w:rPr>
          <w:rFonts w:ascii="Times New Roman" w:hAnsi="Times New Roman" w:cs="Times New Roman"/>
          <w:sz w:val="24"/>
          <w:szCs w:val="24"/>
        </w:rPr>
        <w:t xml:space="preserve"> rast</w:t>
      </w:r>
      <w:r>
        <w:rPr>
          <w:rFonts w:ascii="Times New Roman" w:hAnsi="Times New Roman" w:cs="Times New Roman"/>
          <w:sz w:val="24"/>
          <w:szCs w:val="24"/>
        </w:rPr>
        <w:t>a</w:t>
      </w:r>
      <w:r w:rsidR="00BA6E35" w:rsidRPr="00BA6E35">
        <w:rPr>
          <w:rFonts w:ascii="Times New Roman" w:hAnsi="Times New Roman" w:cs="Times New Roman"/>
          <w:sz w:val="24"/>
          <w:szCs w:val="24"/>
        </w:rPr>
        <w:t xml:space="preserve"> TFP u ukupnoj privredi i na nivou sektora (poljoprivreda, industrija i usluge)</w:t>
      </w:r>
      <w:r>
        <w:rPr>
          <w:rFonts w:ascii="Times New Roman" w:hAnsi="Times New Roman" w:cs="Times New Roman"/>
          <w:sz w:val="24"/>
          <w:szCs w:val="24"/>
        </w:rPr>
        <w:t xml:space="preserve">. </w:t>
      </w:r>
      <w:r w:rsidR="00BA6E35" w:rsidRPr="00BA6E35">
        <w:rPr>
          <w:rFonts w:ascii="Times New Roman" w:hAnsi="Times New Roman" w:cs="Times New Roman"/>
          <w:sz w:val="24"/>
          <w:szCs w:val="24"/>
        </w:rPr>
        <w:t xml:space="preserve">Varijacije između stopa rasta proizvodnje, TFP-a i doprinosa kapitala i rada uočene su ne samo među zemljama, već i među sektorima u svakoj zemlji. </w:t>
      </w:r>
      <w:r w:rsidR="00003C92">
        <w:rPr>
          <w:rFonts w:ascii="Times New Roman" w:hAnsi="Times New Roman" w:cs="Times New Roman"/>
          <w:sz w:val="24"/>
          <w:szCs w:val="24"/>
        </w:rPr>
        <w:t>N</w:t>
      </w:r>
      <w:r w:rsidR="00BA6E35" w:rsidRPr="00BA6E35">
        <w:rPr>
          <w:rFonts w:ascii="Times New Roman" w:hAnsi="Times New Roman" w:cs="Times New Roman"/>
          <w:sz w:val="24"/>
          <w:szCs w:val="24"/>
        </w:rPr>
        <w:t xml:space="preserve">ajveći rast TFP-a u ukupnoj privredi zabilježen je u Rumuniji, koja </w:t>
      </w:r>
      <w:r w:rsidR="00AB6BBB">
        <w:rPr>
          <w:rFonts w:ascii="Times New Roman" w:hAnsi="Times New Roman" w:cs="Times New Roman"/>
          <w:sz w:val="24"/>
          <w:szCs w:val="24"/>
        </w:rPr>
        <w:t>je ostvarila</w:t>
      </w:r>
      <w:r w:rsidR="00BA6E35" w:rsidRPr="00BA6E35">
        <w:rPr>
          <w:rFonts w:ascii="Times New Roman" w:hAnsi="Times New Roman" w:cs="Times New Roman"/>
          <w:sz w:val="24"/>
          <w:szCs w:val="24"/>
        </w:rPr>
        <w:t xml:space="preserve"> prosječ</w:t>
      </w:r>
      <w:r w:rsidR="00003C92">
        <w:rPr>
          <w:rFonts w:ascii="Times New Roman" w:hAnsi="Times New Roman" w:cs="Times New Roman"/>
          <w:sz w:val="24"/>
          <w:szCs w:val="24"/>
        </w:rPr>
        <w:t>an</w:t>
      </w:r>
      <w:r w:rsidR="00BA6E35" w:rsidRPr="00BA6E35">
        <w:rPr>
          <w:rFonts w:ascii="Times New Roman" w:hAnsi="Times New Roman" w:cs="Times New Roman"/>
          <w:sz w:val="24"/>
          <w:szCs w:val="24"/>
        </w:rPr>
        <w:t xml:space="preserve"> rast proizvodnje od 4,13%. U Crnoj Gori</w:t>
      </w:r>
      <w:r w:rsidR="002A303F">
        <w:rPr>
          <w:rFonts w:ascii="Times New Roman" w:hAnsi="Times New Roman" w:cs="Times New Roman"/>
          <w:sz w:val="24"/>
          <w:szCs w:val="24"/>
        </w:rPr>
        <w:t xml:space="preserve">, </w:t>
      </w:r>
      <w:r w:rsidR="00BA6E35" w:rsidRPr="00BA6E35">
        <w:rPr>
          <w:rFonts w:ascii="Times New Roman" w:hAnsi="Times New Roman" w:cs="Times New Roman"/>
          <w:sz w:val="24"/>
          <w:szCs w:val="24"/>
        </w:rPr>
        <w:t xml:space="preserve">prosječna stopa rasta TFP-a </w:t>
      </w:r>
      <w:r w:rsidR="002A303F">
        <w:rPr>
          <w:rFonts w:ascii="Times New Roman" w:hAnsi="Times New Roman" w:cs="Times New Roman"/>
          <w:sz w:val="24"/>
          <w:szCs w:val="24"/>
        </w:rPr>
        <w:t xml:space="preserve">rasla je u prethodnoj deceniji, iako je i dalje relativno niska, </w:t>
      </w:r>
      <w:r w:rsidR="00BA6E35" w:rsidRPr="00BA6E35">
        <w:rPr>
          <w:rFonts w:ascii="Times New Roman" w:hAnsi="Times New Roman" w:cs="Times New Roman"/>
          <w:sz w:val="24"/>
          <w:szCs w:val="24"/>
        </w:rPr>
        <w:t>dok su rast kapitala i rast iskorištenosti kapitala</w:t>
      </w:r>
      <w:r w:rsidR="00A21A23">
        <w:rPr>
          <w:rFonts w:ascii="Times New Roman" w:hAnsi="Times New Roman" w:cs="Times New Roman"/>
          <w:sz w:val="24"/>
          <w:szCs w:val="24"/>
        </w:rPr>
        <w:t xml:space="preserve">, uz rast zaposlenosti, bili dominantni izvori </w:t>
      </w:r>
      <w:r w:rsidR="003C33AC">
        <w:rPr>
          <w:rFonts w:ascii="Times New Roman" w:hAnsi="Times New Roman" w:cs="Times New Roman"/>
          <w:sz w:val="24"/>
          <w:szCs w:val="24"/>
        </w:rPr>
        <w:t>e</w:t>
      </w:r>
      <w:r w:rsidR="00A21A23">
        <w:rPr>
          <w:rFonts w:ascii="Times New Roman" w:hAnsi="Times New Roman" w:cs="Times New Roman"/>
          <w:sz w:val="24"/>
          <w:szCs w:val="24"/>
        </w:rPr>
        <w:t>konomskog rasta</w:t>
      </w:r>
      <w:r w:rsidR="00BA6E35" w:rsidRPr="00BA6E35">
        <w:rPr>
          <w:rFonts w:ascii="Times New Roman" w:hAnsi="Times New Roman" w:cs="Times New Roman"/>
          <w:sz w:val="24"/>
          <w:szCs w:val="24"/>
        </w:rPr>
        <w:t>.</w:t>
      </w:r>
      <w:r w:rsidR="00BA6E35">
        <w:rPr>
          <w:rFonts w:ascii="Times New Roman" w:hAnsi="Times New Roman" w:cs="Times New Roman"/>
          <w:sz w:val="24"/>
          <w:szCs w:val="24"/>
        </w:rPr>
        <w:t xml:space="preserve"> </w:t>
      </w:r>
      <w:r w:rsidR="00BA6E35" w:rsidRPr="00BA6E35">
        <w:rPr>
          <w:rFonts w:ascii="Times New Roman" w:hAnsi="Times New Roman" w:cs="Times New Roman"/>
          <w:sz w:val="24"/>
          <w:szCs w:val="24"/>
        </w:rPr>
        <w:t>Ako se uporede prosječne stope rasta TFP-a za ukupnu ekonomiju i na nivou sektora</w:t>
      </w:r>
      <w:r w:rsidR="002A303F">
        <w:rPr>
          <w:rFonts w:ascii="Times New Roman" w:hAnsi="Times New Roman" w:cs="Times New Roman"/>
          <w:sz w:val="24"/>
          <w:szCs w:val="24"/>
        </w:rPr>
        <w:t xml:space="preserve"> za sve ekonomije u uzorku</w:t>
      </w:r>
      <w:r w:rsidR="00BA6E35" w:rsidRPr="00BA6E35">
        <w:rPr>
          <w:rFonts w:ascii="Times New Roman" w:hAnsi="Times New Roman" w:cs="Times New Roman"/>
          <w:sz w:val="24"/>
          <w:szCs w:val="24"/>
        </w:rPr>
        <w:t>, rast TFP-a u industriji je u najvećoj korelaciji sa ukupnim rastom TFP-a</w:t>
      </w:r>
      <w:r w:rsidR="00D10B87">
        <w:rPr>
          <w:rFonts w:ascii="Times New Roman" w:hAnsi="Times New Roman" w:cs="Times New Roman"/>
          <w:sz w:val="24"/>
          <w:szCs w:val="24"/>
        </w:rPr>
        <w:t xml:space="preserve"> i </w:t>
      </w:r>
      <w:r w:rsidR="00BA6E35" w:rsidRPr="00BA6E35">
        <w:rPr>
          <w:rFonts w:ascii="Times New Roman" w:hAnsi="Times New Roman" w:cs="Times New Roman"/>
          <w:sz w:val="24"/>
          <w:szCs w:val="24"/>
        </w:rPr>
        <w:t>bio je pozitivan u svim zemljama</w:t>
      </w:r>
      <w:r w:rsidR="00D10B87">
        <w:rPr>
          <w:rFonts w:ascii="Times New Roman" w:hAnsi="Times New Roman" w:cs="Times New Roman"/>
          <w:sz w:val="24"/>
          <w:szCs w:val="24"/>
        </w:rPr>
        <w:t>. Najni</w:t>
      </w:r>
      <w:r w:rsidR="00D10B87">
        <w:rPr>
          <w:rFonts w:ascii="Times New Roman" w:hAnsi="Times New Roman" w:cs="Times New Roman"/>
          <w:sz w:val="24"/>
          <w:szCs w:val="24"/>
          <w:lang w:val="sr-Latn-ME"/>
        </w:rPr>
        <w:t xml:space="preserve">ži rast produktivnosti ostvaren je </w:t>
      </w:r>
      <w:r w:rsidR="00BA6E35" w:rsidRPr="00BA6E35">
        <w:rPr>
          <w:rFonts w:ascii="Times New Roman" w:hAnsi="Times New Roman" w:cs="Times New Roman"/>
          <w:sz w:val="24"/>
          <w:szCs w:val="24"/>
        </w:rPr>
        <w:t>u sektoru usluga</w:t>
      </w:r>
      <w:r w:rsidR="00003C92">
        <w:rPr>
          <w:rFonts w:ascii="Times New Roman" w:hAnsi="Times New Roman" w:cs="Times New Roman"/>
          <w:sz w:val="24"/>
          <w:szCs w:val="24"/>
        </w:rPr>
        <w:t xml:space="preserve">. </w:t>
      </w:r>
      <w:r w:rsidR="00A21A23">
        <w:rPr>
          <w:rFonts w:ascii="Times New Roman" w:hAnsi="Times New Roman" w:cs="Times New Roman"/>
          <w:sz w:val="24"/>
          <w:szCs w:val="24"/>
        </w:rPr>
        <w:t>Sektor usluga je, sa druge strane, bio generator najvećeg rasta zaposlenosti</w:t>
      </w:r>
      <w:r w:rsidR="00BA6E35" w:rsidRPr="00BA6E35">
        <w:rPr>
          <w:rFonts w:ascii="Times New Roman" w:hAnsi="Times New Roman" w:cs="Times New Roman"/>
          <w:sz w:val="24"/>
          <w:szCs w:val="24"/>
        </w:rPr>
        <w:t xml:space="preserve">. </w:t>
      </w:r>
      <w:r w:rsidR="00D10B87">
        <w:rPr>
          <w:rFonts w:ascii="Times New Roman" w:hAnsi="Times New Roman" w:cs="Times New Roman"/>
          <w:sz w:val="24"/>
          <w:szCs w:val="24"/>
        </w:rPr>
        <w:t>Na slične zaključke ukazuje i istraživanje sprovedeno</w:t>
      </w:r>
      <w:r w:rsidR="00D10B87" w:rsidRPr="003C33E5">
        <w:rPr>
          <w:rFonts w:ascii="Times New Roman" w:hAnsi="Times New Roman" w:cs="Times New Roman"/>
          <w:sz w:val="24"/>
          <w:szCs w:val="24"/>
        </w:rPr>
        <w:t xml:space="preserve"> </w:t>
      </w:r>
      <w:r w:rsidR="00D10B87">
        <w:rPr>
          <w:rFonts w:ascii="Times New Roman" w:hAnsi="Times New Roman" w:cs="Times New Roman"/>
          <w:sz w:val="24"/>
          <w:szCs w:val="24"/>
        </w:rPr>
        <w:t xml:space="preserve">na uzorku od 26 evropskih ekonomija (Baćović, 2021), koje </w:t>
      </w:r>
      <w:r w:rsidR="00D10B87" w:rsidRPr="003C33E5">
        <w:rPr>
          <w:rFonts w:ascii="Times New Roman" w:hAnsi="Times New Roman" w:cs="Times New Roman"/>
          <w:sz w:val="24"/>
          <w:szCs w:val="24"/>
        </w:rPr>
        <w:t>je pokazal</w:t>
      </w:r>
      <w:r w:rsidR="00D10B87">
        <w:rPr>
          <w:rFonts w:ascii="Times New Roman" w:hAnsi="Times New Roman" w:cs="Times New Roman"/>
          <w:sz w:val="24"/>
          <w:szCs w:val="24"/>
        </w:rPr>
        <w:t>o</w:t>
      </w:r>
      <w:r w:rsidR="00D10B87" w:rsidRPr="003C33E5">
        <w:rPr>
          <w:rFonts w:ascii="Times New Roman" w:hAnsi="Times New Roman" w:cs="Times New Roman"/>
          <w:sz w:val="24"/>
          <w:szCs w:val="24"/>
        </w:rPr>
        <w:t xml:space="preserve"> da je </w:t>
      </w:r>
      <w:r w:rsidR="00D10B87">
        <w:rPr>
          <w:rFonts w:ascii="Times New Roman" w:hAnsi="Times New Roman" w:cs="Times New Roman"/>
          <w:sz w:val="24"/>
          <w:szCs w:val="24"/>
        </w:rPr>
        <w:t xml:space="preserve">rast </w:t>
      </w:r>
      <w:r w:rsidR="00D10B87" w:rsidRPr="003C33E5">
        <w:rPr>
          <w:rFonts w:ascii="Times New Roman" w:hAnsi="Times New Roman" w:cs="Times New Roman"/>
          <w:sz w:val="24"/>
          <w:szCs w:val="24"/>
        </w:rPr>
        <w:t>faktorsk</w:t>
      </w:r>
      <w:r w:rsidR="00D10B87">
        <w:rPr>
          <w:rFonts w:ascii="Times New Roman" w:hAnsi="Times New Roman" w:cs="Times New Roman"/>
          <w:sz w:val="24"/>
          <w:szCs w:val="24"/>
        </w:rPr>
        <w:t>e</w:t>
      </w:r>
      <w:r w:rsidR="00D10B87" w:rsidRPr="003C33E5">
        <w:rPr>
          <w:rFonts w:ascii="Times New Roman" w:hAnsi="Times New Roman" w:cs="Times New Roman"/>
          <w:sz w:val="24"/>
          <w:szCs w:val="24"/>
        </w:rPr>
        <w:t xml:space="preserve"> produktivnost</w:t>
      </w:r>
      <w:r w:rsidR="00D10B87">
        <w:rPr>
          <w:rFonts w:ascii="Times New Roman" w:hAnsi="Times New Roman" w:cs="Times New Roman"/>
          <w:sz w:val="24"/>
          <w:szCs w:val="24"/>
        </w:rPr>
        <w:t>i (TFP)</w:t>
      </w:r>
      <w:r w:rsidR="00D10B87" w:rsidRPr="003C33E5">
        <w:rPr>
          <w:rFonts w:ascii="Times New Roman" w:hAnsi="Times New Roman" w:cs="Times New Roman"/>
          <w:sz w:val="24"/>
          <w:szCs w:val="24"/>
        </w:rPr>
        <w:t xml:space="preserve"> </w:t>
      </w:r>
      <w:r w:rsidR="00A21A23">
        <w:rPr>
          <w:rFonts w:ascii="Times New Roman" w:hAnsi="Times New Roman" w:cs="Times New Roman"/>
          <w:sz w:val="24"/>
          <w:szCs w:val="24"/>
        </w:rPr>
        <w:t xml:space="preserve">bio najveći u poljoprivredi i </w:t>
      </w:r>
      <w:r w:rsidR="003C33AC">
        <w:rPr>
          <w:rFonts w:ascii="Times New Roman" w:hAnsi="Times New Roman" w:cs="Times New Roman"/>
          <w:sz w:val="24"/>
          <w:szCs w:val="24"/>
        </w:rPr>
        <w:t>i</w:t>
      </w:r>
      <w:r w:rsidR="00A21A23">
        <w:rPr>
          <w:rFonts w:ascii="Times New Roman" w:hAnsi="Times New Roman" w:cs="Times New Roman"/>
          <w:sz w:val="24"/>
          <w:szCs w:val="24"/>
        </w:rPr>
        <w:t xml:space="preserve">ndustriji, i relativno visok u uslugama koje su bazirane na unapređenje znanja i modernih tehnologija (IT sektor, finansijske usluge). U ostalim uslugama bio je izraženo nizak. O značaju rasta multifaktorske produktivnosti govori i rezultat istraživanja koji je pokazao da je rast produktivnosti doprinio </w:t>
      </w:r>
      <w:r w:rsidR="00D10B87" w:rsidRPr="003C33E5">
        <w:rPr>
          <w:rFonts w:ascii="Times New Roman" w:hAnsi="Times New Roman" w:cs="Times New Roman"/>
          <w:sz w:val="24"/>
          <w:szCs w:val="24"/>
        </w:rPr>
        <w:t>polovin</w:t>
      </w:r>
      <w:r w:rsidR="00D10B87">
        <w:rPr>
          <w:rFonts w:ascii="Times New Roman" w:hAnsi="Times New Roman" w:cs="Times New Roman"/>
          <w:sz w:val="24"/>
          <w:szCs w:val="24"/>
        </w:rPr>
        <w:t>i</w:t>
      </w:r>
      <w:r w:rsidR="00D10B87" w:rsidRPr="003C33E5">
        <w:rPr>
          <w:rFonts w:ascii="Times New Roman" w:hAnsi="Times New Roman" w:cs="Times New Roman"/>
          <w:sz w:val="24"/>
          <w:szCs w:val="24"/>
        </w:rPr>
        <w:t xml:space="preserve"> rasta proizvodnje u evropskim zemljama u posljednje dvije decenije, dok je druga polovina prvenstveno rezultat rasta </w:t>
      </w:r>
      <w:r w:rsidR="00D10B87">
        <w:rPr>
          <w:rFonts w:ascii="Times New Roman" w:hAnsi="Times New Roman" w:cs="Times New Roman"/>
          <w:sz w:val="24"/>
          <w:szCs w:val="24"/>
        </w:rPr>
        <w:t xml:space="preserve">vrijednosti </w:t>
      </w:r>
      <w:r w:rsidR="00D10B87" w:rsidRPr="003C33E5">
        <w:rPr>
          <w:rFonts w:ascii="Times New Roman" w:hAnsi="Times New Roman" w:cs="Times New Roman"/>
          <w:sz w:val="24"/>
          <w:szCs w:val="24"/>
        </w:rPr>
        <w:t>osnovnih sredstava i zaposlenosti</w:t>
      </w:r>
      <w:r w:rsidR="003C33AC">
        <w:rPr>
          <w:rFonts w:ascii="Times New Roman" w:hAnsi="Times New Roman" w:cs="Times New Roman"/>
          <w:sz w:val="24"/>
          <w:szCs w:val="24"/>
        </w:rPr>
        <w:t xml:space="preserve"> (Baćović, 2021)</w:t>
      </w:r>
      <w:r w:rsidR="00D10B87" w:rsidRPr="003C33E5">
        <w:rPr>
          <w:rFonts w:ascii="Times New Roman" w:hAnsi="Times New Roman" w:cs="Times New Roman"/>
          <w:sz w:val="24"/>
          <w:szCs w:val="24"/>
        </w:rPr>
        <w:t xml:space="preserve">. </w:t>
      </w:r>
    </w:p>
    <w:p w:rsidR="00A21A23" w:rsidRPr="00A21A23" w:rsidRDefault="00A21A23" w:rsidP="00A21A23">
      <w:pPr>
        <w:widowControl w:val="0"/>
        <w:autoSpaceDE w:val="0"/>
        <w:autoSpaceDN w:val="0"/>
        <w:adjustRightInd w:val="0"/>
        <w:spacing w:after="0" w:line="240" w:lineRule="auto"/>
        <w:jc w:val="both"/>
        <w:rPr>
          <w:rFonts w:ascii="Times New Roman" w:hAnsi="Times New Roman" w:cs="Times New Roman"/>
          <w:sz w:val="24"/>
          <w:szCs w:val="24"/>
        </w:rPr>
      </w:pPr>
    </w:p>
    <w:p w:rsidR="00A21A23" w:rsidRDefault="00A21A23" w:rsidP="00A21A2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Istraživanja su pokazala da</w:t>
      </w:r>
      <w:r w:rsidR="003C33AC">
        <w:rPr>
          <w:rFonts w:ascii="Times New Roman" w:hAnsi="Times New Roman" w:cs="Times New Roman"/>
          <w:sz w:val="24"/>
          <w:szCs w:val="24"/>
        </w:rPr>
        <w:t xml:space="preserve"> je rast produktivnosti</w:t>
      </w:r>
      <w:r w:rsidRPr="00A21A23">
        <w:rPr>
          <w:rFonts w:ascii="Times New Roman" w:hAnsi="Times New Roman" w:cs="Times New Roman"/>
          <w:sz w:val="24"/>
          <w:szCs w:val="24"/>
        </w:rPr>
        <w:t xml:space="preserve"> </w:t>
      </w:r>
      <w:r w:rsidR="008802C6">
        <w:rPr>
          <w:rFonts w:ascii="Times New Roman" w:hAnsi="Times New Roman" w:cs="Times New Roman"/>
          <w:sz w:val="24"/>
          <w:szCs w:val="24"/>
        </w:rPr>
        <w:t>tokom</w:t>
      </w:r>
      <w:r w:rsidRPr="00A21A23">
        <w:rPr>
          <w:rFonts w:ascii="Times New Roman" w:hAnsi="Times New Roman" w:cs="Times New Roman"/>
          <w:sz w:val="24"/>
          <w:szCs w:val="24"/>
        </w:rPr>
        <w:t xml:space="preserve"> posljednje tri decenije uglavnom </w:t>
      </w:r>
      <w:r w:rsidR="003C33AC">
        <w:rPr>
          <w:rFonts w:ascii="Times New Roman" w:hAnsi="Times New Roman" w:cs="Times New Roman"/>
          <w:sz w:val="24"/>
          <w:szCs w:val="24"/>
        </w:rPr>
        <w:t>rezultat unapređenja</w:t>
      </w:r>
      <w:r w:rsidRPr="00A21A23">
        <w:rPr>
          <w:rFonts w:ascii="Times New Roman" w:hAnsi="Times New Roman" w:cs="Times New Roman"/>
          <w:sz w:val="24"/>
          <w:szCs w:val="24"/>
        </w:rPr>
        <w:t xml:space="preserve"> fizičk</w:t>
      </w:r>
      <w:r w:rsidR="003C33AC">
        <w:rPr>
          <w:rFonts w:ascii="Times New Roman" w:hAnsi="Times New Roman" w:cs="Times New Roman"/>
          <w:sz w:val="24"/>
          <w:szCs w:val="24"/>
        </w:rPr>
        <w:t>e</w:t>
      </w:r>
      <w:r w:rsidRPr="00A21A23">
        <w:rPr>
          <w:rFonts w:ascii="Times New Roman" w:hAnsi="Times New Roman" w:cs="Times New Roman"/>
          <w:sz w:val="24"/>
          <w:szCs w:val="24"/>
        </w:rPr>
        <w:t xml:space="preserve"> infrastruktur</w:t>
      </w:r>
      <w:r w:rsidR="003C33AC">
        <w:rPr>
          <w:rFonts w:ascii="Times New Roman" w:hAnsi="Times New Roman" w:cs="Times New Roman"/>
          <w:sz w:val="24"/>
          <w:szCs w:val="24"/>
        </w:rPr>
        <w:t>e</w:t>
      </w:r>
      <w:r w:rsidRPr="00A21A23">
        <w:rPr>
          <w:rFonts w:ascii="Times New Roman" w:hAnsi="Times New Roman" w:cs="Times New Roman"/>
          <w:sz w:val="24"/>
          <w:szCs w:val="24"/>
        </w:rPr>
        <w:t>, obrazovanj</w:t>
      </w:r>
      <w:r w:rsidR="003C33AC">
        <w:rPr>
          <w:rFonts w:ascii="Times New Roman" w:hAnsi="Times New Roman" w:cs="Times New Roman"/>
          <w:sz w:val="24"/>
          <w:szCs w:val="24"/>
        </w:rPr>
        <w:t>a</w:t>
      </w:r>
      <w:r w:rsidRPr="00A21A23">
        <w:rPr>
          <w:rFonts w:ascii="Times New Roman" w:hAnsi="Times New Roman" w:cs="Times New Roman"/>
          <w:sz w:val="24"/>
          <w:szCs w:val="24"/>
        </w:rPr>
        <w:t>, tržišn</w:t>
      </w:r>
      <w:r w:rsidR="003C33AC">
        <w:rPr>
          <w:rFonts w:ascii="Times New Roman" w:hAnsi="Times New Roman" w:cs="Times New Roman"/>
          <w:sz w:val="24"/>
          <w:szCs w:val="24"/>
        </w:rPr>
        <w:t>e</w:t>
      </w:r>
      <w:r w:rsidRPr="00A21A23">
        <w:rPr>
          <w:rFonts w:ascii="Times New Roman" w:hAnsi="Times New Roman" w:cs="Times New Roman"/>
          <w:sz w:val="24"/>
          <w:szCs w:val="24"/>
        </w:rPr>
        <w:t xml:space="preserve"> efikasno</w:t>
      </w:r>
      <w:r w:rsidR="003C33AC">
        <w:rPr>
          <w:rFonts w:ascii="Times New Roman" w:hAnsi="Times New Roman" w:cs="Times New Roman"/>
          <w:sz w:val="24"/>
          <w:szCs w:val="24"/>
        </w:rPr>
        <w:t>sti</w:t>
      </w:r>
      <w:r w:rsidRPr="00A21A23">
        <w:rPr>
          <w:rFonts w:ascii="Times New Roman" w:hAnsi="Times New Roman" w:cs="Times New Roman"/>
          <w:sz w:val="24"/>
          <w:szCs w:val="24"/>
        </w:rPr>
        <w:t>, inovacija i institucionaln</w:t>
      </w:r>
      <w:r w:rsidR="003C33AC">
        <w:rPr>
          <w:rFonts w:ascii="Times New Roman" w:hAnsi="Times New Roman" w:cs="Times New Roman"/>
          <w:sz w:val="24"/>
          <w:szCs w:val="24"/>
        </w:rPr>
        <w:t>e</w:t>
      </w:r>
      <w:r w:rsidRPr="00A21A23">
        <w:rPr>
          <w:rFonts w:ascii="Times New Roman" w:hAnsi="Times New Roman" w:cs="Times New Roman"/>
          <w:sz w:val="24"/>
          <w:szCs w:val="24"/>
        </w:rPr>
        <w:t xml:space="preserve"> infrastruktur</w:t>
      </w:r>
      <w:r w:rsidR="003C33AC">
        <w:rPr>
          <w:rFonts w:ascii="Times New Roman" w:hAnsi="Times New Roman" w:cs="Times New Roman"/>
          <w:sz w:val="24"/>
          <w:szCs w:val="24"/>
        </w:rPr>
        <w:t>e</w:t>
      </w:r>
      <w:r>
        <w:rPr>
          <w:rFonts w:ascii="Times New Roman" w:hAnsi="Times New Roman" w:cs="Times New Roman"/>
          <w:sz w:val="24"/>
          <w:szCs w:val="24"/>
        </w:rPr>
        <w:t xml:space="preserve"> (</w:t>
      </w:r>
      <w:r w:rsidRPr="00A21A23">
        <w:rPr>
          <w:rFonts w:ascii="Times New Roman" w:hAnsi="Times New Roman" w:cs="Times New Roman"/>
          <w:sz w:val="24"/>
          <w:szCs w:val="24"/>
        </w:rPr>
        <w:t>Kim i Loayza</w:t>
      </w:r>
      <w:r>
        <w:rPr>
          <w:rFonts w:ascii="Times New Roman" w:hAnsi="Times New Roman" w:cs="Times New Roman"/>
          <w:sz w:val="24"/>
          <w:szCs w:val="24"/>
        </w:rPr>
        <w:t xml:space="preserve">, </w:t>
      </w:r>
      <w:r w:rsidRPr="00A21A23">
        <w:rPr>
          <w:rFonts w:ascii="Times New Roman" w:hAnsi="Times New Roman" w:cs="Times New Roman"/>
          <w:sz w:val="24"/>
          <w:szCs w:val="24"/>
        </w:rPr>
        <w:t>2017).</w:t>
      </w:r>
    </w:p>
    <w:p w:rsidR="00A21A23" w:rsidRDefault="00A21A23" w:rsidP="00AB6BBB">
      <w:pPr>
        <w:widowControl w:val="0"/>
        <w:autoSpaceDE w:val="0"/>
        <w:autoSpaceDN w:val="0"/>
        <w:adjustRightInd w:val="0"/>
        <w:spacing w:after="0" w:line="240" w:lineRule="auto"/>
        <w:jc w:val="both"/>
        <w:rPr>
          <w:rFonts w:ascii="Times New Roman" w:hAnsi="Times New Roman" w:cs="Times New Roman"/>
          <w:sz w:val="24"/>
          <w:szCs w:val="24"/>
        </w:rPr>
      </w:pPr>
    </w:p>
    <w:p w:rsidR="00AB6BBB" w:rsidRDefault="00AB6BBB" w:rsidP="00AB6BBB">
      <w:pPr>
        <w:widowControl w:val="0"/>
        <w:autoSpaceDE w:val="0"/>
        <w:autoSpaceDN w:val="0"/>
        <w:adjustRightInd w:val="0"/>
        <w:spacing w:after="0" w:line="240" w:lineRule="auto"/>
        <w:jc w:val="both"/>
        <w:rPr>
          <w:rFonts w:ascii="Times New Roman" w:hAnsi="Times New Roman" w:cs="Times New Roman"/>
          <w:sz w:val="24"/>
          <w:szCs w:val="24"/>
        </w:rPr>
      </w:pPr>
      <w:r w:rsidRPr="00AB6BBB">
        <w:rPr>
          <w:rFonts w:ascii="Times New Roman" w:hAnsi="Times New Roman" w:cs="Times New Roman"/>
          <w:sz w:val="24"/>
          <w:szCs w:val="24"/>
        </w:rPr>
        <w:t>Rezultati studij</w:t>
      </w:r>
      <w:r w:rsidR="00691E20">
        <w:rPr>
          <w:rFonts w:ascii="Times New Roman" w:hAnsi="Times New Roman" w:cs="Times New Roman"/>
          <w:sz w:val="24"/>
          <w:szCs w:val="24"/>
        </w:rPr>
        <w:t>a</w:t>
      </w:r>
      <w:r w:rsidRPr="00AB6BBB">
        <w:rPr>
          <w:rFonts w:ascii="Times New Roman" w:hAnsi="Times New Roman" w:cs="Times New Roman"/>
          <w:sz w:val="24"/>
          <w:szCs w:val="24"/>
        </w:rPr>
        <w:t xml:space="preserve"> mogu se koristiti u definisanju prioriteta nacionalnih politika, jer postoje različitosti među sektorima u smislu njihovog uticaja na zapošljavanje i ekonomski rast. </w:t>
      </w:r>
    </w:p>
    <w:p w:rsidR="00D10B87" w:rsidRDefault="00D10B87" w:rsidP="00AB6BBB">
      <w:pPr>
        <w:widowControl w:val="0"/>
        <w:autoSpaceDE w:val="0"/>
        <w:autoSpaceDN w:val="0"/>
        <w:adjustRightInd w:val="0"/>
        <w:spacing w:after="0" w:line="240" w:lineRule="auto"/>
        <w:jc w:val="both"/>
        <w:rPr>
          <w:rFonts w:ascii="Times New Roman" w:hAnsi="Times New Roman" w:cs="Times New Roman"/>
          <w:sz w:val="24"/>
          <w:szCs w:val="24"/>
        </w:rPr>
      </w:pPr>
    </w:p>
    <w:p w:rsidR="00D10B87" w:rsidRDefault="00D10B87" w:rsidP="00D10B87">
      <w:pPr>
        <w:widowControl w:val="0"/>
        <w:autoSpaceDE w:val="0"/>
        <w:autoSpaceDN w:val="0"/>
        <w:adjustRightInd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Rezultati istraživanja su objavljeni u: </w:t>
      </w:r>
      <w:r w:rsidR="003C33E5" w:rsidRPr="003C33E5">
        <w:rPr>
          <w:rFonts w:ascii="Times New Roman" w:hAnsi="Times New Roman" w:cs="Times New Roman"/>
          <w:sz w:val="24"/>
          <w:szCs w:val="24"/>
          <w:vertAlign w:val="superscript"/>
        </w:rPr>
        <w:t xml:space="preserve"> </w:t>
      </w:r>
    </w:p>
    <w:p w:rsidR="00D10B87" w:rsidRDefault="00D10B87" w:rsidP="00D10B87">
      <w:pPr>
        <w:widowControl w:val="0"/>
        <w:autoSpaceDE w:val="0"/>
        <w:autoSpaceDN w:val="0"/>
        <w:adjustRightInd w:val="0"/>
        <w:spacing w:after="0" w:line="240" w:lineRule="auto"/>
        <w:jc w:val="both"/>
        <w:rPr>
          <w:rFonts w:ascii="Times New Roman" w:hAnsi="Times New Roman" w:cs="Times New Roman"/>
          <w:sz w:val="24"/>
          <w:szCs w:val="24"/>
          <w:vertAlign w:val="superscript"/>
        </w:rPr>
      </w:pPr>
    </w:p>
    <w:p w:rsidR="003C33E5" w:rsidRPr="005F174A" w:rsidRDefault="003C33E5" w:rsidP="005F174A">
      <w:pPr>
        <w:pStyle w:val="ListParagraph"/>
        <w:widowControl w:val="0"/>
        <w:numPr>
          <w:ilvl w:val="0"/>
          <w:numId w:val="5"/>
        </w:numPr>
        <w:autoSpaceDE w:val="0"/>
        <w:autoSpaceDN w:val="0"/>
        <w:adjustRightInd w:val="0"/>
        <w:spacing w:after="0" w:line="240" w:lineRule="auto"/>
        <w:jc w:val="both"/>
        <w:rPr>
          <w:rFonts w:ascii="Times New Roman" w:hAnsi="Times New Roman"/>
        </w:rPr>
      </w:pPr>
      <w:r w:rsidRPr="005F174A">
        <w:rPr>
          <w:rFonts w:ascii="Times New Roman" w:hAnsi="Times New Roman"/>
        </w:rPr>
        <w:t>Ba</w:t>
      </w:r>
      <w:r w:rsidR="00D10B87" w:rsidRPr="005F174A">
        <w:rPr>
          <w:rFonts w:ascii="Times New Roman" w:hAnsi="Times New Roman"/>
        </w:rPr>
        <w:t>ć</w:t>
      </w:r>
      <w:r w:rsidRPr="005F174A">
        <w:rPr>
          <w:rFonts w:ascii="Times New Roman" w:hAnsi="Times New Roman"/>
        </w:rPr>
        <w:t>ovi</w:t>
      </w:r>
      <w:r w:rsidR="00D10B87" w:rsidRPr="005F174A">
        <w:rPr>
          <w:rFonts w:ascii="Times New Roman" w:hAnsi="Times New Roman"/>
        </w:rPr>
        <w:t>ć</w:t>
      </w:r>
      <w:r w:rsidRPr="005F174A">
        <w:rPr>
          <w:rFonts w:ascii="Times New Roman" w:hAnsi="Times New Roman"/>
        </w:rPr>
        <w:t>, M</w:t>
      </w:r>
      <w:r w:rsidR="00D10B87" w:rsidRPr="005F174A">
        <w:rPr>
          <w:rFonts w:ascii="Times New Roman" w:hAnsi="Times New Roman"/>
        </w:rPr>
        <w:t>aja</w:t>
      </w:r>
      <w:r w:rsidRPr="005F174A">
        <w:rPr>
          <w:rFonts w:ascii="Times New Roman" w:hAnsi="Times New Roman"/>
          <w:b/>
        </w:rPr>
        <w:t xml:space="preserve">. Total factor productivity growth in upper middle-income Balkan countries from 2000-2017, total economy and sectoral approach: growth accounting method, </w:t>
      </w:r>
      <w:r w:rsidRPr="005F174A">
        <w:rPr>
          <w:rFonts w:ascii="Times New Roman" w:hAnsi="Times New Roman"/>
        </w:rPr>
        <w:t xml:space="preserve">Argumenta Oeconomica, 1(46), </w:t>
      </w:r>
      <w:r w:rsidRPr="005F174A">
        <w:rPr>
          <w:rFonts w:ascii="Times New Roman" w:hAnsi="Times New Roman"/>
          <w:shd w:val="clear" w:color="auto" w:fill="FFFFFF"/>
        </w:rPr>
        <w:t xml:space="preserve">2021, </w:t>
      </w:r>
      <w:r w:rsidRPr="005F174A">
        <w:rPr>
          <w:rFonts w:ascii="Times New Roman" w:eastAsia="Times New Roman" w:hAnsi="Times New Roman"/>
        </w:rPr>
        <w:t>p. 79-97, DOI: 10.15611/aoe.2021.1.04 </w:t>
      </w:r>
      <w:r w:rsidRPr="005F174A">
        <w:rPr>
          <w:rFonts w:ascii="Times New Roman" w:hAnsi="Times New Roman"/>
        </w:rPr>
        <w:t xml:space="preserve">2021. </w:t>
      </w:r>
      <w:hyperlink r:id="rId8" w:history="1">
        <w:r w:rsidRPr="005F174A">
          <w:rPr>
            <w:rStyle w:val="Hyperlink"/>
            <w:rFonts w:ascii="Times New Roman" w:hAnsi="Times New Roman"/>
          </w:rPr>
          <w:t>https://www.dbc.wroc.pl/dlibra/publication/152470/edition/110255</w:t>
        </w:r>
      </w:hyperlink>
      <w:r w:rsidRPr="005F174A">
        <w:rPr>
          <w:rFonts w:ascii="Times New Roman" w:hAnsi="Times New Roman"/>
        </w:rPr>
        <w:t xml:space="preserve"> </w:t>
      </w:r>
    </w:p>
    <w:p w:rsidR="005F174A" w:rsidRDefault="005F174A" w:rsidP="00A21A23">
      <w:pPr>
        <w:widowControl w:val="0"/>
        <w:autoSpaceDE w:val="0"/>
        <w:autoSpaceDN w:val="0"/>
        <w:adjustRightInd w:val="0"/>
        <w:spacing w:after="0" w:line="240" w:lineRule="auto"/>
        <w:ind w:left="720"/>
        <w:jc w:val="both"/>
        <w:rPr>
          <w:rFonts w:ascii="Times New Roman" w:hAnsi="Times New Roman"/>
        </w:rPr>
      </w:pPr>
    </w:p>
    <w:p w:rsidR="005F174A" w:rsidRPr="00F37801" w:rsidRDefault="005F174A" w:rsidP="005F174A">
      <w:pPr>
        <w:pStyle w:val="ListParagraph"/>
        <w:numPr>
          <w:ilvl w:val="0"/>
          <w:numId w:val="5"/>
        </w:numPr>
        <w:shd w:val="clear" w:color="auto" w:fill="FFFFFF"/>
        <w:spacing w:after="0" w:line="240" w:lineRule="auto"/>
        <w:jc w:val="both"/>
        <w:rPr>
          <w:rStyle w:val="Hyperlink"/>
          <w:rFonts w:ascii="Times New Roman" w:hAnsi="Times New Roman" w:cs="Times New Roman"/>
          <w:color w:val="auto"/>
          <w:u w:val="none"/>
        </w:rPr>
      </w:pPr>
      <w:r w:rsidRPr="005F174A">
        <w:rPr>
          <w:rStyle w:val="Strong"/>
          <w:rFonts w:ascii="Times New Roman" w:hAnsi="Times New Roman" w:cs="Times New Roman"/>
        </w:rPr>
        <w:t>Baćović, Maja</w:t>
      </w:r>
      <w:r w:rsidRPr="005F174A">
        <w:rPr>
          <w:rFonts w:ascii="Times New Roman" w:hAnsi="Times New Roman" w:cs="Times New Roman"/>
          <w:b/>
        </w:rPr>
        <w:t>,</w:t>
      </w:r>
      <w:r w:rsidRPr="005F174A">
        <w:rPr>
          <w:rFonts w:ascii="Times New Roman" w:hAnsi="Times New Roman" w:cs="Times New Roman"/>
        </w:rPr>
        <w:t xml:space="preserve"> Andrijašević, Živko, Pejović Bojan. (2022). </w:t>
      </w:r>
      <w:r w:rsidRPr="005F174A">
        <w:rPr>
          <w:rStyle w:val="Strong"/>
          <w:rFonts w:ascii="Times New Roman" w:hAnsi="Times New Roman" w:cs="Times New Roman"/>
        </w:rPr>
        <w:t>Divergence between the Economies of the (Former) Yugoslav Republics: Is It Possible to Change Direction?</w:t>
      </w:r>
      <w:r w:rsidRPr="005F174A">
        <w:rPr>
          <w:rFonts w:ascii="Times New Roman" w:hAnsi="Times New Roman" w:cs="Times New Roman"/>
        </w:rPr>
        <w:t>, </w:t>
      </w:r>
      <w:r w:rsidRPr="005F174A">
        <w:rPr>
          <w:rStyle w:val="Emphasis"/>
          <w:rFonts w:ascii="Times New Roman" w:hAnsi="Times New Roman" w:cs="Times New Roman"/>
        </w:rPr>
        <w:t>Eastern European Economics</w:t>
      </w:r>
      <w:r w:rsidRPr="005F174A">
        <w:rPr>
          <w:rFonts w:ascii="Times New Roman" w:hAnsi="Times New Roman" w:cs="Times New Roman"/>
        </w:rPr>
        <w:t>, 60(3), pp. 265-284,  Print ISSN:0012-8775, Online ISSN: 1557-9298, DOI: </w:t>
      </w:r>
      <w:hyperlink r:id="rId9" w:history="1">
        <w:r w:rsidRPr="005F174A">
          <w:rPr>
            <w:rStyle w:val="Hyperlink"/>
            <w:rFonts w:ascii="Times New Roman" w:hAnsi="Times New Roman" w:cs="Times New Roman"/>
            <w:color w:val="auto"/>
          </w:rPr>
          <w:t>https://doi.org/10.1080/00128775.2022.2038034</w:t>
        </w:r>
      </w:hyperlink>
    </w:p>
    <w:p w:rsidR="00F37801" w:rsidRPr="00F37801" w:rsidRDefault="00F37801" w:rsidP="00F37801">
      <w:pPr>
        <w:pStyle w:val="ListParagraph"/>
        <w:rPr>
          <w:rFonts w:ascii="Times New Roman" w:hAnsi="Times New Roman" w:cs="Times New Roman"/>
        </w:rPr>
      </w:pPr>
    </w:p>
    <w:p w:rsidR="00F37801" w:rsidRDefault="00F37801" w:rsidP="00F37801">
      <w:pPr>
        <w:pStyle w:val="ListParagraph"/>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b/>
        </w:rPr>
        <w:t xml:space="preserve">Baćović, M. </w:t>
      </w:r>
      <w:r>
        <w:rPr>
          <w:rFonts w:ascii="Times New Roman" w:hAnsi="Times New Roman" w:cs="Times New Roman"/>
        </w:rPr>
        <w:t>(2021)</w:t>
      </w:r>
      <w:r>
        <w:rPr>
          <w:rFonts w:ascii="Times New Roman" w:hAnsi="Times New Roman" w:cs="Times New Roman"/>
          <w:b/>
        </w:rPr>
        <w:t>. Sectoral Approach in Output Growth Decomposition and its Determinants in Europe</w:t>
      </w:r>
      <w:r>
        <w:rPr>
          <w:rFonts w:ascii="Times New Roman" w:eastAsia="Times New Roman" w:hAnsi="Times New Roman" w:cs="Times New Roman"/>
        </w:rPr>
        <w:t xml:space="preserve">, </w:t>
      </w:r>
      <w:r>
        <w:rPr>
          <w:rFonts w:ascii="Times New Roman" w:hAnsi="Times New Roman" w:cs="Times New Roman"/>
          <w:bCs/>
          <w:i/>
        </w:rPr>
        <w:t>M</w:t>
      </w:r>
      <w:r>
        <w:rPr>
          <w:rFonts w:ascii="Times New Roman" w:hAnsi="Times New Roman" w:cs="Times New Roman"/>
          <w:i/>
        </w:rPr>
        <w:t xml:space="preserve">anagement &amp; </w:t>
      </w:r>
      <w:r>
        <w:rPr>
          <w:rFonts w:ascii="Times New Roman" w:hAnsi="Times New Roman" w:cs="Times New Roman"/>
          <w:bCs/>
          <w:i/>
        </w:rPr>
        <w:t>E</w:t>
      </w:r>
      <w:r>
        <w:rPr>
          <w:rFonts w:ascii="Times New Roman" w:hAnsi="Times New Roman" w:cs="Times New Roman"/>
          <w:i/>
        </w:rPr>
        <w:t xml:space="preserve">conomics </w:t>
      </w:r>
      <w:r>
        <w:rPr>
          <w:rFonts w:ascii="Times New Roman" w:hAnsi="Times New Roman" w:cs="Times New Roman"/>
          <w:bCs/>
          <w:i/>
        </w:rPr>
        <w:t>R</w:t>
      </w:r>
      <w:r>
        <w:rPr>
          <w:rFonts w:ascii="Times New Roman" w:hAnsi="Times New Roman" w:cs="Times New Roman"/>
          <w:i/>
        </w:rPr>
        <w:t xml:space="preserve">esearch </w:t>
      </w:r>
      <w:r>
        <w:rPr>
          <w:rFonts w:ascii="Times New Roman" w:hAnsi="Times New Roman" w:cs="Times New Roman"/>
          <w:bCs/>
          <w:i/>
        </w:rPr>
        <w:t>J</w:t>
      </w:r>
      <w:r>
        <w:rPr>
          <w:rFonts w:ascii="Times New Roman" w:hAnsi="Times New Roman" w:cs="Times New Roman"/>
          <w:i/>
        </w:rPr>
        <w:t>ournal</w:t>
      </w:r>
      <w:r>
        <w:rPr>
          <w:rFonts w:ascii="Times New Roman" w:hAnsi="Times New Roman" w:cs="Times New Roman"/>
          <w:shd w:val="clear" w:color="auto" w:fill="FFFFFF"/>
        </w:rPr>
        <w:t xml:space="preserve">, 3(2), str. 1-21, </w:t>
      </w:r>
      <w:r>
        <w:rPr>
          <w:rFonts w:ascii="Times New Roman" w:hAnsi="Times New Roman" w:cs="Times New Roman"/>
        </w:rPr>
        <w:t xml:space="preserve">ISSN 2710-8856 (Online); ISSN 2676-184X (Print). </w:t>
      </w:r>
      <w:r>
        <w:rPr>
          <w:rFonts w:ascii="Times New Roman" w:hAnsi="Times New Roman" w:cs="Times New Roman"/>
          <w:lang w:val="sr-Latn-ME"/>
        </w:rPr>
        <w:t xml:space="preserve">DOI: </w:t>
      </w:r>
      <w:hyperlink r:id="rId10" w:history="1">
        <w:r>
          <w:rPr>
            <w:rStyle w:val="Hyperlink"/>
            <w:rFonts w:ascii="Times New Roman" w:hAnsi="Times New Roman" w:cs="Times New Roman"/>
            <w:lang w:val="sr-Latn-ME"/>
          </w:rPr>
          <w:t>https</w:t>
        </w:r>
      </w:hyperlink>
      <w:hyperlink r:id="rId11" w:history="1">
        <w:r>
          <w:rPr>
            <w:rStyle w:val="Hyperlink"/>
            <w:rFonts w:ascii="Times New Roman" w:hAnsi="Times New Roman" w:cs="Times New Roman"/>
            <w:lang w:val="sr-Latn-ME"/>
          </w:rPr>
          <w:t>://</w:t>
        </w:r>
      </w:hyperlink>
      <w:hyperlink r:id="rId12" w:history="1">
        <w:r>
          <w:rPr>
            <w:rStyle w:val="Hyperlink"/>
            <w:rFonts w:ascii="Times New Roman" w:hAnsi="Times New Roman" w:cs="Times New Roman"/>
            <w:lang w:val="sr-Latn-ME"/>
          </w:rPr>
          <w:t>doi.org/10.48100/merj.2021.159</w:t>
        </w:r>
      </w:hyperlink>
    </w:p>
    <w:p w:rsidR="00F37801" w:rsidRPr="005F174A" w:rsidRDefault="00F37801" w:rsidP="00F37801">
      <w:pPr>
        <w:pStyle w:val="ListParagraph"/>
        <w:shd w:val="clear" w:color="auto" w:fill="FFFFFF"/>
        <w:spacing w:after="0" w:line="240" w:lineRule="auto"/>
        <w:ind w:left="1440"/>
        <w:jc w:val="both"/>
        <w:rPr>
          <w:rFonts w:ascii="Times New Roman" w:hAnsi="Times New Roman" w:cs="Times New Roman"/>
        </w:rPr>
      </w:pPr>
      <w:bookmarkStart w:id="0" w:name="_GoBack"/>
      <w:bookmarkEnd w:id="0"/>
    </w:p>
    <w:p w:rsidR="005F174A" w:rsidRPr="003C33E5" w:rsidRDefault="005F174A" w:rsidP="00A21A23">
      <w:pPr>
        <w:widowControl w:val="0"/>
        <w:autoSpaceDE w:val="0"/>
        <w:autoSpaceDN w:val="0"/>
        <w:adjustRightInd w:val="0"/>
        <w:spacing w:after="0" w:line="240" w:lineRule="auto"/>
        <w:ind w:left="720"/>
        <w:jc w:val="both"/>
        <w:rPr>
          <w:rFonts w:ascii="Times New Roman" w:hAnsi="Times New Roman" w:cs="Times New Roman"/>
          <w:sz w:val="24"/>
          <w:szCs w:val="24"/>
        </w:rPr>
      </w:pPr>
    </w:p>
    <w:sectPr w:rsidR="005F174A" w:rsidRPr="003C33E5" w:rsidSect="00A21A2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380" w:rsidRDefault="006A0380" w:rsidP="003C33E5">
      <w:pPr>
        <w:spacing w:after="0" w:line="240" w:lineRule="auto"/>
      </w:pPr>
      <w:r>
        <w:separator/>
      </w:r>
    </w:p>
  </w:endnote>
  <w:endnote w:type="continuationSeparator" w:id="0">
    <w:p w:rsidR="006A0380" w:rsidRDefault="006A0380" w:rsidP="003C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380" w:rsidRDefault="006A0380" w:rsidP="003C33E5">
      <w:pPr>
        <w:spacing w:after="0" w:line="240" w:lineRule="auto"/>
      </w:pPr>
      <w:r>
        <w:separator/>
      </w:r>
    </w:p>
  </w:footnote>
  <w:footnote w:type="continuationSeparator" w:id="0">
    <w:p w:rsidR="006A0380" w:rsidRDefault="006A0380" w:rsidP="003C3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50B0"/>
    <w:multiLevelType w:val="hybridMultilevel"/>
    <w:tmpl w:val="5A887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42AFF"/>
    <w:multiLevelType w:val="hybridMultilevel"/>
    <w:tmpl w:val="EFE60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95211"/>
    <w:multiLevelType w:val="hybridMultilevel"/>
    <w:tmpl w:val="A58A21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CE00EA"/>
    <w:multiLevelType w:val="hybridMultilevel"/>
    <w:tmpl w:val="96B4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F57F5"/>
    <w:multiLevelType w:val="hybridMultilevel"/>
    <w:tmpl w:val="3ABEF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35"/>
    <w:rsid w:val="00003C92"/>
    <w:rsid w:val="001E23C1"/>
    <w:rsid w:val="002A303F"/>
    <w:rsid w:val="002D1992"/>
    <w:rsid w:val="00302AAD"/>
    <w:rsid w:val="003C33AC"/>
    <w:rsid w:val="003C33E5"/>
    <w:rsid w:val="00422E3E"/>
    <w:rsid w:val="005C7988"/>
    <w:rsid w:val="005F174A"/>
    <w:rsid w:val="00691E20"/>
    <w:rsid w:val="006A0380"/>
    <w:rsid w:val="006C1AF1"/>
    <w:rsid w:val="008802C6"/>
    <w:rsid w:val="00935804"/>
    <w:rsid w:val="00A21A23"/>
    <w:rsid w:val="00AB6BBB"/>
    <w:rsid w:val="00B222EB"/>
    <w:rsid w:val="00B838CC"/>
    <w:rsid w:val="00BA6E35"/>
    <w:rsid w:val="00D10B87"/>
    <w:rsid w:val="00E80990"/>
    <w:rsid w:val="00EB20EE"/>
    <w:rsid w:val="00F3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4A142-081A-46FB-B593-B16CFFF7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E35"/>
    <w:pPr>
      <w:spacing w:after="200" w:line="276" w:lineRule="auto"/>
      <w:ind w:left="720"/>
      <w:contextualSpacing/>
    </w:pPr>
    <w:rPr>
      <w:rFonts w:eastAsiaTheme="minorEastAsia"/>
    </w:rPr>
  </w:style>
  <w:style w:type="paragraph" w:styleId="FootnoteText">
    <w:name w:val="footnote text"/>
    <w:basedOn w:val="Normal"/>
    <w:link w:val="FootnoteTextChar"/>
    <w:uiPriority w:val="99"/>
    <w:semiHidden/>
    <w:unhideWhenUsed/>
    <w:rsid w:val="003C3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3E5"/>
    <w:rPr>
      <w:sz w:val="20"/>
      <w:szCs w:val="20"/>
    </w:rPr>
  </w:style>
  <w:style w:type="character" w:styleId="FootnoteReference">
    <w:name w:val="footnote reference"/>
    <w:basedOn w:val="DefaultParagraphFont"/>
    <w:uiPriority w:val="99"/>
    <w:semiHidden/>
    <w:unhideWhenUsed/>
    <w:rsid w:val="003C33E5"/>
    <w:rPr>
      <w:vertAlign w:val="superscript"/>
    </w:rPr>
  </w:style>
  <w:style w:type="character" w:styleId="Hyperlink">
    <w:name w:val="Hyperlink"/>
    <w:basedOn w:val="DefaultParagraphFont"/>
    <w:uiPriority w:val="99"/>
    <w:unhideWhenUsed/>
    <w:rsid w:val="003C33E5"/>
    <w:rPr>
      <w:color w:val="0563C1" w:themeColor="hyperlink"/>
      <w:u w:val="single"/>
    </w:rPr>
  </w:style>
  <w:style w:type="paragraph" w:styleId="BalloonText">
    <w:name w:val="Balloon Text"/>
    <w:basedOn w:val="Normal"/>
    <w:link w:val="BalloonTextChar"/>
    <w:uiPriority w:val="99"/>
    <w:semiHidden/>
    <w:unhideWhenUsed/>
    <w:rsid w:val="00A21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A23"/>
    <w:rPr>
      <w:rFonts w:ascii="Segoe UI" w:hAnsi="Segoe UI" w:cs="Segoe UI"/>
      <w:sz w:val="18"/>
      <w:szCs w:val="18"/>
    </w:rPr>
  </w:style>
  <w:style w:type="character" w:styleId="Strong">
    <w:name w:val="Strong"/>
    <w:basedOn w:val="DefaultParagraphFont"/>
    <w:uiPriority w:val="22"/>
    <w:qFormat/>
    <w:rsid w:val="005F174A"/>
    <w:rPr>
      <w:b/>
      <w:bCs/>
    </w:rPr>
  </w:style>
  <w:style w:type="character" w:styleId="Emphasis">
    <w:name w:val="Emphasis"/>
    <w:basedOn w:val="DefaultParagraphFont"/>
    <w:uiPriority w:val="20"/>
    <w:qFormat/>
    <w:rsid w:val="005F17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3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c.wroc.pl/dlibra/publication/152470/edition/1102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8100/merj.2021.1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8100/merj.2021.159" TargetMode="External"/><Relationship Id="rId5" Type="http://schemas.openxmlformats.org/officeDocument/2006/relationships/webSettings" Target="webSettings.xml"/><Relationship Id="rId10" Type="http://schemas.openxmlformats.org/officeDocument/2006/relationships/hyperlink" Target="https://doi.org/10.48100/merj.2021.159" TargetMode="External"/><Relationship Id="rId4" Type="http://schemas.openxmlformats.org/officeDocument/2006/relationships/settings" Target="settings.xml"/><Relationship Id="rId9" Type="http://schemas.openxmlformats.org/officeDocument/2006/relationships/hyperlink" Target="https://doi.org/10.1080/00128775.2022.20380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2C4AF47-DA77-4A65-9205-7BC2A75C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2022-02-18T09:53:00Z</cp:lastPrinted>
  <dcterms:created xsi:type="dcterms:W3CDTF">2022-10-10T06:48:00Z</dcterms:created>
  <dcterms:modified xsi:type="dcterms:W3CDTF">2022-10-10T06:51:00Z</dcterms:modified>
</cp:coreProperties>
</file>