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i w:val="1"/>
          <w:color w:val="ffffff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ffff"/>
        </w:rPr>
        <w:drawing>
          <wp:inline distB="0" distT="0" distL="0" distR="0">
            <wp:extent cx="1123265" cy="1143106"/>
            <wp:effectExtent b="0" l="0" r="0" t="0"/>
            <wp:docPr id="161886178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265" cy="1143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ffff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ffff"/>
        </w:rPr>
        <w:drawing>
          <wp:inline distB="0" distT="0" distL="0" distR="0">
            <wp:extent cx="2723971" cy="1815880"/>
            <wp:effectExtent b="0" l="0" r="0" t="0"/>
            <wp:docPr id="161886178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3971" cy="1815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ffff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ffff"/>
        </w:rPr>
        <w:drawing>
          <wp:inline distB="0" distT="0" distL="0" distR="0">
            <wp:extent cx="1038119" cy="1512974"/>
            <wp:effectExtent b="0" l="0" r="0" t="0"/>
            <wp:docPr id="161886178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119" cy="15129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7" w:right="-330" w:firstLine="0"/>
        <w:jc w:val="center"/>
        <w:rPr>
          <w:rFonts w:ascii="Helvetica Neue Light" w:cs="Helvetica Neue Light" w:eastAsia="Helvetica Neue Light" w:hAnsi="Helvetica Neue Light"/>
          <w:color w:val="00009a"/>
          <w:sz w:val="52"/>
          <w:szCs w:val="5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00009a"/>
          <w:sz w:val="52"/>
          <w:szCs w:val="52"/>
          <w:rtl w:val="0"/>
        </w:rPr>
        <w:t xml:space="preserve">IZAZOVI RAZVOJA KULTURNE POLITIKE </w:t>
      </w:r>
    </w:p>
    <w:p w:rsidR="00000000" w:rsidDel="00000000" w:rsidP="00000000" w:rsidRDefault="00000000" w:rsidRPr="00000000" w14:paraId="00000005">
      <w:pPr>
        <w:ind w:left="-567" w:right="-330" w:firstLine="0"/>
        <w:jc w:val="center"/>
        <w:rPr>
          <w:rFonts w:ascii="Helvetica Neue Light" w:cs="Helvetica Neue Light" w:eastAsia="Helvetica Neue Light" w:hAnsi="Helvetica Neue Light"/>
          <w:color w:val="00009a"/>
          <w:sz w:val="52"/>
          <w:szCs w:val="5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00009a"/>
          <w:sz w:val="52"/>
          <w:szCs w:val="52"/>
          <w:rtl w:val="0"/>
        </w:rPr>
        <w:t xml:space="preserve">CRNE GORE - pogled iznutra</w:t>
      </w:r>
    </w:p>
    <w:p w:rsidR="00000000" w:rsidDel="00000000" w:rsidP="00000000" w:rsidRDefault="00000000" w:rsidRPr="00000000" w14:paraId="00000006">
      <w:pPr>
        <w:ind w:left="-567" w:right="-330" w:firstLine="0"/>
        <w:jc w:val="center"/>
        <w:rPr>
          <w:rFonts w:ascii="Helvetica Neue Light" w:cs="Helvetica Neue Light" w:eastAsia="Helvetica Neue Light" w:hAnsi="Helvetica Neue Light"/>
          <w:color w:val="00009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 Light" w:cs="Helvetica Neue Light" w:eastAsia="Helvetica Neue Light" w:hAnsi="Helvetica Neue Light"/>
          <w:color w:val="00009a"/>
          <w:sz w:val="32"/>
          <w:szCs w:val="3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00009a"/>
          <w:sz w:val="32"/>
          <w:szCs w:val="32"/>
          <w:rtl w:val="0"/>
        </w:rPr>
        <w:t xml:space="preserve">Petak, 28. jun 2024. g.</w:t>
      </w:r>
    </w:p>
    <w:p w:rsidR="00000000" w:rsidDel="00000000" w:rsidP="00000000" w:rsidRDefault="00000000" w:rsidRPr="00000000" w14:paraId="00000008">
      <w:pPr>
        <w:jc w:val="center"/>
        <w:rPr>
          <w:rFonts w:ascii="Helvetica Neue Light" w:cs="Helvetica Neue Light" w:eastAsia="Helvetica Neue Light" w:hAnsi="Helvetica Neue Light"/>
          <w:color w:val="ffffff"/>
          <w:sz w:val="32"/>
          <w:szCs w:val="3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00009a"/>
          <w:sz w:val="32"/>
          <w:szCs w:val="32"/>
          <w:rtl w:val="0"/>
        </w:rPr>
        <w:t xml:space="preserve">“Plava sala”, zgrada Rektorata, UCG - 10:00h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ffffff"/>
          <w:sz w:val="32"/>
          <w:szCs w:val="32"/>
          <w:rtl w:val="0"/>
        </w:rPr>
        <w:t xml:space="preserve">DA</w:t>
      </w:r>
    </w:p>
    <w:p w:rsidR="00000000" w:rsidDel="00000000" w:rsidP="00000000" w:rsidRDefault="00000000" w:rsidRPr="00000000" w14:paraId="00000009">
      <w:pPr>
        <w:ind w:left="-142" w:firstLine="0"/>
        <w:jc w:val="center"/>
        <w:rPr>
          <w:rFonts w:ascii="Helvetica Neue Light" w:cs="Helvetica Neue Light" w:eastAsia="Helvetica Neue Light" w:hAnsi="Helvetica Neue Light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 Light" w:cs="Helvetica Neue Light" w:eastAsia="Helvetica Neue Light" w:hAnsi="Helvetica Neue Light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56" w:tblpY="0"/>
        <w:tblW w:w="9795.0" w:type="dxa"/>
        <w:jc w:val="left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1425"/>
        <w:gridCol w:w="8370"/>
        <w:tblGridChange w:id="0">
          <w:tblGrid>
            <w:gridCol w:w="1425"/>
            <w:gridCol w:w="837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48"/>
                <w:szCs w:val="4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48"/>
                <w:szCs w:val="48"/>
                <w:rtl w:val="0"/>
              </w:rPr>
              <w:t xml:space="preserve">A G E N 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Helvetica Neue Light" w:cs="Helvetica Neue Light" w:eastAsia="Helvetica Neue Light" w:hAnsi="Helvetica Neue Light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10:00 – 10:10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1"/>
                <w:color w:val="00009a"/>
                <w:sz w:val="22"/>
                <w:szCs w:val="22"/>
                <w:rtl w:val="0"/>
              </w:rPr>
              <w:t xml:space="preserve">Uvodno obraćanje: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1"/>
                <w:color w:val="00009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Vanr. prof. dr 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1"/>
                <w:color w:val="00009a"/>
                <w:rtl w:val="0"/>
              </w:rPr>
              <w:t xml:space="preserve">Edin Jašarović,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dekan FDU – Cetinje, UCG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10:10 – 12:30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OPEN SPACE 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Helvetica Neue Light" w:cs="Helvetica Neue Light" w:eastAsia="Helvetica Neue Light" w:hAnsi="Helvetica Neue Light"/>
                <w:b w:val="1"/>
                <w:color w:val="00009a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1"/>
                <w:color w:val="0070c0"/>
                <w:rtl w:val="0"/>
              </w:rPr>
              <w:t xml:space="preserve">Analiza stanja u kulturnoj politici Crne Gore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b w:val="1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Dušan Medin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Društvo za kulturni razvoj BAUO, Petrovac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Milica Nikolić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Ekspertkinja za kulturu, UDG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Vučić Ćetković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Savjetnik za kulturu u Vladi Crne Gore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Tatjana Krkeljić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Dekanica Muzičke akademije, UCG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Helvetica Neue Light" w:cs="Helvetica Neue Light" w:eastAsia="Helvetica Neue Light" w:hAnsi="Helvetica Neue Light"/>
                <w:color w:val="c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Veljko Radulović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Arhitektonski fakultet, UCG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moderator: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9a"/>
                <w:rtl w:val="0"/>
              </w:rPr>
              <w:t xml:space="preserve">Janko Ljumović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FDU – Cetinje, UCG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Helvetica Neue Light" w:cs="Helvetica Neue Light" w:eastAsia="Helvetica Neue Light" w:hAnsi="Helvetica Neue Light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12:30 – 12:45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Kafe pauza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Helvetica Neue Light" w:cs="Helvetica Neue Light" w:eastAsia="Helvetica Neue Light" w:hAnsi="Helvetica Neue Light"/>
                <w:b w:val="0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12:45 – 14:45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OPEN SPACE II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Helvetica Neue Light" w:cs="Helvetica Neue Light" w:eastAsia="Helvetica Neue Light" w:hAnsi="Helvetica Neue Light"/>
                <w:b w:val="1"/>
                <w:color w:val="0070c0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1"/>
                <w:color w:val="0070c0"/>
                <w:rtl w:val="0"/>
              </w:rPr>
              <w:t xml:space="preserve">Održivi programi razvoja kulture i umjetnosti u Crnoj Gori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Vladislav Šćepanović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Direktor Muzeja savremene umjetnosti Crne Gore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Nataša Kraljević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Šefica kancelarije za međunarodnu saradnju, Univerzitet Mediteran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Sehad Čekić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Fakultet dramskih umjetnosti, UCG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Zdravko Delibašić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 - Prodekan za nastavu, Fakultet likovnih umjetnosti, UCG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e69138"/>
                <w:rtl w:val="0"/>
              </w:rPr>
              <w:t xml:space="preserve">Jelena Pavićević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CEO, Benefit Communications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moderator: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Helvetica Neue Light" w:cs="Helvetica Neue Light" w:eastAsia="Helvetica Neue Light" w:hAnsi="Helvetica Neue Light"/>
                <w:color w:val="00009a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9a"/>
                <w:rtl w:val="0"/>
              </w:rPr>
              <w:t xml:space="preserve">Edin Jašarović</w:t>
            </w:r>
            <w:r w:rsidDel="00000000" w:rsidR="00000000" w:rsidRPr="00000000">
              <w:rPr>
                <w:rFonts w:ascii="Helvetica Neue Light" w:cs="Helvetica Neue Light" w:eastAsia="Helvetica Neue Light" w:hAnsi="Helvetica Neue Light"/>
                <w:color w:val="00009a"/>
                <w:rtl w:val="0"/>
              </w:rPr>
              <w:t xml:space="preserve"> - FDU - Cetinje, UCG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Helvetica Neue Light" w:cs="Helvetica Neue Light" w:eastAsia="Helvetica Neue Light" w:hAnsi="Helvetica Neue Light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Helvetica Neue Light" w:cs="Helvetica Neue Light" w:eastAsia="Helvetica Neue Light" w:hAnsi="Helvetica Neue Light"/>
                <w:b w:val="1"/>
                <w:color w:val="00009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9a"/>
                <w:sz w:val="18"/>
                <w:szCs w:val="18"/>
                <w:rtl w:val="0"/>
              </w:rPr>
              <w:t xml:space="preserve">14: 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Helvetica Neue Light" w:cs="Helvetica Neue Light" w:eastAsia="Helvetica Neue Light" w:hAnsi="Helvetica Neue Light"/>
                <w:b w:val="1"/>
                <w:color w:val="00009a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b w:val="1"/>
                <w:color w:val="00009a"/>
                <w:rtl w:val="0"/>
              </w:rPr>
              <w:t xml:space="preserve">Zaključci i preporuke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474" w:left="1440" w:right="125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r-Latn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sr-Latn-R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026B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5">
    <w:name w:val="Plain Table 5"/>
    <w:basedOn w:val="TableNormal"/>
    <w:uiPriority w:val="45"/>
    <w:rsid w:val="00957C02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57C02"/>
    <w:tblPr>
      <w:tblStyleRowBandSize w:val="1"/>
      <w:tblStyleColBandSize w:val="1"/>
      <w:tblBorders>
        <w:top w:color="b4c6e7" w:space="0" w:sz="4" w:themeColor="accent1" w:themeTint="000066" w:val="single"/>
        <w:left w:color="b4c6e7" w:space="0" w:sz="4" w:themeColor="accent1" w:themeTint="000066" w:val="single"/>
        <w:bottom w:color="b4c6e7" w:space="0" w:sz="4" w:themeColor="accent1" w:themeTint="000066" w:val="single"/>
        <w:right w:color="b4c6e7" w:space="0" w:sz="4" w:themeColor="accent1" w:themeTint="000066" w:val="single"/>
        <w:insideH w:color="b4c6e7" w:space="0" w:sz="4" w:themeColor="accent1" w:themeTint="000066" w:val="single"/>
        <w:insideV w:color="b4c6e7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957C02"/>
    <w:tblPr>
      <w:tblStyleRowBandSize w:val="1"/>
      <w:tblStyleColBandSize w:val="1"/>
      <w:tblBorders>
        <w:top w:color="dbdbdb" w:space="0" w:sz="4" w:themeColor="accent3" w:themeTint="000066" w:val="single"/>
        <w:left w:color="dbdbdb" w:space="0" w:sz="4" w:themeColor="accent3" w:themeTint="000066" w:val="single"/>
        <w:bottom w:color="dbdbdb" w:space="0" w:sz="4" w:themeColor="accent3" w:themeTint="000066" w:val="single"/>
        <w:right w:color="dbdbdb" w:space="0" w:sz="4" w:themeColor="accent3" w:themeTint="000066" w:val="single"/>
        <w:insideH w:color="dbdbdb" w:space="0" w:sz="4" w:themeColor="accent3" w:themeTint="000066" w:val="single"/>
        <w:insideV w:color="dbdbdb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PlainTable2">
    <w:name w:val="Plain Table 2"/>
    <w:basedOn w:val="TableNormal"/>
    <w:uiPriority w:val="42"/>
    <w:rsid w:val="00957C02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GridTable2-Accent5">
    <w:name w:val="Grid Table 2 Accent 5"/>
    <w:basedOn w:val="TableNormal"/>
    <w:uiPriority w:val="47"/>
    <w:rsid w:val="00957C02"/>
    <w:tblPr>
      <w:tblStyleRowBandSize w:val="1"/>
      <w:tblStyleColBandSize w:val="1"/>
      <w:tblBorders>
        <w:top w:color="9cc2e5" w:space="0" w:sz="2" w:themeColor="accent5" w:themeTint="000099" w:val="single"/>
        <w:bottom w:color="9cc2e5" w:space="0" w:sz="2" w:themeColor="accent5" w:themeTint="000099" w:val="single"/>
        <w:insideH w:color="9cc2e5" w:space="0" w:sz="2" w:themeColor="accent5" w:themeTint="000099" w:val="single"/>
        <w:insideV w:color="9cc2e5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cc2e5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957C02"/>
    <w:tblPr>
      <w:tblStyleRowBandSize w:val="1"/>
      <w:tblStyleColBandSize w:val="1"/>
      <w:tblBorders>
        <w:top w:color="ffd966" w:space="0" w:sz="2" w:themeColor="accent4" w:themeTint="000099" w:val="single"/>
        <w:bottom w:color="ffd966" w:space="0" w:sz="2" w:themeColor="accent4" w:themeTint="000099" w:val="single"/>
        <w:insideH w:color="ffd966" w:space="0" w:sz="2" w:themeColor="accent4" w:themeTint="000099" w:val="single"/>
        <w:insideV w:color="ffd966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d966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GridTable2">
    <w:name w:val="Grid Table 2"/>
    <w:basedOn w:val="TableNormal"/>
    <w:uiPriority w:val="47"/>
    <w:rsid w:val="00957C02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">
    <w:name w:val="Grid Table 4"/>
    <w:basedOn w:val="TableNormal"/>
    <w:uiPriority w:val="49"/>
    <w:rsid w:val="00957C02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957C02"/>
    <w:tblPr>
      <w:tblStyleRowBandSize w:val="1"/>
      <w:tblStyleColBandSize w:val="1"/>
      <w:tblBorders>
        <w:top w:color="8eaadb" w:space="0" w:sz="4" w:themeColor="accent1" w:themeTint="000099" w:val="single"/>
        <w:left w:color="8eaadb" w:space="0" w:sz="4" w:themeColor="accent1" w:themeTint="000099" w:val="single"/>
        <w:bottom w:color="8eaadb" w:space="0" w:sz="4" w:themeColor="accent1" w:themeTint="000099" w:val="single"/>
        <w:right w:color="8eaadb" w:space="0" w:sz="4" w:themeColor="accent1" w:themeTint="000099" w:val="single"/>
        <w:insideH w:color="8eaadb" w:space="0" w:sz="4" w:themeColor="accent1" w:themeTint="000099" w:val="single"/>
        <w:insideV w:color="8eaadb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1" w:val="single"/>
          <w:left w:color="4472c4" w:space="0" w:sz="4" w:themeColor="accent1" w:val="single"/>
          <w:bottom w:color="4472c4" w:space="0" w:sz="4" w:themeColor="accent1" w:val="single"/>
          <w:right w:color="4472c4" w:space="0" w:sz="4" w:themeColor="accent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</w:style>
  <w:style w:type="table" w:styleId="GridTable3-Accent5">
    <w:name w:val="Grid Table 3 Accent 5"/>
    <w:basedOn w:val="TableNormal"/>
    <w:uiPriority w:val="48"/>
    <w:rsid w:val="00957C02"/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  <w:tblStylePr w:type="neCell">
      <w:tblPr/>
      <w:tcPr>
        <w:tcBorders>
          <w:bottom w:color="9cc2e5" w:space="0" w:sz="4" w:themeColor="accent5" w:themeTint="000099" w:val="single"/>
        </w:tcBorders>
      </w:tcPr>
    </w:tblStylePr>
    <w:tblStylePr w:type="nwCell">
      <w:tblPr/>
      <w:tcPr>
        <w:tcBorders>
          <w:bottom w:color="9cc2e5" w:space="0" w:sz="4" w:themeColor="accent5" w:themeTint="000099" w:val="single"/>
        </w:tcBorders>
      </w:tcPr>
    </w:tblStylePr>
    <w:tblStylePr w:type="seCell">
      <w:tblPr/>
      <w:tcPr>
        <w:tcBorders>
          <w:top w:color="9cc2e5" w:space="0" w:sz="4" w:themeColor="accent5" w:themeTint="000099" w:val="single"/>
        </w:tcBorders>
      </w:tcPr>
    </w:tblStylePr>
    <w:tblStylePr w:type="swCell">
      <w:tblPr/>
      <w:tcPr>
        <w:tcBorders>
          <w:top w:color="9cc2e5" w:space="0" w:sz="4" w:themeColor="accent5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957C02"/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  <w:tblStylePr w:type="neCell">
      <w:tblPr/>
      <w:tcPr>
        <w:tcBorders>
          <w:bottom w:color="ffd966" w:space="0" w:sz="4" w:themeColor="accent4" w:themeTint="000099" w:val="single"/>
        </w:tcBorders>
      </w:tcPr>
    </w:tblStylePr>
    <w:tblStylePr w:type="nwCell">
      <w:tblPr/>
      <w:tcPr>
        <w:tcBorders>
          <w:bottom w:color="ffd966" w:space="0" w:sz="4" w:themeColor="accent4" w:themeTint="000099" w:val="single"/>
        </w:tcBorders>
      </w:tcPr>
    </w:tblStylePr>
    <w:tblStylePr w:type="seCell">
      <w:tblPr/>
      <w:tcPr>
        <w:tcBorders>
          <w:top w:color="ffd966" w:space="0" w:sz="4" w:themeColor="accent4" w:themeTint="000099" w:val="single"/>
        </w:tcBorders>
      </w:tcPr>
    </w:tblStylePr>
    <w:tblStylePr w:type="swCell">
      <w:tblPr/>
      <w:tcPr>
        <w:tcBorders>
          <w:top w:color="ffd966" w:space="0" w:sz="4" w:themeColor="accent4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957C02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bottom w:color="c9c9c9" w:space="0" w:sz="4" w:themeColor="accent3" w:themeTint="000099" w:val="single"/>
        </w:tcBorders>
      </w:tcPr>
    </w:tblStylePr>
    <w:tblStylePr w:type="nwCell">
      <w:tblPr/>
      <w:tcPr>
        <w:tcBorders>
          <w:bottom w:color="c9c9c9" w:space="0" w:sz="4" w:themeColor="accent3" w:themeTint="000099" w:val="single"/>
        </w:tcBorders>
      </w:tcPr>
    </w:tblStylePr>
    <w:tblStylePr w:type="seCell">
      <w:tblPr/>
      <w:tcPr>
        <w:tcBorders>
          <w:top w:color="c9c9c9" w:space="0" w:sz="4" w:themeColor="accent3" w:themeTint="000099" w:val="single"/>
        </w:tcBorders>
      </w:tcPr>
    </w:tblStylePr>
    <w:tblStylePr w:type="swCell">
      <w:tblPr/>
      <w:tcPr>
        <w:tcBorders>
          <w:top w:color="c9c9c9" w:space="0" w:sz="4" w:themeColor="accent3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957C02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  <w:tblStylePr w:type="neCell">
      <w:tblPr/>
      <w:tcPr>
        <w:tcBorders>
          <w:bottom w:color="f4b083" w:space="0" w:sz="4" w:themeColor="accent2" w:themeTint="000099" w:val="single"/>
        </w:tcBorders>
      </w:tcPr>
    </w:tblStylePr>
    <w:tblStylePr w:type="nwCell">
      <w:tblPr/>
      <w:tcPr>
        <w:tcBorders>
          <w:bottom w:color="f4b083" w:space="0" w:sz="4" w:themeColor="accent2" w:themeTint="000099" w:val="single"/>
        </w:tcBorders>
      </w:tcPr>
    </w:tblStylePr>
    <w:tblStylePr w:type="seCell">
      <w:tblPr/>
      <w:tcPr>
        <w:tcBorders>
          <w:top w:color="f4b083" w:space="0" w:sz="4" w:themeColor="accent2" w:themeTint="000099" w:val="single"/>
        </w:tcBorders>
      </w:tcPr>
    </w:tblStylePr>
    <w:tblStylePr w:type="swCell">
      <w:tblPr/>
      <w:tcPr>
        <w:tcBorders>
          <w:top w:color="f4b083" w:space="0" w:sz="4" w:themeColor="accent2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957C02"/>
    <w:tblPr>
      <w:tblStyleRowBandSize w:val="1"/>
      <w:tblStyleColBandSize w:val="1"/>
      <w:tblBorders>
        <w:top w:color="8eaadb" w:space="0" w:sz="4" w:themeColor="accent1" w:themeTint="000099" w:val="single"/>
        <w:left w:color="8eaadb" w:space="0" w:sz="4" w:themeColor="accent1" w:themeTint="000099" w:val="single"/>
        <w:bottom w:color="8eaadb" w:space="0" w:sz="4" w:themeColor="accent1" w:themeTint="000099" w:val="single"/>
        <w:right w:color="8eaadb" w:space="0" w:sz="4" w:themeColor="accent1" w:themeTint="000099" w:val="single"/>
        <w:insideH w:color="8eaadb" w:space="0" w:sz="4" w:themeColor="accent1" w:themeTint="000099" w:val="single"/>
        <w:insideV w:color="8eaadb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  <w:tblStylePr w:type="neCell">
      <w:tblPr/>
      <w:tcPr>
        <w:tcBorders>
          <w:bottom w:color="8eaadb" w:space="0" w:sz="4" w:themeColor="accent1" w:themeTint="000099" w:val="single"/>
        </w:tcBorders>
      </w:tcPr>
    </w:tblStylePr>
    <w:tblStylePr w:type="nwCell">
      <w:tblPr/>
      <w:tcPr>
        <w:tcBorders>
          <w:bottom w:color="8eaadb" w:space="0" w:sz="4" w:themeColor="accent1" w:themeTint="000099" w:val="single"/>
        </w:tcBorders>
      </w:tcPr>
    </w:tblStylePr>
    <w:tblStylePr w:type="seCell">
      <w:tblPr/>
      <w:tcPr>
        <w:tcBorders>
          <w:top w:color="8eaadb" w:space="0" w:sz="4" w:themeColor="accent1" w:themeTint="000099" w:val="single"/>
        </w:tcBorders>
      </w:tcPr>
    </w:tblStylePr>
    <w:tblStylePr w:type="swCell">
      <w:tblPr/>
      <w:tcPr>
        <w:tcBorders>
          <w:top w:color="8eaadb" w:space="0" w:sz="4" w:themeColor="accent1" w:themeTint="000099" w:val="single"/>
        </w:tcBorders>
      </w:tcPr>
    </w:tblStylePr>
  </w:style>
  <w:style w:type="table" w:styleId="GridTable2-Accent6">
    <w:name w:val="Grid Table 2 Accent 6"/>
    <w:basedOn w:val="TableNormal"/>
    <w:uiPriority w:val="47"/>
    <w:rsid w:val="00957C02"/>
    <w:tblPr>
      <w:tblStyleRowBandSize w:val="1"/>
      <w:tblStyleColBandSize w:val="1"/>
      <w:tblBorders>
        <w:top w:color="a8d08d" w:space="0" w:sz="2" w:themeColor="accent6" w:themeTint="000099" w:val="single"/>
        <w:bottom w:color="a8d08d" w:space="0" w:sz="2" w:themeColor="accent6" w:themeTint="000099" w:val="single"/>
        <w:insideH w:color="a8d08d" w:space="0" w:sz="2" w:themeColor="accent6" w:themeTint="000099" w:val="single"/>
        <w:insideV w:color="a8d08d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8d08d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GridTable5Dark-Accent2">
    <w:name w:val="Grid Table 5 Dark Accent 2"/>
    <w:basedOn w:val="TableNormal"/>
    <w:uiPriority w:val="50"/>
    <w:rsid w:val="00957C02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957C02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957C02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957C02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GridTable4-Accent6">
    <w:name w:val="Grid Table 4 Accent 6"/>
    <w:basedOn w:val="TableNormal"/>
    <w:uiPriority w:val="49"/>
    <w:rsid w:val="007F4D86"/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7F4D86"/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4JoLIWSghh97qpSUFcKE/5JmWw==">CgMxLjA4AHIhMXRMTFVSZUdHNkdMUG1sN19GOENVSmsyR25jRGtLZFln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2024-06-07T08:55:00Z</dcterms:created>
  <dc:creator>Edin Jasarovic</dc:creator>
</cp:coreProperties>
</file>