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336"/>
        <w:gridCol w:w="366"/>
        <w:gridCol w:w="920"/>
        <w:gridCol w:w="1256"/>
        <w:gridCol w:w="1449"/>
        <w:gridCol w:w="1759"/>
        <w:gridCol w:w="2137"/>
      </w:tblGrid>
      <w:tr w:rsidR="00A865F4" w:rsidRPr="001B12CE" w:rsidTr="000313F6">
        <w:trPr>
          <w:trHeight w:val="418"/>
        </w:trPr>
        <w:tc>
          <w:tcPr>
            <w:tcW w:w="5000" w:type="pct"/>
            <w:gridSpan w:val="7"/>
            <w:shd w:val="clear" w:color="auto" w:fill="auto"/>
          </w:tcPr>
          <w:p w:rsidR="00A407B3" w:rsidRDefault="00BF6470">
            <w:bookmarkStart w:id="0" w:name="_GoBack"/>
            <w:bookmarkEnd w:id="0"/>
            <w:r>
              <w:rPr>
                <w:noProof/>
                <w:lang w:val="sr-Latn-ME" w:eastAsia="sr-Latn-ME"/>
              </w:rPr>
              <mc:AlternateContent>
                <mc:Choice Requires="wps">
                  <w:drawing>
                    <wp:anchor distT="0" distB="0" distL="114300" distR="114300" simplePos="0" relativeHeight="251659264" behindDoc="0" locked="0" layoutInCell="1" allowOverlap="1">
                      <wp:simplePos x="0" y="0"/>
                      <wp:positionH relativeFrom="leftMargin">
                        <wp:posOffset>0</wp:posOffset>
                      </wp:positionH>
                      <wp:positionV relativeFrom="page">
                        <wp:posOffset>-238125</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A407B3" w:rsidRPr="00BF6470" w:rsidRDefault="00BF6470">
                                  <w:pPr>
                                    <w:contextualSpacing/>
                                    <w:rPr>
                                      <w:b/>
                                    </w:rPr>
                                  </w:pPr>
                                  <w:r>
                                    <w:rPr>
                                      <w:rFonts w:ascii="Segoe UI" w:hAnsi="Segoe UI" w:cs="Segoe UI"/>
                                      <w:color w:val="374151"/>
                                      <w:shd w:val="clear" w:color="auto" w:fill="F7F7F8"/>
                                    </w:rPr>
                                    <w:t xml:space="preserve">                                                                                      </w:t>
                                  </w: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0;margin-top:-18.75pt;width:611.45pt;height:17.3pt;z-index:251659264;visibility:visible;mso-wrap-style:square;mso-width-percent:1000;mso-height-percent:0;mso-wrap-distance-left:9pt;mso-wrap-distance-top:0;mso-wrap-distance-right:9pt;mso-wrap-distance-bottom:0;mso-position-horizontal:absolute;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" fillcolor="#f2f2f2" stroked="f">
                      <v:textbox inset=",0,,0">
                        <w:txbxContent>
                          <w:p w:rsidR="00A407B3" w:rsidRPr="00BF6470" w:rsidRDefault="00BF6470">
                            <w:pPr>
                              <w:contextualSpacing/>
                              <w:rPr>
                                <w:b/>
                              </w:rPr>
                            </w:pPr>
                            <w:r>
                              <w:rPr>
                                <w:rFonts w:ascii="Segoe UI" w:hAnsi="Segoe UI" w:cs="Segoe UI"/>
                                <w:color w:val="374151"/>
                                <w:shd w:val="clear" w:color="auto" w:fill="F7F7F8"/>
                              </w:rPr>
                              <w:t xml:space="preserve">                                                                                      </w:t>
                            </w:r>
                          </w:p>
                        </w:txbxContent>
                      </v:textbox>
                      <w10:wrap anchorx="margin" anchory="page"/>
                    </v:shape>
                  </w:pict>
                </mc:Fallback>
              </mc:AlternateContent>
            </w:r>
          </w:p>
          <w:p w:rsidR="00A865F4" w:rsidRPr="001B12CE" w:rsidRDefault="00A865F4" w:rsidP="000313F6">
            <w:pPr>
              <w:keepNext/>
              <w:outlineLvl w:val="7"/>
              <w:rPr>
                <w:rFonts w:ascii="Arial" w:eastAsia="Calibri" w:hAnsi="Arial" w:cs="Arial"/>
                <w:b/>
                <w:bCs/>
                <w:i/>
                <w:iCs/>
                <w:sz w:val="16"/>
                <w:szCs w:val="16"/>
                <w:lang w:val="sr-Latn-CS"/>
              </w:rPr>
            </w:pPr>
            <w:r w:rsidRPr="001B12CE">
              <w:rPr>
                <w:rFonts w:ascii="Arial" w:eastAsia="Calibri" w:hAnsi="Arial" w:cs="Arial"/>
                <w:b/>
                <w:bCs/>
                <w:iCs/>
                <w:sz w:val="16"/>
                <w:szCs w:val="16"/>
                <w:lang w:val="sr-Latn-CS"/>
              </w:rPr>
              <w:t>Course title: BUSINESS LAW CLINIC</w:t>
            </w:r>
          </w:p>
        </w:tc>
      </w:tr>
      <w:tr w:rsidR="00A865F4" w:rsidRPr="001B12CE" w:rsidTr="000313F6">
        <w:trPr>
          <w:trHeight w:val="325"/>
        </w:trPr>
        <w:tc>
          <w:tcPr>
            <w:tcW w:w="1302" w:type="pct"/>
            <w:gridSpan w:val="3"/>
            <w:shd w:val="clear" w:color="auto" w:fill="auto"/>
          </w:tcPr>
          <w:p w:rsidR="00A865F4" w:rsidRPr="001B12CE" w:rsidRDefault="00A865F4" w:rsidP="000313F6">
            <w:pPr>
              <w:rPr>
                <w:rFonts w:ascii="Arial" w:eastAsia="Calibri" w:hAnsi="Arial" w:cs="Arial"/>
                <w:b/>
                <w:bCs/>
                <w:i/>
                <w:iCs/>
                <w:sz w:val="16"/>
                <w:szCs w:val="16"/>
                <w:vertAlign w:val="superscript"/>
                <w:lang w:val="sr-Latn-CS"/>
              </w:rPr>
            </w:pPr>
            <w:r w:rsidRPr="001B12CE">
              <w:rPr>
                <w:rFonts w:ascii="Arial" w:eastAsia="Calibri" w:hAnsi="Arial" w:cs="Arial"/>
                <w:b/>
                <w:bCs/>
                <w:i/>
                <w:iCs/>
                <w:sz w:val="16"/>
                <w:szCs w:val="16"/>
                <w:lang w:val="sr-Latn-CS"/>
              </w:rPr>
              <w:t>Subject code</w:t>
            </w:r>
          </w:p>
        </w:tc>
        <w:tc>
          <w:tcPr>
            <w:tcW w:w="674" w:type="pct"/>
            <w:shd w:val="clear" w:color="auto" w:fill="auto"/>
          </w:tcPr>
          <w:p w:rsidR="00A865F4" w:rsidRPr="001B12CE" w:rsidRDefault="00A865F4" w:rsidP="000313F6">
            <w:pPr>
              <w:jc w:val="center"/>
              <w:rPr>
                <w:rFonts w:ascii="Arial" w:eastAsia="Calibri" w:hAnsi="Arial" w:cs="Arial"/>
                <w:b/>
                <w:bCs/>
                <w:i/>
                <w:iCs/>
                <w:sz w:val="16"/>
                <w:szCs w:val="16"/>
                <w:lang w:val="sr-Latn-CS"/>
              </w:rPr>
            </w:pPr>
            <w:r w:rsidRPr="001B12CE">
              <w:rPr>
                <w:rFonts w:ascii="Arial" w:eastAsia="Calibri" w:hAnsi="Arial" w:cs="Arial"/>
                <w:b/>
                <w:bCs/>
                <w:i/>
                <w:iCs/>
                <w:sz w:val="16"/>
                <w:szCs w:val="16"/>
                <w:lang w:val="sr-Latn-CS"/>
              </w:rPr>
              <w:t>Case status</w:t>
            </w:r>
          </w:p>
        </w:tc>
        <w:tc>
          <w:tcPr>
            <w:tcW w:w="828" w:type="pct"/>
            <w:shd w:val="clear" w:color="auto" w:fill="auto"/>
          </w:tcPr>
          <w:p w:rsidR="00A865F4" w:rsidRPr="001B12CE" w:rsidRDefault="00A865F4" w:rsidP="000313F6">
            <w:pPr>
              <w:jc w:val="center"/>
              <w:rPr>
                <w:rFonts w:ascii="Arial" w:eastAsia="Calibri" w:hAnsi="Arial" w:cs="Arial"/>
                <w:b/>
                <w:bCs/>
                <w:i/>
                <w:iCs/>
                <w:sz w:val="16"/>
                <w:szCs w:val="16"/>
                <w:lang w:val="sr-Latn-CS"/>
              </w:rPr>
            </w:pPr>
            <w:r w:rsidRPr="001B12CE">
              <w:rPr>
                <w:rFonts w:ascii="Arial" w:eastAsia="Calibri" w:hAnsi="Arial" w:cs="Arial"/>
                <w:b/>
                <w:bCs/>
                <w:i/>
                <w:iCs/>
                <w:sz w:val="16"/>
                <w:szCs w:val="16"/>
                <w:lang w:val="sr-Latn-CS"/>
              </w:rPr>
              <w:t>Semester</w:t>
            </w:r>
          </w:p>
        </w:tc>
        <w:tc>
          <w:tcPr>
            <w:tcW w:w="996" w:type="pct"/>
            <w:shd w:val="clear" w:color="auto" w:fill="auto"/>
          </w:tcPr>
          <w:p w:rsidR="00A865F4" w:rsidRPr="001B12CE" w:rsidRDefault="00A865F4" w:rsidP="000313F6">
            <w:pPr>
              <w:jc w:val="center"/>
              <w:rPr>
                <w:rFonts w:ascii="Arial" w:eastAsia="Calibri" w:hAnsi="Arial" w:cs="Arial"/>
                <w:b/>
                <w:bCs/>
                <w:i/>
                <w:iCs/>
                <w:sz w:val="16"/>
                <w:szCs w:val="16"/>
                <w:lang w:val="sr-Latn-CS"/>
              </w:rPr>
            </w:pPr>
            <w:r w:rsidRPr="001B12CE">
              <w:rPr>
                <w:rFonts w:ascii="Arial" w:eastAsia="Calibri" w:hAnsi="Arial" w:cs="Arial"/>
                <w:b/>
                <w:bCs/>
                <w:i/>
                <w:iCs/>
                <w:sz w:val="16"/>
                <w:szCs w:val="16"/>
                <w:lang w:val="sr-Latn-CS"/>
              </w:rPr>
              <w:t>Number of ECTS credits</w:t>
            </w:r>
          </w:p>
        </w:tc>
        <w:tc>
          <w:tcPr>
            <w:tcW w:w="1200" w:type="pct"/>
            <w:shd w:val="clear" w:color="auto" w:fill="auto"/>
          </w:tcPr>
          <w:p w:rsidR="00A865F4" w:rsidRPr="001B12CE" w:rsidRDefault="00A865F4" w:rsidP="000313F6">
            <w:pPr>
              <w:jc w:val="center"/>
              <w:rPr>
                <w:rFonts w:ascii="Arial" w:eastAsia="Calibri" w:hAnsi="Arial" w:cs="Arial"/>
                <w:b/>
                <w:bCs/>
                <w:i/>
                <w:iCs/>
                <w:sz w:val="16"/>
                <w:szCs w:val="16"/>
                <w:lang w:val="sr-Latn-CS"/>
              </w:rPr>
            </w:pPr>
            <w:r w:rsidRPr="001B12CE">
              <w:rPr>
                <w:rFonts w:ascii="Arial" w:eastAsia="Calibri" w:hAnsi="Arial" w:cs="Arial"/>
                <w:b/>
                <w:bCs/>
                <w:i/>
                <w:iCs/>
                <w:sz w:val="16"/>
                <w:szCs w:val="16"/>
                <w:lang w:val="sr-Latn-CS"/>
              </w:rPr>
              <w:t>Lesson fund</w:t>
            </w:r>
          </w:p>
        </w:tc>
      </w:tr>
      <w:tr w:rsidR="00A865F4" w:rsidRPr="001B12CE" w:rsidTr="000313F6">
        <w:trPr>
          <w:trHeight w:val="234"/>
        </w:trPr>
        <w:tc>
          <w:tcPr>
            <w:tcW w:w="1302" w:type="pct"/>
            <w:gridSpan w:val="3"/>
            <w:shd w:val="clear" w:color="auto" w:fill="auto"/>
          </w:tcPr>
          <w:p w:rsidR="00A865F4" w:rsidRPr="001B12CE" w:rsidRDefault="00A865F4" w:rsidP="000313F6">
            <w:pPr>
              <w:rPr>
                <w:rFonts w:ascii="Arial" w:eastAsia="Calibri" w:hAnsi="Arial" w:cs="Arial"/>
                <w:b/>
                <w:bCs/>
                <w:i/>
                <w:iCs/>
                <w:sz w:val="16"/>
                <w:szCs w:val="16"/>
                <w:lang w:val="sr-Latn-CS"/>
              </w:rPr>
            </w:pPr>
          </w:p>
        </w:tc>
        <w:tc>
          <w:tcPr>
            <w:tcW w:w="674" w:type="pct"/>
            <w:shd w:val="clear" w:color="auto" w:fill="auto"/>
          </w:tcPr>
          <w:p w:rsidR="00A865F4" w:rsidRPr="001B12CE" w:rsidRDefault="00A865F4" w:rsidP="000313F6">
            <w:pPr>
              <w:jc w:val="center"/>
              <w:rPr>
                <w:rFonts w:ascii="Arial" w:eastAsia="Calibri" w:hAnsi="Arial" w:cs="Arial"/>
                <w:b/>
                <w:bCs/>
                <w:iCs/>
                <w:sz w:val="16"/>
                <w:szCs w:val="16"/>
                <w:lang w:val="sr-Latn-CS"/>
              </w:rPr>
            </w:pPr>
            <w:r w:rsidRPr="001B12CE">
              <w:rPr>
                <w:rFonts w:ascii="Arial" w:eastAsia="Calibri" w:hAnsi="Arial" w:cs="Arial"/>
                <w:b/>
                <w:bCs/>
                <w:iCs/>
                <w:sz w:val="16"/>
                <w:szCs w:val="16"/>
                <w:lang w:val="sr-Latn-CS"/>
              </w:rPr>
              <w:t>MANDATORY</w:t>
            </w:r>
          </w:p>
        </w:tc>
        <w:tc>
          <w:tcPr>
            <w:tcW w:w="828" w:type="pct"/>
            <w:shd w:val="clear" w:color="auto" w:fill="auto"/>
          </w:tcPr>
          <w:p w:rsidR="00A865F4" w:rsidRPr="001B12CE" w:rsidRDefault="00A865F4" w:rsidP="000313F6">
            <w:pPr>
              <w:jc w:val="center"/>
              <w:rPr>
                <w:rFonts w:ascii="Arial" w:eastAsia="Calibri" w:hAnsi="Arial" w:cs="Arial"/>
                <w:b/>
                <w:bCs/>
                <w:iCs/>
                <w:sz w:val="16"/>
                <w:szCs w:val="16"/>
                <w:lang w:val="sr-Latn-CS"/>
              </w:rPr>
            </w:pPr>
            <w:r w:rsidRPr="001B12CE">
              <w:rPr>
                <w:rFonts w:ascii="Arial" w:eastAsia="Calibri" w:hAnsi="Arial" w:cs="Arial"/>
                <w:b/>
                <w:bCs/>
                <w:iCs/>
                <w:sz w:val="16"/>
                <w:szCs w:val="16"/>
                <w:lang w:val="sr-Latn-CS"/>
              </w:rPr>
              <w:t>III</w:t>
            </w:r>
          </w:p>
        </w:tc>
        <w:tc>
          <w:tcPr>
            <w:tcW w:w="996" w:type="pct"/>
            <w:shd w:val="clear" w:color="auto" w:fill="auto"/>
          </w:tcPr>
          <w:p w:rsidR="00A865F4" w:rsidRPr="001B12CE" w:rsidRDefault="00A865F4" w:rsidP="000313F6">
            <w:pPr>
              <w:jc w:val="center"/>
              <w:rPr>
                <w:rFonts w:ascii="Arial" w:eastAsia="Calibri" w:hAnsi="Arial" w:cs="Arial"/>
                <w:b/>
                <w:bCs/>
                <w:iCs/>
                <w:sz w:val="16"/>
                <w:szCs w:val="16"/>
                <w:lang w:val="sr-Latn-CS"/>
              </w:rPr>
            </w:pPr>
            <w:r w:rsidRPr="001B12CE">
              <w:rPr>
                <w:rFonts w:ascii="Arial" w:eastAsia="Calibri" w:hAnsi="Arial" w:cs="Arial"/>
                <w:b/>
                <w:bCs/>
                <w:iCs/>
                <w:sz w:val="16"/>
                <w:szCs w:val="16"/>
                <w:lang w:val="sr-Latn-CS"/>
              </w:rPr>
              <w:t>6</w:t>
            </w:r>
          </w:p>
        </w:tc>
        <w:tc>
          <w:tcPr>
            <w:tcW w:w="1200" w:type="pct"/>
            <w:shd w:val="clear" w:color="auto" w:fill="auto"/>
          </w:tcPr>
          <w:p w:rsidR="00A865F4" w:rsidRPr="001B12CE" w:rsidRDefault="00A865F4" w:rsidP="000313F6">
            <w:pPr>
              <w:jc w:val="center"/>
              <w:rPr>
                <w:rFonts w:ascii="Arial" w:eastAsia="Calibri" w:hAnsi="Arial" w:cs="Arial"/>
                <w:b/>
                <w:bCs/>
                <w:iCs/>
                <w:sz w:val="16"/>
                <w:szCs w:val="16"/>
                <w:lang w:val="hr-HR"/>
              </w:rPr>
            </w:pPr>
            <w:r w:rsidRPr="001B12CE">
              <w:rPr>
                <w:rFonts w:ascii="Arial" w:eastAsia="Calibri" w:hAnsi="Arial" w:cs="Arial"/>
                <w:b/>
                <w:bCs/>
                <w:iCs/>
                <w:sz w:val="16"/>
                <w:szCs w:val="16"/>
                <w:lang w:val="sr-Latn-CS"/>
              </w:rPr>
              <w:t>4P+1V</w:t>
            </w:r>
          </w:p>
        </w:tc>
      </w:tr>
      <w:tr w:rsidR="00A865F4" w:rsidRPr="001B12CE" w:rsidTr="000313F6">
        <w:trPr>
          <w:trHeight w:val="555"/>
        </w:trPr>
        <w:tc>
          <w:tcPr>
            <w:tcW w:w="5000" w:type="pct"/>
            <w:gridSpan w:val="7"/>
            <w:shd w:val="clear" w:color="auto" w:fill="auto"/>
          </w:tcPr>
          <w:p w:rsidR="00A865F4" w:rsidRPr="001B12CE" w:rsidRDefault="00A865F4" w:rsidP="000313F6">
            <w:pPr>
              <w:rPr>
                <w:rFonts w:ascii="Arial" w:eastAsia="Calibri" w:hAnsi="Arial" w:cs="Arial"/>
                <w:b/>
                <w:bCs/>
                <w:i/>
                <w:iCs/>
                <w:color w:val="000000"/>
                <w:sz w:val="16"/>
                <w:szCs w:val="16"/>
                <w:lang w:val="sr-Latn-CS"/>
              </w:rPr>
            </w:pPr>
            <w:r w:rsidRPr="001B12CE">
              <w:rPr>
                <w:rFonts w:ascii="Arial" w:eastAsia="Calibri" w:hAnsi="Arial" w:cs="Arial"/>
                <w:b/>
                <w:bCs/>
                <w:i/>
                <w:iCs/>
                <w:color w:val="000000"/>
                <w:sz w:val="16"/>
                <w:szCs w:val="16"/>
                <w:lang w:val="sr-Latn-CS"/>
              </w:rPr>
              <w:t>Study programs for which it is organized:</w:t>
            </w:r>
          </w:p>
          <w:p w:rsidR="00A865F4" w:rsidRPr="001B12CE" w:rsidRDefault="00A865F4" w:rsidP="000313F6">
            <w:pPr>
              <w:rPr>
                <w:rFonts w:ascii="Arial" w:eastAsia="Calibri" w:hAnsi="Arial" w:cs="Arial"/>
                <w:b/>
                <w:bCs/>
                <w:i/>
                <w:iCs/>
                <w:color w:val="000000"/>
                <w:sz w:val="16"/>
                <w:szCs w:val="16"/>
                <w:lang w:val="sr-Latn-CS"/>
              </w:rPr>
            </w:pPr>
            <w:r w:rsidRPr="001B12CE">
              <w:rPr>
                <w:rFonts w:ascii="Arial" w:eastAsia="Calibri" w:hAnsi="Arial" w:cs="Arial"/>
                <w:sz w:val="16"/>
                <w:szCs w:val="16"/>
                <w:lang w:val="sr-Latn-CS"/>
              </w:rPr>
              <w:t>MASTER'S STUDIES - Business Law</w:t>
            </w:r>
          </w:p>
        </w:tc>
      </w:tr>
      <w:tr w:rsidR="00A865F4" w:rsidRPr="001B12CE" w:rsidTr="000313F6">
        <w:trPr>
          <w:trHeight w:val="321"/>
        </w:trPr>
        <w:tc>
          <w:tcPr>
            <w:tcW w:w="5000" w:type="pct"/>
            <w:gridSpan w:val="7"/>
            <w:shd w:val="clear" w:color="auto" w:fill="auto"/>
          </w:tcPr>
          <w:p w:rsidR="00A865F4" w:rsidRPr="001B12CE" w:rsidRDefault="00A865F4" w:rsidP="000313F6">
            <w:pPr>
              <w:jc w:val="both"/>
              <w:rPr>
                <w:rFonts w:ascii="Arial" w:eastAsia="Calibri" w:hAnsi="Arial" w:cs="Arial"/>
                <w:b/>
                <w:bCs/>
                <w:i/>
                <w:iCs/>
                <w:color w:val="993300"/>
                <w:sz w:val="16"/>
                <w:szCs w:val="16"/>
              </w:rPr>
            </w:pPr>
            <w:r w:rsidRPr="001B12CE">
              <w:rPr>
                <w:rFonts w:ascii="Arial" w:eastAsia="Calibri" w:hAnsi="Arial" w:cs="Arial"/>
                <w:b/>
                <w:bCs/>
                <w:i/>
                <w:iCs/>
                <w:sz w:val="16"/>
                <w:szCs w:val="16"/>
              </w:rPr>
              <w:t xml:space="preserve">Objectives of studying the </w:t>
            </w:r>
            <w:proofErr w:type="spellStart"/>
            <w:r w:rsidRPr="001B12CE">
              <w:rPr>
                <w:rFonts w:ascii="Arial" w:eastAsia="Calibri" w:hAnsi="Arial" w:cs="Arial"/>
                <w:b/>
                <w:bCs/>
                <w:i/>
                <w:iCs/>
                <w:sz w:val="16"/>
                <w:szCs w:val="16"/>
              </w:rPr>
              <w:t>subject</w:t>
            </w:r>
            <w:proofErr w:type="gramStart"/>
            <w:r w:rsidRPr="001B12CE">
              <w:rPr>
                <w:rFonts w:ascii="Arial" w:eastAsia="Calibri" w:hAnsi="Arial" w:cs="Arial"/>
                <w:b/>
                <w:bCs/>
                <w:i/>
                <w:iCs/>
                <w:sz w:val="16"/>
                <w:szCs w:val="16"/>
              </w:rPr>
              <w:t>:</w:t>
            </w:r>
            <w:r w:rsidRPr="001B12CE">
              <w:rPr>
                <w:rFonts w:ascii="Arial" w:eastAsia="Calibri" w:hAnsi="Arial" w:cs="Arial"/>
                <w:sz w:val="16"/>
                <w:szCs w:val="16"/>
              </w:rPr>
              <w:t>Acquisition</w:t>
            </w:r>
            <w:proofErr w:type="spellEnd"/>
            <w:proofErr w:type="gramEnd"/>
            <w:r w:rsidRPr="001B12CE">
              <w:rPr>
                <w:rFonts w:ascii="Arial" w:eastAsia="Calibri" w:hAnsi="Arial" w:cs="Arial"/>
                <w:sz w:val="16"/>
                <w:szCs w:val="16"/>
              </w:rPr>
              <w:t xml:space="preserve"> of theoretical and practical knowledge and skills in the field of business law.</w:t>
            </w:r>
          </w:p>
        </w:tc>
      </w:tr>
      <w:tr w:rsidR="00A865F4" w:rsidRPr="001B12CE" w:rsidTr="000313F6">
        <w:trPr>
          <w:trHeight w:val="653"/>
        </w:trPr>
        <w:tc>
          <w:tcPr>
            <w:tcW w:w="5000" w:type="pct"/>
            <w:gridSpan w:val="7"/>
            <w:shd w:val="clear" w:color="auto" w:fill="auto"/>
          </w:tcPr>
          <w:p w:rsidR="00A865F4" w:rsidRPr="001B12CE" w:rsidRDefault="00A865F4" w:rsidP="000313F6">
            <w:pPr>
              <w:jc w:val="both"/>
              <w:rPr>
                <w:rFonts w:ascii="Arial" w:eastAsia="Calibri" w:hAnsi="Arial" w:cs="Arial"/>
                <w:b/>
                <w:bCs/>
                <w:i/>
                <w:iCs/>
                <w:sz w:val="16"/>
                <w:szCs w:val="16"/>
                <w:lang w:val="hr-HR"/>
              </w:rPr>
            </w:pPr>
            <w:r w:rsidRPr="001B12CE">
              <w:rPr>
                <w:rFonts w:ascii="Arial" w:eastAsia="Calibri" w:hAnsi="Arial" w:cs="Arial"/>
                <w:b/>
                <w:bCs/>
                <w:i/>
                <w:iCs/>
                <w:sz w:val="16"/>
                <w:szCs w:val="16"/>
                <w:lang w:val="hr-HR"/>
              </w:rPr>
              <w:t>Learning outcomes:</w:t>
            </w:r>
          </w:p>
          <w:p w:rsidR="00A865F4" w:rsidRPr="001B12CE" w:rsidRDefault="00A865F4" w:rsidP="000313F6">
            <w:pPr>
              <w:jc w:val="both"/>
              <w:rPr>
                <w:rFonts w:ascii="Arial" w:eastAsia="Calibri" w:hAnsi="Arial" w:cs="Arial"/>
                <w:sz w:val="16"/>
                <w:szCs w:val="16"/>
                <w:lang w:val="hr-HR"/>
              </w:rPr>
            </w:pPr>
            <w:r w:rsidRPr="001B12CE">
              <w:rPr>
                <w:rFonts w:ascii="Arial" w:eastAsia="Calibri" w:hAnsi="Arial" w:cs="Arial"/>
                <w:sz w:val="16"/>
                <w:szCs w:val="16"/>
                <w:lang w:val="hr-HR"/>
              </w:rPr>
              <w:t>After passing this course, the student will have basic practical knowledge and skills in the field of business law and will be able to:</w:t>
            </w:r>
          </w:p>
          <w:p w:rsidR="00A865F4" w:rsidRPr="001B12CE" w:rsidRDefault="00A865F4" w:rsidP="00A865F4">
            <w:pPr>
              <w:numPr>
                <w:ilvl w:val="0"/>
                <w:numId w:val="1"/>
              </w:numPr>
              <w:jc w:val="both"/>
              <w:rPr>
                <w:rFonts w:ascii="Arial" w:eastAsia="Calibri" w:hAnsi="Arial" w:cs="Arial"/>
                <w:sz w:val="16"/>
                <w:szCs w:val="16"/>
                <w:lang w:val="hr-HR"/>
              </w:rPr>
            </w:pPr>
            <w:r w:rsidRPr="001B12CE">
              <w:rPr>
                <w:rFonts w:ascii="Arial" w:eastAsia="Calibri" w:hAnsi="Arial" w:cs="Arial"/>
                <w:sz w:val="16"/>
                <w:szCs w:val="16"/>
              </w:rPr>
              <w:t>Analyzes (prepares the case, offers a preliminary legal identification of the problem, chronologically examines the disputed issue, determines its legal nature) and provides a solution to the specific problem - a case from court practice;</w:t>
            </w:r>
          </w:p>
          <w:p w:rsidR="00A865F4" w:rsidRPr="001B12CE" w:rsidRDefault="00A865F4" w:rsidP="00A865F4">
            <w:pPr>
              <w:numPr>
                <w:ilvl w:val="0"/>
                <w:numId w:val="1"/>
              </w:numPr>
              <w:jc w:val="both"/>
              <w:rPr>
                <w:rFonts w:ascii="Arial" w:eastAsia="Calibri" w:hAnsi="Arial" w:cs="Arial"/>
                <w:sz w:val="16"/>
                <w:szCs w:val="16"/>
                <w:lang w:val="hr-HR"/>
              </w:rPr>
            </w:pPr>
            <w:r w:rsidRPr="001B12CE">
              <w:rPr>
                <w:rFonts w:ascii="Arial" w:eastAsia="Calibri" w:hAnsi="Arial" w:cs="Arial"/>
                <w:sz w:val="16"/>
                <w:szCs w:val="16"/>
              </w:rPr>
              <w:t>Prepare arguments for the role of prosecutor and defendant in a simulated case, demonstrating the skills of dialogue, active listening and opposing arguments;</w:t>
            </w:r>
          </w:p>
          <w:p w:rsidR="00A865F4" w:rsidRPr="001B12CE" w:rsidRDefault="00A865F4" w:rsidP="00A865F4">
            <w:pPr>
              <w:numPr>
                <w:ilvl w:val="0"/>
                <w:numId w:val="1"/>
              </w:numPr>
              <w:jc w:val="both"/>
              <w:rPr>
                <w:rFonts w:ascii="Arial" w:eastAsia="Calibri" w:hAnsi="Arial" w:cs="Arial"/>
                <w:sz w:val="16"/>
                <w:szCs w:val="16"/>
                <w:lang w:val="hr-HR"/>
              </w:rPr>
            </w:pPr>
            <w:r w:rsidRPr="001B12CE">
              <w:rPr>
                <w:rFonts w:ascii="Arial" w:eastAsia="Calibri" w:hAnsi="Arial" w:cs="Arial"/>
                <w:sz w:val="16"/>
                <w:szCs w:val="16"/>
              </w:rPr>
              <w:t>Understands the role and competence of institutions, active and passive carriers of business activities;</w:t>
            </w:r>
          </w:p>
          <w:p w:rsidR="00A865F4" w:rsidRPr="001B12CE" w:rsidRDefault="00A865F4" w:rsidP="000313F6">
            <w:pPr>
              <w:ind w:left="1080"/>
              <w:jc w:val="both"/>
              <w:rPr>
                <w:rFonts w:ascii="Arial" w:eastAsia="Calibri" w:hAnsi="Arial" w:cs="Arial"/>
                <w:sz w:val="16"/>
                <w:szCs w:val="16"/>
                <w:lang w:val="hr-HR"/>
              </w:rPr>
            </w:pPr>
          </w:p>
          <w:p w:rsidR="00A865F4" w:rsidRPr="001B12CE" w:rsidRDefault="00A865F4" w:rsidP="00A865F4">
            <w:pPr>
              <w:numPr>
                <w:ilvl w:val="0"/>
                <w:numId w:val="1"/>
              </w:numPr>
              <w:jc w:val="both"/>
              <w:rPr>
                <w:rFonts w:ascii="Arial" w:eastAsia="Calibri" w:hAnsi="Arial" w:cs="Arial"/>
                <w:sz w:val="16"/>
                <w:szCs w:val="16"/>
                <w:lang w:val="hr-HR"/>
              </w:rPr>
            </w:pPr>
            <w:r w:rsidRPr="001B12CE">
              <w:rPr>
                <w:rFonts w:ascii="Arial" w:eastAsia="Calibri" w:hAnsi="Arial" w:cs="Arial"/>
                <w:sz w:val="16"/>
                <w:szCs w:val="16"/>
                <w:lang w:val="hr-HR"/>
              </w:rPr>
              <w:t>Prepare the text of the contract and in connection with that, to provide information on the elements of individual contractual relationships and other legal instruments;</w:t>
            </w:r>
          </w:p>
          <w:p w:rsidR="00A865F4" w:rsidRPr="001B12CE" w:rsidRDefault="00A865F4" w:rsidP="00A865F4">
            <w:pPr>
              <w:numPr>
                <w:ilvl w:val="0"/>
                <w:numId w:val="1"/>
              </w:numPr>
              <w:jc w:val="both"/>
              <w:rPr>
                <w:rFonts w:ascii="Arial" w:eastAsia="Calibri" w:hAnsi="Arial" w:cs="Arial"/>
                <w:sz w:val="16"/>
                <w:szCs w:val="16"/>
              </w:rPr>
            </w:pPr>
            <w:r w:rsidRPr="001B12CE">
              <w:rPr>
                <w:rFonts w:ascii="Arial" w:eastAsia="Calibri" w:hAnsi="Arial" w:cs="Arial"/>
                <w:sz w:val="16"/>
                <w:szCs w:val="16"/>
                <w:lang w:val="hr-HR"/>
              </w:rPr>
              <w:t>Provides basic consultations in the field of business law with an international component, such as: International sales, Foreign investment law, Concessions. BOT, International Arbitration Law.</w:t>
            </w:r>
          </w:p>
        </w:tc>
      </w:tr>
      <w:tr w:rsidR="00A865F4" w:rsidRPr="001B12CE" w:rsidTr="000313F6">
        <w:trPr>
          <w:trHeight w:val="653"/>
        </w:trPr>
        <w:tc>
          <w:tcPr>
            <w:tcW w:w="5000" w:type="pct"/>
            <w:gridSpan w:val="7"/>
            <w:shd w:val="clear" w:color="auto" w:fill="auto"/>
          </w:tcPr>
          <w:p w:rsidR="00A865F4" w:rsidRPr="001B12CE" w:rsidRDefault="00A865F4" w:rsidP="000313F6">
            <w:pPr>
              <w:jc w:val="both"/>
              <w:rPr>
                <w:rFonts w:ascii="Arial" w:eastAsia="Calibri" w:hAnsi="Arial" w:cs="Arial"/>
                <w:b/>
                <w:bCs/>
                <w:i/>
                <w:iCs/>
                <w:sz w:val="16"/>
                <w:szCs w:val="16"/>
                <w:lang w:val="hr-HR"/>
              </w:rPr>
            </w:pPr>
            <w:r w:rsidRPr="001B12CE">
              <w:rPr>
                <w:rFonts w:ascii="Arial" w:eastAsia="Calibri" w:hAnsi="Arial" w:cs="Arial"/>
                <w:b/>
                <w:bCs/>
                <w:i/>
                <w:iCs/>
                <w:sz w:val="16"/>
                <w:szCs w:val="16"/>
                <w:lang w:val="hr-HR"/>
              </w:rPr>
              <w:t>Comparability:</w:t>
            </w:r>
          </w:p>
          <w:p w:rsidR="00A865F4" w:rsidRPr="001B12CE" w:rsidRDefault="00A865F4" w:rsidP="000313F6">
            <w:pPr>
              <w:jc w:val="both"/>
              <w:rPr>
                <w:rFonts w:ascii="Arial" w:eastAsia="Calibri" w:hAnsi="Arial" w:cs="Arial"/>
                <w:bCs/>
                <w:iCs/>
                <w:sz w:val="16"/>
                <w:szCs w:val="16"/>
                <w:lang w:val="hr-HR"/>
              </w:rPr>
            </w:pPr>
          </w:p>
          <w:p w:rsidR="00A865F4" w:rsidRPr="001B12CE" w:rsidRDefault="00A865F4" w:rsidP="000313F6">
            <w:pPr>
              <w:jc w:val="both"/>
              <w:rPr>
                <w:rFonts w:ascii="Arial" w:eastAsia="Calibri" w:hAnsi="Arial" w:cs="Arial"/>
                <w:bCs/>
                <w:iCs/>
                <w:sz w:val="16"/>
                <w:szCs w:val="16"/>
                <w:lang w:val="hr-HR"/>
              </w:rPr>
            </w:pPr>
            <w:r w:rsidRPr="001B12CE">
              <w:rPr>
                <w:rFonts w:ascii="Arial" w:eastAsia="Calibri" w:hAnsi="Arial" w:cs="Arial"/>
                <w:bCs/>
                <w:iCs/>
                <w:sz w:val="16"/>
                <w:szCs w:val="16"/>
                <w:lang w:val="hr-HR"/>
              </w:rPr>
              <w:t>Queen Mary University of London Law School:</w:t>
            </w:r>
          </w:p>
          <w:p w:rsidR="00A865F4" w:rsidRPr="001B12CE" w:rsidRDefault="00BF6470" w:rsidP="000313F6">
            <w:pPr>
              <w:jc w:val="both"/>
              <w:rPr>
                <w:rFonts w:ascii="Arial" w:eastAsia="Calibri" w:hAnsi="Arial" w:cs="Arial"/>
                <w:bCs/>
                <w:iCs/>
                <w:sz w:val="16"/>
                <w:szCs w:val="16"/>
                <w:lang w:val="hr-HR"/>
              </w:rPr>
            </w:pPr>
            <w:hyperlink r:id="rId5" w:history="1">
              <w:r w:rsidR="00A865F4" w:rsidRPr="001B12CE">
                <w:rPr>
                  <w:rFonts w:ascii="Arial" w:eastAsia="Calibri" w:hAnsi="Arial" w:cs="Arial"/>
                  <w:bCs/>
                  <w:iCs/>
                  <w:sz w:val="16"/>
                  <w:szCs w:val="16"/>
                  <w:u w:val="single"/>
                  <w:lang w:val="hr-HR"/>
                </w:rPr>
                <w:t>http://www.ilincnetwork.eu/wp-content/uploads/2015/09/QM15-0011-88_15-iLINC-Brochure-Update-QMUL-Logo-No-Crops.pdf</w:t>
              </w:r>
            </w:hyperlink>
          </w:p>
          <w:p w:rsidR="00A865F4" w:rsidRPr="001B12CE" w:rsidRDefault="00A865F4" w:rsidP="000313F6">
            <w:pPr>
              <w:jc w:val="both"/>
              <w:rPr>
                <w:rFonts w:ascii="Arial" w:eastAsia="Calibri" w:hAnsi="Arial" w:cs="Arial"/>
                <w:bCs/>
                <w:iCs/>
                <w:sz w:val="16"/>
                <w:szCs w:val="16"/>
                <w:lang w:val="hr-HR"/>
              </w:rPr>
            </w:pPr>
            <w:r w:rsidRPr="001B12CE">
              <w:rPr>
                <w:rFonts w:ascii="Arial" w:eastAsia="Calibri" w:hAnsi="Arial" w:cs="Arial"/>
                <w:bCs/>
                <w:iCs/>
                <w:sz w:val="16"/>
                <w:szCs w:val="16"/>
                <w:lang w:val="hr-HR"/>
              </w:rPr>
              <w:t>KU Leuven:</w:t>
            </w:r>
          </w:p>
          <w:p w:rsidR="00A865F4" w:rsidRPr="001B12CE" w:rsidRDefault="00A865F4" w:rsidP="000313F6">
            <w:pPr>
              <w:jc w:val="both"/>
              <w:rPr>
                <w:rFonts w:ascii="Arial" w:eastAsia="Calibri" w:hAnsi="Arial" w:cs="Arial"/>
                <w:bCs/>
                <w:iCs/>
                <w:sz w:val="16"/>
                <w:szCs w:val="16"/>
                <w:lang w:val="hr-HR"/>
              </w:rPr>
            </w:pPr>
            <w:r w:rsidRPr="001B12CE">
              <w:rPr>
                <w:rFonts w:ascii="Arial" w:eastAsia="Calibri" w:hAnsi="Arial" w:cs="Arial"/>
                <w:bCs/>
                <w:iCs/>
                <w:sz w:val="16"/>
                <w:szCs w:val="16"/>
                <w:lang w:val="hr-HR"/>
              </w:rPr>
              <w:t>https://www.law.kuleuven.be/education/clinics-1516/international-and-european-jurisprudence</w:t>
            </w:r>
          </w:p>
          <w:p w:rsidR="00A865F4" w:rsidRPr="001B12CE" w:rsidRDefault="00BF6470" w:rsidP="000313F6">
            <w:pPr>
              <w:jc w:val="both"/>
              <w:rPr>
                <w:rFonts w:ascii="Arial" w:eastAsia="Calibri" w:hAnsi="Arial" w:cs="Arial"/>
                <w:sz w:val="16"/>
                <w:szCs w:val="16"/>
              </w:rPr>
            </w:pPr>
            <w:hyperlink r:id="rId6" w:history="1">
              <w:proofErr w:type="spellStart"/>
              <w:r w:rsidR="00A865F4" w:rsidRPr="001B12CE">
                <w:rPr>
                  <w:rFonts w:ascii="Arial" w:eastAsia="Calibri" w:hAnsi="Arial" w:cs="Arial"/>
                  <w:sz w:val="16"/>
                  <w:szCs w:val="16"/>
                </w:rPr>
                <w:t>Palacký</w:t>
              </w:r>
              <w:proofErr w:type="spellEnd"/>
              <w:r w:rsidR="00A865F4" w:rsidRPr="001B12CE">
                <w:rPr>
                  <w:rFonts w:ascii="Arial" w:eastAsia="Calibri" w:hAnsi="Arial" w:cs="Arial"/>
                  <w:sz w:val="16"/>
                  <w:szCs w:val="16"/>
                </w:rPr>
                <w:t xml:space="preserve"> University Faculty of Law</w:t>
              </w:r>
            </w:hyperlink>
            <w:r w:rsidR="00A865F4" w:rsidRPr="001B12CE">
              <w:rPr>
                <w:rFonts w:ascii="Arial" w:eastAsia="Calibri" w:hAnsi="Arial" w:cs="Arial"/>
                <w:sz w:val="16"/>
                <w:szCs w:val="16"/>
              </w:rPr>
              <w:t>:</w:t>
            </w:r>
          </w:p>
          <w:p w:rsidR="00A865F4" w:rsidRPr="001B12CE" w:rsidRDefault="00A865F4" w:rsidP="000313F6">
            <w:pPr>
              <w:jc w:val="both"/>
              <w:rPr>
                <w:rFonts w:ascii="Arial" w:eastAsia="Calibri" w:hAnsi="Arial" w:cs="Arial"/>
                <w:bCs/>
                <w:iCs/>
                <w:sz w:val="16"/>
                <w:szCs w:val="16"/>
                <w:lang w:val="hr-HR"/>
              </w:rPr>
            </w:pPr>
            <w:r w:rsidRPr="001B12CE">
              <w:rPr>
                <w:rFonts w:ascii="Arial" w:eastAsia="Calibri" w:hAnsi="Arial" w:cs="Arial"/>
                <w:bCs/>
                <w:iCs/>
                <w:sz w:val="16"/>
                <w:szCs w:val="16"/>
                <w:lang w:val="hr-HR"/>
              </w:rPr>
              <w:t>http://www.pf.upol.cz/en/groups/studying/law-clinic-centre/</w:t>
            </w:r>
          </w:p>
          <w:p w:rsidR="00A865F4" w:rsidRPr="001B12CE" w:rsidRDefault="00A865F4" w:rsidP="000313F6">
            <w:pPr>
              <w:jc w:val="both"/>
              <w:rPr>
                <w:rFonts w:ascii="Arial" w:eastAsia="Calibri" w:hAnsi="Arial" w:cs="Arial"/>
                <w:bCs/>
                <w:iCs/>
                <w:sz w:val="16"/>
                <w:szCs w:val="16"/>
                <w:lang w:val="hr-HR"/>
              </w:rPr>
            </w:pPr>
            <w:r w:rsidRPr="001B12CE">
              <w:rPr>
                <w:rFonts w:ascii="Arial" w:eastAsia="Calibri" w:hAnsi="Arial" w:cs="Arial"/>
                <w:bCs/>
                <w:iCs/>
                <w:sz w:val="16"/>
                <w:szCs w:val="16"/>
                <w:lang w:val="hr-HR"/>
              </w:rPr>
              <w:t>Faculty of Law of the University of Belgrade:</w:t>
            </w:r>
          </w:p>
          <w:p w:rsidR="00A865F4" w:rsidRPr="001B12CE" w:rsidRDefault="00A865F4" w:rsidP="000313F6">
            <w:pPr>
              <w:jc w:val="both"/>
              <w:rPr>
                <w:rFonts w:ascii="Arial" w:eastAsia="Calibri" w:hAnsi="Arial" w:cs="Arial"/>
                <w:bCs/>
                <w:iCs/>
                <w:sz w:val="16"/>
                <w:szCs w:val="16"/>
                <w:lang w:val="hr-HR"/>
              </w:rPr>
            </w:pPr>
            <w:r w:rsidRPr="001B12CE">
              <w:rPr>
                <w:rFonts w:ascii="Arial" w:eastAsia="Calibri" w:hAnsi="Arial" w:cs="Arial"/>
                <w:bCs/>
                <w:iCs/>
                <w:sz w:val="16"/>
                <w:szCs w:val="16"/>
                <w:lang w:val="hr-HR"/>
              </w:rPr>
              <w:t>http://www.ius.bg.ac.rs/Pravna%20klinika/PRAVNA%20KLINIKA.htm</w:t>
            </w:r>
          </w:p>
          <w:p w:rsidR="00A865F4" w:rsidRPr="001B12CE" w:rsidRDefault="00A865F4" w:rsidP="000313F6">
            <w:pPr>
              <w:jc w:val="both"/>
              <w:rPr>
                <w:rFonts w:ascii="Arial" w:eastAsia="Calibri" w:hAnsi="Arial" w:cs="Arial"/>
                <w:bCs/>
                <w:iCs/>
                <w:sz w:val="16"/>
                <w:szCs w:val="16"/>
                <w:lang w:val="hr-HR"/>
              </w:rPr>
            </w:pPr>
            <w:r w:rsidRPr="001B12CE">
              <w:rPr>
                <w:rFonts w:ascii="Arial" w:eastAsia="Calibri" w:hAnsi="Arial" w:cs="Arial"/>
                <w:bCs/>
                <w:iCs/>
                <w:sz w:val="16"/>
                <w:szCs w:val="16"/>
                <w:lang w:val="hr-HR"/>
              </w:rPr>
              <w:t>New York University School of Law:</w:t>
            </w:r>
          </w:p>
          <w:p w:rsidR="00A865F4" w:rsidRPr="001B12CE" w:rsidRDefault="00A865F4" w:rsidP="000313F6">
            <w:pPr>
              <w:jc w:val="both"/>
              <w:rPr>
                <w:rFonts w:ascii="Arial" w:eastAsia="Calibri" w:hAnsi="Arial" w:cs="Arial"/>
                <w:bCs/>
                <w:iCs/>
                <w:sz w:val="16"/>
                <w:szCs w:val="16"/>
                <w:lang w:val="hr-HR"/>
              </w:rPr>
            </w:pPr>
            <w:r w:rsidRPr="001B12CE">
              <w:rPr>
                <w:rFonts w:ascii="Arial" w:eastAsia="Calibri" w:hAnsi="Arial" w:cs="Arial"/>
                <w:bCs/>
                <w:iCs/>
                <w:sz w:val="16"/>
                <w:szCs w:val="16"/>
                <w:lang w:val="hr-HR"/>
              </w:rPr>
              <w:t>http://www.law.nyu.edu/academics/clinics/semester/business</w:t>
            </w:r>
          </w:p>
          <w:p w:rsidR="00A865F4" w:rsidRPr="001B12CE" w:rsidRDefault="00A865F4" w:rsidP="000313F6">
            <w:pPr>
              <w:jc w:val="both"/>
              <w:rPr>
                <w:rFonts w:ascii="Arial" w:eastAsia="Calibri" w:hAnsi="Arial" w:cs="Arial"/>
                <w:b/>
                <w:bCs/>
                <w:i/>
                <w:iCs/>
                <w:sz w:val="16"/>
                <w:szCs w:val="16"/>
                <w:lang w:val="hr-HR"/>
              </w:rPr>
            </w:pPr>
            <w:r w:rsidRPr="001B12CE">
              <w:rPr>
                <w:rFonts w:ascii="Arial" w:eastAsia="Calibri" w:hAnsi="Arial" w:cs="Arial"/>
                <w:b/>
                <w:bCs/>
                <w:i/>
                <w:iCs/>
                <w:sz w:val="16"/>
                <w:szCs w:val="16"/>
                <w:lang w:val="hr-HR"/>
              </w:rPr>
              <w:t xml:space="preserve"> </w:t>
            </w:r>
          </w:p>
        </w:tc>
      </w:tr>
      <w:tr w:rsidR="00A865F4" w:rsidRPr="001B12CE" w:rsidTr="000313F6">
        <w:trPr>
          <w:trHeight w:val="653"/>
        </w:trPr>
        <w:tc>
          <w:tcPr>
            <w:tcW w:w="5000" w:type="pct"/>
            <w:gridSpan w:val="7"/>
            <w:shd w:val="clear" w:color="auto" w:fill="auto"/>
          </w:tcPr>
          <w:p w:rsidR="00A865F4" w:rsidRDefault="00A865F4" w:rsidP="000313F6">
            <w:pPr>
              <w:jc w:val="both"/>
              <w:rPr>
                <w:rFonts w:ascii="Arial" w:eastAsia="Calibri" w:hAnsi="Arial" w:cs="Arial"/>
                <w:color w:val="000000"/>
                <w:sz w:val="16"/>
                <w:szCs w:val="16"/>
              </w:rPr>
            </w:pPr>
            <w:r w:rsidRPr="001B12CE">
              <w:rPr>
                <w:rFonts w:ascii="Arial" w:eastAsia="Calibri" w:hAnsi="Arial" w:cs="Arial"/>
                <w:b/>
                <w:color w:val="000000"/>
                <w:sz w:val="16"/>
                <w:szCs w:val="16"/>
                <w:lang w:val="sr-Latn-CS"/>
              </w:rPr>
              <w:t>Practical classes:</w:t>
            </w:r>
            <w:r w:rsidRPr="001B12CE">
              <w:rPr>
                <w:rFonts w:ascii="Arial" w:eastAsia="Calibri" w:hAnsi="Arial" w:cs="Arial"/>
                <w:color w:val="000000"/>
                <w:sz w:val="16"/>
                <w:szCs w:val="16"/>
              </w:rPr>
              <w:t>Business legal clinic</w:t>
            </w:r>
          </w:p>
          <w:p w:rsidR="00A865F4" w:rsidRPr="001B12CE" w:rsidRDefault="00A865F4" w:rsidP="000313F6">
            <w:pPr>
              <w:jc w:val="both"/>
              <w:rPr>
                <w:rFonts w:ascii="Arial" w:eastAsia="Calibri" w:hAnsi="Arial" w:cs="Arial"/>
                <w:b/>
                <w:bCs/>
                <w:i/>
                <w:iCs/>
                <w:sz w:val="16"/>
                <w:szCs w:val="16"/>
                <w:lang w:val="hr-HR"/>
              </w:rPr>
            </w:pPr>
            <w:r w:rsidRPr="001B12CE">
              <w:rPr>
                <w:rFonts w:ascii="Arial" w:eastAsia="Calibri" w:hAnsi="Arial" w:cs="Arial"/>
                <w:b/>
                <w:color w:val="000000"/>
                <w:sz w:val="16"/>
                <w:szCs w:val="16"/>
                <w:lang w:val="hr-HR"/>
              </w:rPr>
              <w:t xml:space="preserve"> </w:t>
            </w:r>
            <w:proofErr w:type="gramStart"/>
            <w:r w:rsidRPr="001B12CE">
              <w:rPr>
                <w:rFonts w:ascii="Arial" w:eastAsia="Calibri" w:hAnsi="Arial" w:cs="Arial"/>
                <w:color w:val="000000"/>
                <w:sz w:val="16"/>
                <w:szCs w:val="16"/>
              </w:rPr>
              <w:t>is</w:t>
            </w:r>
            <w:proofErr w:type="gramEnd"/>
            <w:r w:rsidRPr="001B12CE">
              <w:rPr>
                <w:rFonts w:ascii="Arial" w:eastAsia="Calibri" w:hAnsi="Arial" w:cs="Arial"/>
                <w:color w:val="000000"/>
                <w:sz w:val="16"/>
                <w:szCs w:val="16"/>
              </w:rPr>
              <w:t xml:space="preserve"> dominantly, through the teaching process at the faculty and during the stay at the institutions, organized through the practical dimension of acquiring professional knowledge -</w:t>
            </w:r>
            <w:r w:rsidRPr="001B12CE">
              <w:rPr>
                <w:rFonts w:ascii="Arial" w:eastAsia="Calibri" w:hAnsi="Arial" w:cs="Arial"/>
                <w:i/>
                <w:sz w:val="16"/>
                <w:szCs w:val="16"/>
              </w:rPr>
              <w:t>case method</w:t>
            </w:r>
            <w:r w:rsidRPr="001B12CE">
              <w:rPr>
                <w:rFonts w:ascii="Arial" w:eastAsia="Calibri" w:hAnsi="Arial" w:cs="Arial"/>
                <w:sz w:val="16"/>
                <w:szCs w:val="16"/>
                <w:lang w:val="hr-HR"/>
              </w:rPr>
              <w:t>and trial simulations</w:t>
            </w:r>
            <w:r w:rsidRPr="001B12CE">
              <w:rPr>
                <w:rFonts w:ascii="Arial" w:eastAsia="Calibri" w:hAnsi="Arial" w:cs="Arial"/>
                <w:color w:val="000000"/>
                <w:sz w:val="16"/>
                <w:szCs w:val="16"/>
                <w:lang w:val="hr-HR"/>
              </w:rPr>
              <w:t>. The subject is designed as a more advanced and practical version of professional subjects in the field of commercial law from basic academic studies, and the analysis and simulation of preparation of arguments and defense of the case is the basic method of work.</w:t>
            </w:r>
          </w:p>
        </w:tc>
      </w:tr>
      <w:tr w:rsidR="00A865F4" w:rsidRPr="001B12CE" w:rsidTr="000313F6">
        <w:trPr>
          <w:trHeight w:val="406"/>
        </w:trPr>
        <w:tc>
          <w:tcPr>
            <w:tcW w:w="5000" w:type="pct"/>
            <w:gridSpan w:val="7"/>
            <w:shd w:val="clear" w:color="auto" w:fill="auto"/>
          </w:tcPr>
          <w:p w:rsidR="00A865F4" w:rsidRPr="001B12CE" w:rsidRDefault="00A865F4" w:rsidP="000313F6">
            <w:pPr>
              <w:rPr>
                <w:rFonts w:ascii="Arial" w:eastAsia="Calibri" w:hAnsi="Arial" w:cs="Arial"/>
                <w:b/>
                <w:bCs/>
                <w:i/>
                <w:iCs/>
                <w:sz w:val="16"/>
                <w:szCs w:val="16"/>
                <w:lang w:val="sr-Latn-CS"/>
              </w:rPr>
            </w:pPr>
          </w:p>
          <w:p w:rsidR="00A865F4" w:rsidRPr="001B12CE" w:rsidRDefault="00A865F4" w:rsidP="000313F6">
            <w:pPr>
              <w:jc w:val="both"/>
              <w:rPr>
                <w:rFonts w:ascii="Arial" w:eastAsia="Calibri" w:hAnsi="Arial" w:cs="Arial"/>
                <w:sz w:val="16"/>
                <w:szCs w:val="16"/>
                <w:lang w:val="sr-Latn-CS"/>
              </w:rPr>
            </w:pPr>
            <w:r w:rsidRPr="001B12CE">
              <w:rPr>
                <w:rFonts w:ascii="Arial" w:eastAsia="Calibri" w:hAnsi="Arial" w:cs="Arial"/>
                <w:b/>
                <w:bCs/>
                <w:i/>
                <w:iCs/>
                <w:sz w:val="16"/>
                <w:szCs w:val="16"/>
                <w:lang w:val="sr-Latn-CS"/>
              </w:rPr>
              <w:t>Method of teaching and mastering the material:</w:t>
            </w:r>
            <w:r w:rsidRPr="001B12CE">
              <w:rPr>
                <w:rFonts w:ascii="Arial" w:eastAsia="Calibri" w:hAnsi="Arial" w:cs="Arial"/>
                <w:sz w:val="16"/>
                <w:szCs w:val="16"/>
                <w:lang w:val="sr-Latn-CS"/>
              </w:rPr>
              <w:t xml:space="preserve"> </w:t>
            </w:r>
            <w:r w:rsidRPr="001B12CE">
              <w:rPr>
                <w:rFonts w:ascii="Arial" w:eastAsia="Calibri" w:hAnsi="Arial" w:cs="Arial"/>
                <w:bCs/>
                <w:iCs/>
                <w:color w:val="000000"/>
                <w:sz w:val="16"/>
                <w:szCs w:val="16"/>
                <w:lang w:val="sr-Latn-CS"/>
              </w:rPr>
              <w:t>As a compulsory course (valued with 8 ECTS credits and with a structure of hours (4+1)) in the Master's/Master's studies in the Business and Law field</w:t>
            </w:r>
            <w:r w:rsidRPr="001B12CE">
              <w:rPr>
                <w:rFonts w:ascii="Arial" w:eastAsia="Calibri" w:hAnsi="Arial" w:cs="Arial"/>
                <w:sz w:val="16"/>
                <w:szCs w:val="16"/>
                <w:lang w:val="sr-Latn-CS"/>
              </w:rPr>
              <w:t>at the Faculty of Law of the University of Montenegro</w:t>
            </w:r>
            <w:r w:rsidRPr="001B12CE">
              <w:rPr>
                <w:rFonts w:ascii="Arial" w:eastAsia="Calibri" w:hAnsi="Arial" w:cs="Arial"/>
                <w:b/>
                <w:bCs/>
                <w:iCs/>
                <w:color w:val="000000"/>
                <w:sz w:val="16"/>
                <w:szCs w:val="16"/>
                <w:lang w:val="sr-Latn-CS"/>
              </w:rPr>
              <w:t>,</w:t>
            </w:r>
            <w:r w:rsidRPr="001B12CE">
              <w:rPr>
                <w:rFonts w:ascii="Arial" w:eastAsia="Calibri" w:hAnsi="Arial" w:cs="Arial"/>
                <w:sz w:val="16"/>
                <w:szCs w:val="16"/>
                <w:lang w:val="sr-Latn-CS"/>
              </w:rPr>
              <w:t>in addition to classical theory, it also includes practical teaching that includes direct contact of our students with professionals in the field of Business Law. Teaching methods include visits and trainings at the Commercial Court, the Chamber of Commerce of Montenegro, the Mediation Center of Montenegro, Delta Insurance, the Karanović - Nikolić Law Firm.</w:t>
            </w:r>
          </w:p>
          <w:p w:rsidR="00A865F4" w:rsidRPr="001B12CE" w:rsidRDefault="00A865F4" w:rsidP="000313F6">
            <w:pPr>
              <w:jc w:val="both"/>
              <w:rPr>
                <w:rFonts w:ascii="Arial" w:eastAsia="Calibri" w:hAnsi="Arial" w:cs="Arial"/>
                <w:sz w:val="16"/>
                <w:szCs w:val="16"/>
              </w:rPr>
            </w:pPr>
            <w:r w:rsidRPr="001B12CE">
              <w:rPr>
                <w:rFonts w:ascii="Arial" w:eastAsia="Calibri" w:hAnsi="Arial" w:cs="Arial"/>
                <w:bCs/>
                <w:sz w:val="16"/>
                <w:szCs w:val="16"/>
              </w:rPr>
              <w:t xml:space="preserve">The work plan at the Business Law Clinics is implemented through two </w:t>
            </w:r>
            <w:proofErr w:type="spellStart"/>
            <w:r w:rsidRPr="001B12CE">
              <w:rPr>
                <w:rFonts w:ascii="Arial" w:eastAsia="Calibri" w:hAnsi="Arial" w:cs="Arial"/>
                <w:bCs/>
                <w:sz w:val="16"/>
                <w:szCs w:val="16"/>
              </w:rPr>
              <w:t>phases.</w:t>
            </w:r>
            <w:r w:rsidRPr="001B12CE">
              <w:rPr>
                <w:rFonts w:ascii="Arial" w:eastAsia="Calibri" w:hAnsi="Arial" w:cs="Arial"/>
                <w:b/>
                <w:sz w:val="16"/>
                <w:szCs w:val="16"/>
              </w:rPr>
              <w:t>Phase</w:t>
            </w:r>
            <w:proofErr w:type="spellEnd"/>
            <w:r w:rsidRPr="001B12CE">
              <w:rPr>
                <w:rFonts w:ascii="Arial" w:eastAsia="Calibri" w:hAnsi="Arial" w:cs="Arial"/>
                <w:b/>
                <w:sz w:val="16"/>
                <w:szCs w:val="16"/>
              </w:rPr>
              <w:t xml:space="preserve"> </w:t>
            </w:r>
            <w:proofErr w:type="spellStart"/>
            <w:r w:rsidRPr="001B12CE">
              <w:rPr>
                <w:rFonts w:ascii="Arial" w:eastAsia="Calibri" w:hAnsi="Arial" w:cs="Arial"/>
                <w:b/>
                <w:sz w:val="16"/>
                <w:szCs w:val="16"/>
              </w:rPr>
              <w:t>I</w:t>
            </w:r>
            <w:r w:rsidRPr="001B12CE">
              <w:rPr>
                <w:rFonts w:ascii="Arial" w:eastAsia="Calibri" w:hAnsi="Arial" w:cs="Arial"/>
                <w:sz w:val="16"/>
                <w:szCs w:val="16"/>
              </w:rPr>
              <w:t>is</w:t>
            </w:r>
            <w:proofErr w:type="spellEnd"/>
            <w:r w:rsidRPr="001B12CE">
              <w:rPr>
                <w:rFonts w:ascii="Arial" w:eastAsia="Calibri" w:hAnsi="Arial" w:cs="Arial"/>
                <w:sz w:val="16"/>
                <w:szCs w:val="16"/>
              </w:rPr>
              <w:t xml:space="preserve"> the most innovative because it involves the introduction of teaching units with the aforementioned techniques of case methods and trial simulation. It enables students to apply theoretical knowledge and develop analytical skills necessary for solving specific legal problems: reading and solving cases from court practice. This method also develops a practical way of thinking and learning through the application of theoretical knowledge to cases from court practice. Also, in this phase, students will be introduced to the techniques and skills of trial simulation as a new learning method, which, through the simulation of case preparation, develops the ability to dialogue, actively listen and oppose arguments, in the preparation of the arguments of both sides - the plaintiff and the defendant. Through simulation, students are given the opportunity to practice their application by solving specific legal problems. Simulation as a method affirms mentoring work with small groups with the use of extensive bibliographic material. This introduces students to the world of case preparation, case processing, preliminary problem identification, </w:t>
            </w:r>
            <w:proofErr w:type="gramStart"/>
            <w:r w:rsidRPr="001B12CE">
              <w:rPr>
                <w:rFonts w:ascii="Arial" w:eastAsia="Calibri" w:hAnsi="Arial" w:cs="Arial"/>
                <w:sz w:val="16"/>
                <w:szCs w:val="16"/>
              </w:rPr>
              <w:t>chronological</w:t>
            </w:r>
            <w:proofErr w:type="gramEnd"/>
            <w:r w:rsidRPr="001B12CE">
              <w:rPr>
                <w:rFonts w:ascii="Arial" w:eastAsia="Calibri" w:hAnsi="Arial" w:cs="Arial"/>
                <w:sz w:val="16"/>
                <w:szCs w:val="16"/>
              </w:rPr>
              <w:t xml:space="preserve"> overview of the problem, determination of the legal nature of the problem, summarization and preliminary legal qualification.</w:t>
            </w:r>
          </w:p>
          <w:p w:rsidR="00A865F4" w:rsidRPr="001B12CE" w:rsidRDefault="00A865F4" w:rsidP="000313F6">
            <w:pPr>
              <w:spacing w:line="288" w:lineRule="auto"/>
              <w:jc w:val="both"/>
              <w:rPr>
                <w:rFonts w:ascii="Arial" w:eastAsia="Calibri" w:hAnsi="Arial" w:cs="Arial"/>
                <w:sz w:val="16"/>
                <w:szCs w:val="16"/>
              </w:rPr>
            </w:pPr>
            <w:r w:rsidRPr="001B12CE">
              <w:rPr>
                <w:rFonts w:ascii="Arial" w:eastAsia="Calibri" w:hAnsi="Arial" w:cs="Arial"/>
                <w:sz w:val="16"/>
                <w:szCs w:val="16"/>
              </w:rPr>
              <w:t>In the last part of this phase, and immediately before the stay in institutions - actors of business law in Montenegro, students will be shown the content and importance of ethical codes of judges and lawyers, as practical actors. II phase of work at Business Legal Clinics, which refers to stays in institutions - active and passive carriers of business activity in Montenegro.</w:t>
            </w:r>
          </w:p>
        </w:tc>
      </w:tr>
      <w:tr w:rsidR="00A865F4" w:rsidRPr="001B12CE" w:rsidTr="000313F6">
        <w:trPr>
          <w:trHeight w:val="140"/>
        </w:trPr>
        <w:tc>
          <w:tcPr>
            <w:tcW w:w="761" w:type="pct"/>
            <w:gridSpan w:val="2"/>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p>
        </w:tc>
        <w:tc>
          <w:tcPr>
            <w:tcW w:w="4239" w:type="pct"/>
            <w:gridSpan w:val="5"/>
            <w:shd w:val="clear" w:color="auto" w:fill="auto"/>
          </w:tcPr>
          <w:p w:rsidR="00A865F4" w:rsidRPr="001B12CE" w:rsidRDefault="00A865F4" w:rsidP="000313F6">
            <w:pPr>
              <w:rPr>
                <w:rFonts w:ascii="Arial" w:eastAsia="Calibri" w:hAnsi="Arial" w:cs="Arial"/>
                <w:b/>
                <w:color w:val="000000"/>
                <w:sz w:val="16"/>
                <w:szCs w:val="16"/>
              </w:rPr>
            </w:pPr>
            <w:r w:rsidRPr="001B12CE">
              <w:rPr>
                <w:rFonts w:ascii="Arial" w:eastAsia="Calibri" w:hAnsi="Arial" w:cs="Arial"/>
                <w:b/>
                <w:color w:val="000000"/>
                <w:sz w:val="16"/>
                <w:szCs w:val="16"/>
              </w:rPr>
              <w:t>Detailed work according to working weeks</w:t>
            </w:r>
          </w:p>
        </w:tc>
      </w:tr>
      <w:tr w:rsidR="00A865F4" w:rsidRPr="001B12CE" w:rsidTr="000313F6">
        <w:trPr>
          <w:trHeight w:val="140"/>
        </w:trPr>
        <w:tc>
          <w:tcPr>
            <w:tcW w:w="609" w:type="pct"/>
            <w:shd w:val="clear" w:color="auto" w:fill="auto"/>
          </w:tcPr>
          <w:p w:rsidR="00A865F4" w:rsidRPr="001B12CE" w:rsidRDefault="00A865F4" w:rsidP="000313F6">
            <w:pPr>
              <w:spacing w:after="120" w:line="480" w:lineRule="auto"/>
              <w:ind w:left="-25"/>
              <w:jc w:val="center"/>
              <w:rPr>
                <w:rFonts w:ascii="Arial" w:eastAsia="Calibri" w:hAnsi="Arial" w:cs="Arial"/>
                <w:b/>
                <w:sz w:val="16"/>
                <w:szCs w:val="16"/>
              </w:rPr>
            </w:pPr>
            <w:r w:rsidRPr="001B12CE">
              <w:rPr>
                <w:rFonts w:ascii="Arial" w:eastAsia="Calibri" w:hAnsi="Arial" w:cs="Arial"/>
                <w:b/>
                <w:sz w:val="16"/>
                <w:szCs w:val="16"/>
              </w:rPr>
              <w:t>I</w:t>
            </w: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vertAlign w:val="superscript"/>
              </w:rPr>
            </w:pPr>
            <w:r w:rsidRPr="001B12CE">
              <w:rPr>
                <w:rFonts w:ascii="Arial" w:eastAsia="Calibri" w:hAnsi="Arial" w:cs="Arial"/>
                <w:b/>
                <w:i/>
                <w:sz w:val="16"/>
                <w:szCs w:val="16"/>
              </w:rPr>
              <w:t>P/V</w:t>
            </w:r>
          </w:p>
        </w:tc>
        <w:tc>
          <w:tcPr>
            <w:tcW w:w="4239" w:type="pct"/>
            <w:gridSpan w:val="5"/>
            <w:shd w:val="clear" w:color="auto" w:fill="auto"/>
          </w:tcPr>
          <w:p w:rsidR="00A865F4" w:rsidRPr="001B12CE" w:rsidRDefault="00A865F4" w:rsidP="000313F6">
            <w:pPr>
              <w:spacing w:after="120" w:line="480" w:lineRule="auto"/>
              <w:rPr>
                <w:rFonts w:ascii="Arial" w:eastAsia="Calibri" w:hAnsi="Arial" w:cs="Arial"/>
                <w:sz w:val="16"/>
                <w:szCs w:val="16"/>
              </w:rPr>
            </w:pPr>
            <w:r w:rsidRPr="001B12CE">
              <w:rPr>
                <w:rFonts w:ascii="Arial" w:eastAsia="Calibri" w:hAnsi="Arial" w:cs="Arial"/>
                <w:sz w:val="16"/>
                <w:szCs w:val="16"/>
              </w:rPr>
              <w:t>The role and importance of legal clinics.</w:t>
            </w:r>
          </w:p>
          <w:p w:rsidR="00A865F4" w:rsidRPr="001B12CE" w:rsidRDefault="00A865F4" w:rsidP="000313F6">
            <w:pPr>
              <w:spacing w:after="120" w:line="480" w:lineRule="auto"/>
              <w:rPr>
                <w:rFonts w:ascii="Arial" w:eastAsia="Calibri" w:hAnsi="Arial" w:cs="Arial"/>
                <w:sz w:val="16"/>
                <w:szCs w:val="16"/>
              </w:rPr>
            </w:pPr>
            <w:r w:rsidRPr="001B12CE">
              <w:rPr>
                <w:rFonts w:ascii="Arial" w:eastAsia="Calibri" w:hAnsi="Arial" w:cs="Arial"/>
                <w:sz w:val="16"/>
                <w:szCs w:val="16"/>
              </w:rPr>
              <w:t>Inaugurating case methods and trial simulations</w:t>
            </w:r>
          </w:p>
        </w:tc>
      </w:tr>
      <w:tr w:rsidR="00A865F4" w:rsidRPr="001B12CE" w:rsidTr="000313F6">
        <w:trPr>
          <w:trHeight w:val="140"/>
        </w:trPr>
        <w:tc>
          <w:tcPr>
            <w:tcW w:w="609" w:type="pct"/>
            <w:shd w:val="clear" w:color="auto" w:fill="auto"/>
          </w:tcPr>
          <w:p w:rsidR="00A865F4" w:rsidRPr="001B12CE" w:rsidRDefault="00A865F4" w:rsidP="000313F6">
            <w:pPr>
              <w:spacing w:after="120" w:line="480" w:lineRule="auto"/>
              <w:ind w:left="-25"/>
              <w:jc w:val="center"/>
              <w:rPr>
                <w:rFonts w:ascii="Arial" w:eastAsia="Calibri" w:hAnsi="Arial" w:cs="Arial"/>
                <w:b/>
                <w:sz w:val="16"/>
                <w:szCs w:val="16"/>
              </w:rPr>
            </w:pPr>
            <w:r w:rsidRPr="001B12CE">
              <w:rPr>
                <w:rFonts w:ascii="Arial" w:eastAsia="Calibri" w:hAnsi="Arial" w:cs="Arial"/>
                <w:b/>
                <w:sz w:val="16"/>
                <w:szCs w:val="16"/>
              </w:rPr>
              <w:t>II</w:t>
            </w: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r w:rsidRPr="001B12CE">
              <w:rPr>
                <w:rFonts w:ascii="Arial" w:eastAsia="Calibri" w:hAnsi="Arial" w:cs="Arial"/>
                <w:b/>
                <w:i/>
                <w:sz w:val="16"/>
                <w:szCs w:val="16"/>
              </w:rPr>
              <w:t>P/V</w:t>
            </w:r>
          </w:p>
        </w:tc>
        <w:tc>
          <w:tcPr>
            <w:tcW w:w="4239" w:type="pct"/>
            <w:gridSpan w:val="5"/>
            <w:shd w:val="clear" w:color="auto" w:fill="auto"/>
          </w:tcPr>
          <w:p w:rsidR="00A865F4" w:rsidRPr="001B12CE" w:rsidRDefault="00A865F4" w:rsidP="000313F6">
            <w:pPr>
              <w:jc w:val="both"/>
              <w:rPr>
                <w:rFonts w:ascii="Arial" w:eastAsia="Calibri" w:hAnsi="Arial" w:cs="Arial"/>
                <w:b/>
                <w:i/>
                <w:sz w:val="16"/>
                <w:szCs w:val="16"/>
              </w:rPr>
            </w:pPr>
          </w:p>
          <w:p w:rsidR="00A865F4" w:rsidRPr="001B12CE" w:rsidRDefault="00A865F4" w:rsidP="000313F6">
            <w:pPr>
              <w:jc w:val="both"/>
              <w:rPr>
                <w:rFonts w:ascii="Arial" w:eastAsia="Calibri" w:hAnsi="Arial" w:cs="Arial"/>
                <w:b/>
                <w:i/>
                <w:sz w:val="16"/>
                <w:szCs w:val="16"/>
              </w:rPr>
            </w:pPr>
            <w:r w:rsidRPr="001B12CE">
              <w:rPr>
                <w:rFonts w:ascii="Arial" w:eastAsia="Calibri" w:hAnsi="Arial" w:cs="Arial"/>
                <w:b/>
                <w:i/>
                <w:sz w:val="16"/>
                <w:szCs w:val="16"/>
              </w:rPr>
              <w:t>Ex cathedra lecture with analysis of examples from judicial practice on the topic INTERNATIONAL SALE OF GOODS.</w:t>
            </w:r>
          </w:p>
          <w:p w:rsidR="00A865F4" w:rsidRPr="001B12CE" w:rsidRDefault="00A865F4" w:rsidP="000313F6">
            <w:pPr>
              <w:jc w:val="both"/>
              <w:rPr>
                <w:rFonts w:ascii="Arial" w:eastAsia="Calibri" w:hAnsi="Arial" w:cs="Arial"/>
                <w:sz w:val="16"/>
                <w:szCs w:val="16"/>
              </w:rPr>
            </w:pPr>
            <w:r w:rsidRPr="001B12CE">
              <w:rPr>
                <w:rFonts w:ascii="Arial" w:eastAsia="Calibri" w:hAnsi="Arial" w:cs="Arial"/>
                <w:sz w:val="16"/>
                <w:szCs w:val="16"/>
              </w:rPr>
              <w:lastRenderedPageBreak/>
              <w:t>Familiarization with the framework of the definition of international sale of goods and placement of this transaction in the legislative framework of the Vienna Convention (CISG), with a detailed overview of rights and obligations, responsibility, transfer of risk, significant breach of contract, and legal remedies. Acquaintance with the content of INCOTERMS as well as the Convention on the Limitation of Claims. A significant part of the processing of this topic will also refer to the analysis of court cases from the jurisprudence of Montenegrin and other court instances that are included in the electronic database of court judgments that rely on the application of the CISG, such as CLOUT UNCITRAL, PACE Law School, as well as of UNILEX.</w:t>
            </w:r>
          </w:p>
        </w:tc>
      </w:tr>
      <w:tr w:rsidR="00A865F4" w:rsidRPr="001B12CE" w:rsidTr="000313F6">
        <w:trPr>
          <w:trHeight w:val="140"/>
        </w:trPr>
        <w:tc>
          <w:tcPr>
            <w:tcW w:w="609" w:type="pct"/>
            <w:shd w:val="clear" w:color="auto" w:fill="auto"/>
          </w:tcPr>
          <w:p w:rsidR="00A865F4" w:rsidRPr="001B12CE" w:rsidRDefault="00A865F4" w:rsidP="000313F6">
            <w:pPr>
              <w:spacing w:after="120" w:line="480" w:lineRule="auto"/>
              <w:ind w:left="-25"/>
              <w:jc w:val="center"/>
              <w:rPr>
                <w:rFonts w:ascii="Arial" w:eastAsia="Calibri" w:hAnsi="Arial" w:cs="Arial"/>
                <w:b/>
                <w:sz w:val="16"/>
                <w:szCs w:val="16"/>
              </w:rPr>
            </w:pPr>
            <w:r w:rsidRPr="001B12CE">
              <w:rPr>
                <w:rFonts w:ascii="Arial" w:eastAsia="Calibri" w:hAnsi="Arial" w:cs="Arial"/>
                <w:b/>
                <w:sz w:val="16"/>
                <w:szCs w:val="16"/>
              </w:rPr>
              <w:lastRenderedPageBreak/>
              <w:t>III</w:t>
            </w: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r w:rsidRPr="001B12CE">
              <w:rPr>
                <w:rFonts w:ascii="Arial" w:eastAsia="Calibri" w:hAnsi="Arial" w:cs="Arial"/>
                <w:b/>
                <w:i/>
                <w:sz w:val="16"/>
                <w:szCs w:val="16"/>
              </w:rPr>
              <w:t>P/V</w:t>
            </w:r>
          </w:p>
        </w:tc>
        <w:tc>
          <w:tcPr>
            <w:tcW w:w="4239" w:type="pct"/>
            <w:gridSpan w:val="5"/>
            <w:shd w:val="clear" w:color="auto" w:fill="auto"/>
          </w:tcPr>
          <w:p w:rsidR="00A865F4" w:rsidRPr="001B12CE" w:rsidRDefault="00A865F4" w:rsidP="000313F6">
            <w:pPr>
              <w:rPr>
                <w:rFonts w:ascii="Arial" w:eastAsia="Calibri" w:hAnsi="Arial" w:cs="Arial"/>
                <w:b/>
                <w:i/>
                <w:color w:val="000000"/>
                <w:sz w:val="16"/>
                <w:szCs w:val="16"/>
              </w:rPr>
            </w:pPr>
          </w:p>
          <w:p w:rsidR="00A865F4" w:rsidRPr="001B12CE" w:rsidRDefault="00A865F4" w:rsidP="000313F6">
            <w:pPr>
              <w:rPr>
                <w:rFonts w:ascii="Arial" w:eastAsia="Calibri" w:hAnsi="Arial" w:cs="Arial"/>
                <w:b/>
                <w:i/>
                <w:color w:val="000000"/>
                <w:sz w:val="16"/>
                <w:szCs w:val="16"/>
              </w:rPr>
            </w:pPr>
            <w:r w:rsidRPr="001B12CE">
              <w:rPr>
                <w:rFonts w:ascii="Arial" w:eastAsia="Calibri" w:hAnsi="Arial" w:cs="Arial"/>
                <w:b/>
                <w:i/>
                <w:color w:val="000000"/>
                <w:sz w:val="16"/>
                <w:szCs w:val="16"/>
              </w:rPr>
              <w:t xml:space="preserve">Ex cathedra lecture with analysis of </w:t>
            </w:r>
            <w:proofErr w:type="spellStart"/>
            <w:r w:rsidRPr="001B12CE">
              <w:rPr>
                <w:rFonts w:ascii="Arial" w:eastAsia="Calibri" w:hAnsi="Arial" w:cs="Arial"/>
                <w:b/>
                <w:i/>
                <w:color w:val="000000"/>
                <w:sz w:val="16"/>
                <w:szCs w:val="16"/>
              </w:rPr>
              <w:t>examples</w:t>
            </w:r>
            <w:r w:rsidRPr="001B12CE">
              <w:rPr>
                <w:rFonts w:ascii="Arial" w:eastAsia="Calibri" w:hAnsi="Arial" w:cs="Arial"/>
                <w:b/>
                <w:i/>
                <w:sz w:val="16"/>
                <w:szCs w:val="16"/>
              </w:rPr>
              <w:t>from</w:t>
            </w:r>
            <w:proofErr w:type="spellEnd"/>
            <w:r w:rsidRPr="001B12CE">
              <w:rPr>
                <w:rFonts w:ascii="Arial" w:eastAsia="Calibri" w:hAnsi="Arial" w:cs="Arial"/>
                <w:b/>
                <w:i/>
                <w:sz w:val="16"/>
                <w:szCs w:val="16"/>
              </w:rPr>
              <w:t xml:space="preserve"> court </w:t>
            </w:r>
            <w:proofErr w:type="spellStart"/>
            <w:r w:rsidRPr="001B12CE">
              <w:rPr>
                <w:rFonts w:ascii="Arial" w:eastAsia="Calibri" w:hAnsi="Arial" w:cs="Arial"/>
                <w:b/>
                <w:i/>
                <w:sz w:val="16"/>
                <w:szCs w:val="16"/>
              </w:rPr>
              <w:t>practice</w:t>
            </w:r>
            <w:r w:rsidRPr="001B12CE">
              <w:rPr>
                <w:rFonts w:ascii="Arial" w:eastAsia="Calibri" w:hAnsi="Arial" w:cs="Arial"/>
                <w:b/>
                <w:i/>
                <w:color w:val="000000"/>
                <w:sz w:val="16"/>
                <w:szCs w:val="16"/>
              </w:rPr>
              <w:t>on</w:t>
            </w:r>
            <w:proofErr w:type="spellEnd"/>
            <w:r w:rsidRPr="001B12CE">
              <w:rPr>
                <w:rFonts w:ascii="Arial" w:eastAsia="Calibri" w:hAnsi="Arial" w:cs="Arial"/>
                <w:b/>
                <w:i/>
                <w:color w:val="000000"/>
                <w:sz w:val="16"/>
                <w:szCs w:val="16"/>
              </w:rPr>
              <w:t xml:space="preserve"> the subject of FOREIGN INVESTMENTS AND CONCESSIONS AND FINANCING PROJECTS WITHIN THIS FRAMEWORK.</w:t>
            </w:r>
          </w:p>
          <w:p w:rsidR="00A865F4" w:rsidRPr="001B12CE" w:rsidRDefault="00A865F4" w:rsidP="000313F6">
            <w:pPr>
              <w:rPr>
                <w:rFonts w:ascii="Arial" w:eastAsia="Calibri" w:hAnsi="Arial" w:cs="Arial"/>
                <w:color w:val="000000"/>
                <w:sz w:val="16"/>
                <w:szCs w:val="16"/>
              </w:rPr>
            </w:pPr>
            <w:r w:rsidRPr="001B12CE">
              <w:rPr>
                <w:rFonts w:ascii="Arial" w:eastAsia="Calibri" w:hAnsi="Arial" w:cs="Arial"/>
                <w:color w:val="000000"/>
                <w:sz w:val="16"/>
                <w:szCs w:val="16"/>
              </w:rPr>
              <w:t>This topic will be dealt with, first of all, from the aspect of analyzing the solutions of the legal texts of the "Law on Foreign Investments" and the "Law on Concessions", with a focus on specific forms of foreign investment BOT, BOOT, etc. The preparation of current subjects of privatization and investment, through the case method and simulations, will also be represented in this teaching unit.</w:t>
            </w:r>
          </w:p>
          <w:p w:rsidR="00A865F4" w:rsidRPr="001B12CE" w:rsidRDefault="00A865F4" w:rsidP="000313F6">
            <w:pPr>
              <w:rPr>
                <w:rFonts w:ascii="Arial" w:eastAsia="Calibri" w:hAnsi="Arial" w:cs="Arial"/>
                <w:color w:val="000000"/>
                <w:sz w:val="16"/>
                <w:szCs w:val="16"/>
              </w:rPr>
            </w:pPr>
            <w:r w:rsidRPr="001B12CE">
              <w:rPr>
                <w:rFonts w:ascii="Arial" w:eastAsia="Calibri" w:hAnsi="Arial" w:cs="Arial"/>
                <w:color w:val="000000"/>
                <w:sz w:val="16"/>
                <w:szCs w:val="16"/>
              </w:rPr>
              <w:t>Also, the specifics of a special type of financing project will be processed - identification, analysis, quantification, and location of risks, through the stages of construction, operationalization of the project, in order to reduce them, and thereby ensure the generation of sufficient funds to repay the debt, pay operating costs and provided an attractive profit to the investors themselves.</w:t>
            </w:r>
          </w:p>
          <w:p w:rsidR="00A865F4" w:rsidRPr="001B12CE" w:rsidRDefault="00A865F4" w:rsidP="000313F6">
            <w:pPr>
              <w:jc w:val="both"/>
              <w:rPr>
                <w:rFonts w:ascii="Arial" w:eastAsia="Calibri" w:hAnsi="Arial" w:cs="Arial"/>
                <w:sz w:val="16"/>
                <w:szCs w:val="16"/>
              </w:rPr>
            </w:pPr>
          </w:p>
        </w:tc>
      </w:tr>
      <w:tr w:rsidR="00A865F4" w:rsidRPr="001B12CE" w:rsidTr="000313F6">
        <w:trPr>
          <w:trHeight w:val="140"/>
        </w:trPr>
        <w:tc>
          <w:tcPr>
            <w:tcW w:w="609" w:type="pct"/>
            <w:shd w:val="clear" w:color="auto" w:fill="auto"/>
          </w:tcPr>
          <w:p w:rsidR="00A865F4" w:rsidRPr="001B12CE" w:rsidRDefault="00A865F4" w:rsidP="000313F6">
            <w:pPr>
              <w:spacing w:after="120" w:line="480" w:lineRule="auto"/>
              <w:ind w:left="-25"/>
              <w:jc w:val="center"/>
              <w:rPr>
                <w:rFonts w:ascii="Arial" w:eastAsia="Calibri" w:hAnsi="Arial" w:cs="Arial"/>
                <w:b/>
                <w:sz w:val="16"/>
                <w:szCs w:val="16"/>
              </w:rPr>
            </w:pPr>
            <w:r w:rsidRPr="001B12CE">
              <w:rPr>
                <w:rFonts w:ascii="Arial" w:eastAsia="Calibri" w:hAnsi="Arial" w:cs="Arial"/>
                <w:b/>
                <w:sz w:val="16"/>
                <w:szCs w:val="16"/>
              </w:rPr>
              <w:t>IV</w:t>
            </w: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r w:rsidRPr="001B12CE">
              <w:rPr>
                <w:rFonts w:ascii="Arial" w:eastAsia="Calibri" w:hAnsi="Arial" w:cs="Arial"/>
                <w:b/>
                <w:i/>
                <w:sz w:val="16"/>
                <w:szCs w:val="16"/>
              </w:rPr>
              <w:t>P/V</w:t>
            </w:r>
          </w:p>
        </w:tc>
        <w:tc>
          <w:tcPr>
            <w:tcW w:w="4239" w:type="pct"/>
            <w:gridSpan w:val="5"/>
            <w:shd w:val="clear" w:color="auto" w:fill="auto"/>
          </w:tcPr>
          <w:p w:rsidR="00A865F4" w:rsidRPr="001B12CE" w:rsidRDefault="00A865F4" w:rsidP="000313F6">
            <w:pPr>
              <w:jc w:val="both"/>
              <w:rPr>
                <w:rFonts w:ascii="Arial" w:eastAsia="Calibri" w:hAnsi="Arial" w:cs="Arial"/>
                <w:b/>
                <w:i/>
                <w:sz w:val="16"/>
                <w:szCs w:val="16"/>
              </w:rPr>
            </w:pPr>
          </w:p>
          <w:p w:rsidR="00A865F4" w:rsidRPr="001B12CE" w:rsidRDefault="00A865F4" w:rsidP="000313F6">
            <w:pPr>
              <w:jc w:val="both"/>
              <w:rPr>
                <w:rFonts w:ascii="Arial" w:eastAsia="Calibri" w:hAnsi="Arial" w:cs="Arial"/>
                <w:b/>
                <w:i/>
                <w:sz w:val="16"/>
                <w:szCs w:val="16"/>
              </w:rPr>
            </w:pPr>
            <w:r w:rsidRPr="001B12CE">
              <w:rPr>
                <w:rFonts w:ascii="Arial" w:eastAsia="Calibri" w:hAnsi="Arial" w:cs="Arial"/>
                <w:b/>
                <w:i/>
                <w:sz w:val="16"/>
                <w:szCs w:val="16"/>
              </w:rPr>
              <w:t>Ex cathedra lecture with analysis of examples from court practice on the topic of resolving disputes from business law (ARBITRATION and other methods)</w:t>
            </w:r>
          </w:p>
          <w:p w:rsidR="00A865F4" w:rsidRPr="001B12CE" w:rsidRDefault="00A865F4" w:rsidP="000313F6">
            <w:pPr>
              <w:shd w:val="clear" w:color="auto" w:fill="FFFFFF"/>
              <w:spacing w:before="100" w:beforeAutospacing="1" w:after="100" w:afterAutospacing="1"/>
              <w:jc w:val="both"/>
              <w:rPr>
                <w:rFonts w:ascii="Arial" w:eastAsia="Arial Unicode MS" w:hAnsi="Arial" w:cs="Arial"/>
                <w:sz w:val="16"/>
                <w:szCs w:val="16"/>
              </w:rPr>
            </w:pPr>
            <w:r w:rsidRPr="001B12CE">
              <w:rPr>
                <w:rFonts w:ascii="Arial" w:eastAsia="Arial Unicode MS" w:hAnsi="Arial" w:cs="Arial"/>
                <w:sz w:val="16"/>
                <w:szCs w:val="16"/>
              </w:rPr>
              <w:t>For business law, arbitration is a specific form of resolving business disputes. Relevant legislative sources of an international and national nature will be presented here, as well as the advantages of arbitration as non-state courts established to resolve international business disputes. The issue of types of arbitrations, jurisdiction, compromise, compromise clause, competence-</w:t>
            </w:r>
            <w:proofErr w:type="spellStart"/>
            <w:r w:rsidRPr="001B12CE">
              <w:rPr>
                <w:rFonts w:ascii="Arial" w:eastAsia="Arial Unicode MS" w:hAnsi="Arial" w:cs="Arial"/>
                <w:sz w:val="16"/>
                <w:szCs w:val="16"/>
              </w:rPr>
              <w:t>competenz</w:t>
            </w:r>
            <w:proofErr w:type="spellEnd"/>
            <w:r w:rsidRPr="001B12CE">
              <w:rPr>
                <w:rFonts w:ascii="Arial" w:eastAsia="Arial Unicode MS" w:hAnsi="Arial" w:cs="Arial"/>
                <w:sz w:val="16"/>
                <w:szCs w:val="16"/>
              </w:rPr>
              <w:t xml:space="preserve"> clause, governing law, recognition and enforcement of foreign arbitral awards will be studied within this unit. Finally, current cases resolved before arbitration courts are the subject of this teaching unit.</w:t>
            </w:r>
          </w:p>
        </w:tc>
      </w:tr>
      <w:tr w:rsidR="00A865F4" w:rsidRPr="001B12CE" w:rsidTr="000313F6">
        <w:trPr>
          <w:trHeight w:val="1272"/>
        </w:trPr>
        <w:tc>
          <w:tcPr>
            <w:tcW w:w="609" w:type="pct"/>
            <w:shd w:val="clear" w:color="auto" w:fill="auto"/>
          </w:tcPr>
          <w:p w:rsidR="00A865F4" w:rsidRPr="001B12CE" w:rsidRDefault="00A865F4" w:rsidP="000313F6">
            <w:pPr>
              <w:spacing w:after="120" w:line="480" w:lineRule="auto"/>
              <w:ind w:left="-25"/>
              <w:jc w:val="center"/>
              <w:rPr>
                <w:rFonts w:ascii="Arial" w:eastAsia="Calibri" w:hAnsi="Arial" w:cs="Arial"/>
                <w:b/>
                <w:sz w:val="16"/>
                <w:szCs w:val="16"/>
              </w:rPr>
            </w:pPr>
            <w:r w:rsidRPr="001B12CE">
              <w:rPr>
                <w:rFonts w:ascii="Arial" w:eastAsia="Calibri" w:hAnsi="Arial" w:cs="Arial"/>
                <w:b/>
                <w:sz w:val="16"/>
                <w:szCs w:val="16"/>
              </w:rPr>
              <w:t>V</w:t>
            </w: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r w:rsidRPr="001B12CE">
              <w:rPr>
                <w:rFonts w:ascii="Arial" w:eastAsia="Calibri" w:hAnsi="Arial" w:cs="Arial"/>
                <w:b/>
                <w:i/>
                <w:sz w:val="16"/>
                <w:szCs w:val="16"/>
              </w:rPr>
              <w:t>P/V</w:t>
            </w:r>
          </w:p>
        </w:tc>
        <w:tc>
          <w:tcPr>
            <w:tcW w:w="4239" w:type="pct"/>
            <w:gridSpan w:val="5"/>
            <w:shd w:val="clear" w:color="auto" w:fill="auto"/>
          </w:tcPr>
          <w:p w:rsidR="00A865F4" w:rsidRPr="001B12CE" w:rsidRDefault="00A865F4" w:rsidP="000313F6">
            <w:pPr>
              <w:shd w:val="clear" w:color="auto" w:fill="FFFFFF"/>
              <w:spacing w:before="100" w:beforeAutospacing="1" w:after="100" w:afterAutospacing="1"/>
              <w:jc w:val="both"/>
              <w:rPr>
                <w:rFonts w:ascii="Arial" w:eastAsia="Arial Unicode MS" w:hAnsi="Arial" w:cs="Arial"/>
                <w:b/>
                <w:i/>
                <w:sz w:val="16"/>
                <w:szCs w:val="16"/>
              </w:rPr>
            </w:pPr>
            <w:r w:rsidRPr="001B12CE">
              <w:rPr>
                <w:rFonts w:ascii="Arial" w:eastAsia="Arial Unicode MS" w:hAnsi="Arial" w:cs="Arial"/>
                <w:b/>
                <w:i/>
                <w:sz w:val="16"/>
                <w:szCs w:val="16"/>
              </w:rPr>
              <w:t>Ex cathedra lecture with analysis of examples</w:t>
            </w:r>
            <w:r w:rsidRPr="001B12CE">
              <w:rPr>
                <w:rFonts w:ascii="Arial" w:eastAsia="Arial Unicode MS" w:hAnsi="Arial" w:cs="Arial"/>
                <w:b/>
                <w:i/>
                <w:color w:val="CCCCCC"/>
                <w:sz w:val="16"/>
                <w:szCs w:val="16"/>
              </w:rPr>
              <w:t xml:space="preserve"> </w:t>
            </w:r>
            <w:r w:rsidRPr="001B12CE">
              <w:rPr>
                <w:rFonts w:ascii="Arial" w:eastAsia="Arial Unicode MS" w:hAnsi="Arial" w:cs="Arial"/>
                <w:b/>
                <w:i/>
                <w:sz w:val="16"/>
                <w:szCs w:val="16"/>
              </w:rPr>
              <w:t>from court practice on the subject of BANKRUPTCY LAW</w:t>
            </w:r>
          </w:p>
          <w:p w:rsidR="00A865F4" w:rsidRPr="001B12CE" w:rsidRDefault="00A865F4" w:rsidP="000313F6">
            <w:pPr>
              <w:shd w:val="clear" w:color="auto" w:fill="FFFFFF"/>
              <w:spacing w:before="100" w:beforeAutospacing="1" w:after="100" w:afterAutospacing="1"/>
              <w:jc w:val="both"/>
              <w:rPr>
                <w:rFonts w:ascii="Arial" w:eastAsia="Calibri" w:hAnsi="Arial" w:cs="Arial"/>
                <w:b/>
                <w:color w:val="000000"/>
                <w:sz w:val="16"/>
                <w:szCs w:val="16"/>
              </w:rPr>
            </w:pPr>
            <w:proofErr w:type="spellStart"/>
            <w:r w:rsidRPr="001B12CE">
              <w:rPr>
                <w:rFonts w:ascii="Arial" w:eastAsia="Arial Unicode MS" w:hAnsi="Arial" w:cs="Arial"/>
                <w:b/>
                <w:sz w:val="16"/>
                <w:szCs w:val="16"/>
              </w:rPr>
              <w:t>U</w:t>
            </w:r>
            <w:r w:rsidRPr="001B12CE">
              <w:rPr>
                <w:rFonts w:ascii="Arial" w:eastAsia="Arial Unicode MS" w:hAnsi="Arial" w:cs="Arial"/>
                <w:sz w:val="16"/>
                <w:szCs w:val="16"/>
              </w:rPr>
              <w:t>adoption</w:t>
            </w:r>
            <w:proofErr w:type="spellEnd"/>
            <w:r w:rsidRPr="001B12CE">
              <w:rPr>
                <w:rFonts w:ascii="Arial" w:eastAsia="Arial Unicode MS" w:hAnsi="Arial" w:cs="Arial"/>
                <w:sz w:val="16"/>
                <w:szCs w:val="16"/>
              </w:rPr>
              <w:t xml:space="preserve"> of new legal solutions, changes compared to old ones, branches of bankruptcy proceedings - jurisdiction, specifics, choice, UPPR and examples/problems in practice, payment orders with a comparative analysis of other solutions in surrounding jurisdictions. At the end, the analysis of the current judicial practice in this area will be started.</w:t>
            </w:r>
          </w:p>
        </w:tc>
      </w:tr>
      <w:tr w:rsidR="00A865F4" w:rsidRPr="001B12CE" w:rsidTr="000313F6">
        <w:trPr>
          <w:trHeight w:val="140"/>
        </w:trPr>
        <w:tc>
          <w:tcPr>
            <w:tcW w:w="609" w:type="pct"/>
            <w:shd w:val="clear" w:color="auto" w:fill="auto"/>
          </w:tcPr>
          <w:p w:rsidR="00A865F4" w:rsidRPr="001B12CE" w:rsidRDefault="00A865F4" w:rsidP="000313F6">
            <w:pPr>
              <w:spacing w:after="120" w:line="480" w:lineRule="auto"/>
              <w:ind w:left="-25"/>
              <w:jc w:val="center"/>
              <w:rPr>
                <w:rFonts w:ascii="Arial" w:eastAsia="Calibri" w:hAnsi="Arial" w:cs="Arial"/>
                <w:b/>
                <w:sz w:val="16"/>
                <w:szCs w:val="16"/>
              </w:rPr>
            </w:pPr>
            <w:r w:rsidRPr="001B12CE">
              <w:rPr>
                <w:rFonts w:ascii="Arial" w:eastAsia="Calibri" w:hAnsi="Arial" w:cs="Arial"/>
                <w:b/>
                <w:sz w:val="16"/>
                <w:szCs w:val="16"/>
              </w:rPr>
              <w:t>VI</w:t>
            </w: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r w:rsidRPr="001B12CE">
              <w:rPr>
                <w:rFonts w:ascii="Arial" w:eastAsia="Calibri" w:hAnsi="Arial" w:cs="Arial"/>
                <w:b/>
                <w:i/>
                <w:sz w:val="16"/>
                <w:szCs w:val="16"/>
              </w:rPr>
              <w:t>P/V</w:t>
            </w:r>
          </w:p>
        </w:tc>
        <w:tc>
          <w:tcPr>
            <w:tcW w:w="4239" w:type="pct"/>
            <w:gridSpan w:val="5"/>
            <w:shd w:val="clear" w:color="auto" w:fill="auto"/>
          </w:tcPr>
          <w:p w:rsidR="00A865F4" w:rsidRPr="001B12CE" w:rsidRDefault="00A865F4" w:rsidP="000313F6">
            <w:pPr>
              <w:spacing w:after="120" w:line="480" w:lineRule="auto"/>
              <w:rPr>
                <w:rFonts w:ascii="Arial" w:eastAsia="Calibri" w:hAnsi="Arial" w:cs="Arial"/>
                <w:sz w:val="16"/>
                <w:szCs w:val="16"/>
              </w:rPr>
            </w:pPr>
            <w:r w:rsidRPr="001B12CE">
              <w:rPr>
                <w:rFonts w:ascii="Arial" w:eastAsia="Calibri" w:hAnsi="Arial" w:cs="Arial"/>
                <w:sz w:val="16"/>
                <w:szCs w:val="16"/>
              </w:rPr>
              <w:t>Elaboration of the code of professional ethics, principles of judicial and lawyer ethics.</w:t>
            </w:r>
          </w:p>
          <w:p w:rsidR="00A865F4" w:rsidRPr="001B12CE" w:rsidRDefault="00A865F4" w:rsidP="000313F6">
            <w:pPr>
              <w:spacing w:after="120" w:line="480" w:lineRule="auto"/>
              <w:rPr>
                <w:rFonts w:ascii="Arial" w:eastAsia="Calibri" w:hAnsi="Arial" w:cs="Arial"/>
                <w:sz w:val="16"/>
                <w:szCs w:val="16"/>
              </w:rPr>
            </w:pPr>
            <w:r w:rsidRPr="001B12CE">
              <w:rPr>
                <w:rFonts w:ascii="Arial" w:eastAsia="Calibri" w:hAnsi="Arial" w:cs="Arial"/>
                <w:sz w:val="16"/>
                <w:szCs w:val="16"/>
              </w:rPr>
              <w:t>Introduction to the practical part of teaching</w:t>
            </w:r>
          </w:p>
        </w:tc>
      </w:tr>
      <w:tr w:rsidR="00A865F4" w:rsidRPr="001B12CE" w:rsidTr="000313F6">
        <w:trPr>
          <w:trHeight w:val="140"/>
        </w:trPr>
        <w:tc>
          <w:tcPr>
            <w:tcW w:w="609" w:type="pct"/>
            <w:shd w:val="clear" w:color="auto" w:fill="auto"/>
          </w:tcPr>
          <w:p w:rsidR="00A865F4" w:rsidRPr="001B12CE" w:rsidRDefault="00A865F4" w:rsidP="000313F6">
            <w:pPr>
              <w:spacing w:after="120" w:line="480" w:lineRule="auto"/>
              <w:ind w:left="-25"/>
              <w:jc w:val="center"/>
              <w:rPr>
                <w:rFonts w:ascii="Arial" w:eastAsia="Calibri" w:hAnsi="Arial" w:cs="Arial"/>
                <w:b/>
                <w:sz w:val="16"/>
                <w:szCs w:val="16"/>
              </w:rPr>
            </w:pPr>
          </w:p>
          <w:p w:rsidR="00A865F4" w:rsidRPr="001B12CE" w:rsidRDefault="00A865F4" w:rsidP="000313F6">
            <w:pPr>
              <w:spacing w:after="120" w:line="480" w:lineRule="auto"/>
              <w:ind w:left="-25"/>
              <w:jc w:val="center"/>
              <w:rPr>
                <w:rFonts w:ascii="Arial" w:eastAsia="Calibri" w:hAnsi="Arial" w:cs="Arial"/>
                <w:b/>
                <w:sz w:val="16"/>
                <w:szCs w:val="16"/>
              </w:rPr>
            </w:pPr>
            <w:r w:rsidRPr="001B12CE">
              <w:rPr>
                <w:rFonts w:ascii="Arial" w:eastAsia="Calibri" w:hAnsi="Arial" w:cs="Arial"/>
                <w:b/>
                <w:sz w:val="16"/>
                <w:szCs w:val="16"/>
              </w:rPr>
              <w:t>VIII-XIV</w:t>
            </w:r>
          </w:p>
          <w:p w:rsidR="00A865F4" w:rsidRPr="001B12CE" w:rsidRDefault="00A865F4" w:rsidP="000313F6">
            <w:pPr>
              <w:spacing w:after="120" w:line="480" w:lineRule="auto"/>
              <w:ind w:left="-25"/>
              <w:jc w:val="center"/>
              <w:rPr>
                <w:rFonts w:ascii="Arial" w:eastAsia="Calibri" w:hAnsi="Arial" w:cs="Arial"/>
                <w:b/>
                <w:sz w:val="16"/>
                <w:szCs w:val="16"/>
              </w:rPr>
            </w:pP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r w:rsidRPr="001B12CE">
              <w:rPr>
                <w:rFonts w:ascii="Arial" w:eastAsia="Calibri" w:hAnsi="Arial" w:cs="Arial"/>
                <w:b/>
                <w:i/>
                <w:sz w:val="16"/>
                <w:szCs w:val="16"/>
              </w:rPr>
              <w:t>P/V</w:t>
            </w:r>
          </w:p>
        </w:tc>
        <w:tc>
          <w:tcPr>
            <w:tcW w:w="4239" w:type="pct"/>
            <w:gridSpan w:val="5"/>
            <w:shd w:val="clear" w:color="auto" w:fill="auto"/>
          </w:tcPr>
          <w:p w:rsidR="00A865F4" w:rsidRPr="001B12CE" w:rsidRDefault="00A865F4" w:rsidP="000313F6">
            <w:pPr>
              <w:rPr>
                <w:rFonts w:ascii="Arial" w:eastAsia="Calibri" w:hAnsi="Arial" w:cs="Arial"/>
                <w:b/>
                <w:i/>
                <w:color w:val="000000"/>
                <w:sz w:val="16"/>
                <w:szCs w:val="16"/>
              </w:rPr>
            </w:pPr>
            <w:r w:rsidRPr="001B12CE">
              <w:rPr>
                <w:rFonts w:ascii="Arial" w:eastAsia="Calibri" w:hAnsi="Arial" w:cs="Arial"/>
                <w:b/>
                <w:i/>
                <w:color w:val="000000"/>
                <w:sz w:val="16"/>
                <w:szCs w:val="16"/>
              </w:rPr>
              <w:t>Implementation of the II phase of work at Business and Legal Clinics</w:t>
            </w:r>
          </w:p>
          <w:p w:rsidR="00A865F4" w:rsidRPr="001B12CE" w:rsidRDefault="00A865F4" w:rsidP="000313F6">
            <w:pPr>
              <w:rPr>
                <w:rFonts w:ascii="Arial" w:eastAsia="Calibri" w:hAnsi="Arial" w:cs="Arial"/>
                <w:b/>
                <w:i/>
                <w:color w:val="000000"/>
                <w:sz w:val="16"/>
                <w:szCs w:val="16"/>
              </w:rPr>
            </w:pPr>
          </w:p>
          <w:p w:rsidR="00A865F4" w:rsidRPr="001B12CE" w:rsidRDefault="00A865F4" w:rsidP="000313F6">
            <w:pPr>
              <w:jc w:val="both"/>
              <w:rPr>
                <w:rFonts w:ascii="Arial" w:eastAsia="Calibri" w:hAnsi="Arial" w:cs="Arial"/>
                <w:b/>
                <w:bCs/>
                <w:iCs/>
                <w:color w:val="000000"/>
                <w:sz w:val="16"/>
                <w:szCs w:val="16"/>
                <w:lang w:val="sr-Latn-CS"/>
              </w:rPr>
            </w:pPr>
            <w:r w:rsidRPr="001B12CE">
              <w:rPr>
                <w:rFonts w:ascii="Arial" w:eastAsia="Calibri" w:hAnsi="Arial" w:cs="Arial"/>
                <w:b/>
                <w:bCs/>
                <w:iCs/>
                <w:color w:val="000000"/>
                <w:sz w:val="16"/>
                <w:szCs w:val="16"/>
                <w:lang w:val="sr-Latn-CS"/>
              </w:rPr>
              <w:t>II PHASE</w:t>
            </w:r>
            <w:r w:rsidRPr="001B12CE">
              <w:rPr>
                <w:rFonts w:ascii="Arial" w:eastAsia="Calibri" w:hAnsi="Arial" w:cs="Arial"/>
                <w:bCs/>
                <w:iCs/>
                <w:color w:val="000000"/>
                <w:sz w:val="16"/>
                <w:szCs w:val="16"/>
                <w:lang w:val="sr-Latn-CS"/>
              </w:rPr>
              <w:t>As part of this part of the case in</w:t>
            </w:r>
            <w:r w:rsidRPr="001B12CE">
              <w:rPr>
                <w:rFonts w:ascii="Arial" w:eastAsia="Calibri" w:hAnsi="Arial" w:cs="Arial"/>
                <w:sz w:val="16"/>
                <w:szCs w:val="16"/>
                <w:lang w:val="sr-Latn-CS"/>
              </w:rPr>
              <w:t>institutional cooperation was established between the Faculty of Law of the University of Montenegro and courts, business entities and professional associations in this positive-law discipline. In this sense, in the past three-year period, cooperation was realized with the following institutions: Commercial Court, Chamber of Commerce of Montenegro, Mediation Center of Montenegro, Delta Insurance, Karanović - Nikolić Law Office, and Bojović-Dašić- Kojović Law Office.</w:t>
            </w:r>
          </w:p>
          <w:p w:rsidR="00A865F4" w:rsidRPr="001B12CE" w:rsidRDefault="00A865F4" w:rsidP="000313F6">
            <w:pPr>
              <w:rPr>
                <w:rFonts w:ascii="Arial" w:eastAsia="Calibri" w:hAnsi="Arial" w:cs="Arial"/>
                <w:b/>
                <w:sz w:val="16"/>
                <w:szCs w:val="16"/>
                <w:lang w:val="sr-Latn-CS"/>
              </w:rPr>
            </w:pPr>
          </w:p>
          <w:p w:rsidR="00A865F4" w:rsidRPr="001B12CE" w:rsidRDefault="00A865F4" w:rsidP="000313F6">
            <w:pPr>
              <w:jc w:val="both"/>
              <w:rPr>
                <w:rFonts w:ascii="Arial" w:eastAsia="Calibri" w:hAnsi="Arial" w:cs="Arial"/>
                <w:sz w:val="16"/>
                <w:szCs w:val="16"/>
                <w:lang w:val="sr-Latn-CS"/>
              </w:rPr>
            </w:pPr>
            <w:r w:rsidRPr="001B12CE">
              <w:rPr>
                <w:rFonts w:ascii="Arial" w:eastAsia="Calibri" w:hAnsi="Arial" w:cs="Arial"/>
                <w:b/>
                <w:i/>
                <w:sz w:val="16"/>
                <w:szCs w:val="16"/>
                <w:lang w:val="sr-Latn-CS"/>
              </w:rPr>
              <w:t>Commercial court</w:t>
            </w:r>
            <w:r w:rsidRPr="001B12CE">
              <w:rPr>
                <w:rFonts w:ascii="Arial" w:eastAsia="Calibri" w:hAnsi="Arial" w:cs="Arial"/>
                <w:i/>
                <w:sz w:val="16"/>
                <w:szCs w:val="16"/>
                <w:lang w:val="sr-Latn-CS"/>
              </w:rPr>
              <w:t>.</w:t>
            </w:r>
            <w:r w:rsidRPr="001B12CE">
              <w:rPr>
                <w:rFonts w:ascii="Arial" w:eastAsia="Calibri" w:hAnsi="Arial" w:cs="Arial"/>
                <w:sz w:val="16"/>
                <w:szCs w:val="16"/>
                <w:lang w:val="sr-Latn-CS"/>
              </w:rPr>
              <w:t>The cooperation with the Commercial Court, in the communication so far, was based on a theoretical set of lectures by judges on the issues of registration of various forms of publication of economic activities, as well as current issues from bankruptcy proceedings. After the introductory theoretical part, students were given the opportunity to work as a team on the hypothetical procedure of registering one of the forms of economic activity.</w:t>
            </w:r>
          </w:p>
          <w:p w:rsidR="00A865F4" w:rsidRPr="001B12CE" w:rsidRDefault="00A865F4" w:rsidP="000313F6">
            <w:pPr>
              <w:jc w:val="both"/>
              <w:rPr>
                <w:rFonts w:ascii="Arial" w:eastAsia="Calibri" w:hAnsi="Arial" w:cs="Arial"/>
                <w:sz w:val="16"/>
                <w:szCs w:val="16"/>
                <w:lang w:val="sr-Latn-CS"/>
              </w:rPr>
            </w:pPr>
            <w:r w:rsidRPr="001B12CE">
              <w:rPr>
                <w:rFonts w:ascii="Arial" w:eastAsia="Calibri" w:hAnsi="Arial" w:cs="Arial"/>
                <w:sz w:val="16"/>
                <w:szCs w:val="16"/>
                <w:lang w:val="sr-Latn-CS"/>
              </w:rPr>
              <w:t>A specific type of cooperation with the Commercial Court also refers to the analysis and preparation of abstracts of final judgments in which the relevant international instrument was applied for substantive law. Furthermore, these abstracts are submitted to UNCITRAL's electronic file CLOUT, and are published as such.</w:t>
            </w:r>
          </w:p>
          <w:p w:rsidR="00A865F4" w:rsidRPr="001B12CE" w:rsidRDefault="00A865F4" w:rsidP="000313F6">
            <w:pPr>
              <w:jc w:val="both"/>
              <w:rPr>
                <w:rFonts w:ascii="Arial" w:eastAsia="Calibri" w:hAnsi="Arial" w:cs="Arial"/>
                <w:sz w:val="16"/>
                <w:szCs w:val="16"/>
                <w:lang w:val="sr-Latn-CS"/>
              </w:rPr>
            </w:pPr>
          </w:p>
          <w:p w:rsidR="00A865F4" w:rsidRPr="001B12CE" w:rsidRDefault="00A865F4" w:rsidP="000313F6">
            <w:pPr>
              <w:jc w:val="both"/>
              <w:rPr>
                <w:rFonts w:ascii="Arial" w:eastAsia="Calibri" w:hAnsi="Arial" w:cs="Arial"/>
                <w:sz w:val="16"/>
                <w:szCs w:val="16"/>
                <w:lang w:val="bs-Latn-BA"/>
              </w:rPr>
            </w:pPr>
            <w:r w:rsidRPr="001B12CE">
              <w:rPr>
                <w:rFonts w:ascii="Arial" w:eastAsia="Calibri" w:hAnsi="Arial" w:cs="Arial"/>
                <w:b/>
                <w:i/>
                <w:sz w:val="16"/>
                <w:szCs w:val="16"/>
                <w:lang w:val="sr-Latn-CS"/>
              </w:rPr>
              <w:t>Law office Karanović-Nikolić.</w:t>
            </w:r>
            <w:r w:rsidRPr="001B12CE">
              <w:rPr>
                <w:rFonts w:ascii="Arial" w:eastAsia="Calibri" w:hAnsi="Arial" w:cs="Arial"/>
                <w:sz w:val="16"/>
                <w:szCs w:val="16"/>
                <w:lang w:val="bs-Latn-BA"/>
              </w:rPr>
              <w:t>As part of the workshop, this office organizes a set of lectures every year on the way of functioning, the communication technique between the office and the client, as well as the specific due diligence procedure. The lecturers are renowned lawyers from Belgrade, who after the lectures deliver questions to the students as potential lawyers who are asked for an expert opinion, based on a normative and comparative analysis of the problem.</w:t>
            </w:r>
          </w:p>
          <w:p w:rsidR="00A865F4" w:rsidRPr="001B12CE" w:rsidRDefault="00A865F4" w:rsidP="000313F6">
            <w:pPr>
              <w:jc w:val="both"/>
              <w:rPr>
                <w:rFonts w:ascii="Arial" w:eastAsia="Calibri" w:hAnsi="Arial" w:cs="Arial"/>
                <w:i/>
                <w:sz w:val="16"/>
                <w:szCs w:val="16"/>
                <w:lang w:val="sr-Latn-CS"/>
              </w:rPr>
            </w:pPr>
            <w:r w:rsidRPr="001B12CE">
              <w:rPr>
                <w:rFonts w:ascii="Arial" w:eastAsia="Calibri" w:hAnsi="Arial" w:cs="Arial"/>
                <w:sz w:val="16"/>
                <w:szCs w:val="16"/>
                <w:lang w:val="bs-Latn-BA"/>
              </w:rPr>
              <w:t>The best of them are recruited for the staff of this office.</w:t>
            </w:r>
          </w:p>
          <w:p w:rsidR="00A865F4" w:rsidRPr="001B12CE" w:rsidRDefault="00A865F4" w:rsidP="000313F6">
            <w:pPr>
              <w:jc w:val="both"/>
              <w:rPr>
                <w:rFonts w:ascii="Arial" w:eastAsia="Calibri" w:hAnsi="Arial" w:cs="Arial"/>
                <w:sz w:val="16"/>
                <w:szCs w:val="16"/>
                <w:lang w:val="sr-Latn-CS"/>
              </w:rPr>
            </w:pPr>
          </w:p>
          <w:p w:rsidR="00A865F4" w:rsidRPr="001B12CE" w:rsidRDefault="00A865F4" w:rsidP="000313F6">
            <w:pPr>
              <w:jc w:val="both"/>
              <w:rPr>
                <w:rFonts w:ascii="Arial" w:eastAsia="Calibri" w:hAnsi="Arial" w:cs="Arial"/>
                <w:sz w:val="16"/>
                <w:szCs w:val="16"/>
                <w:lang w:val="sr-Latn-CS"/>
              </w:rPr>
            </w:pPr>
            <w:r w:rsidRPr="001B12CE">
              <w:rPr>
                <w:rFonts w:ascii="Arial" w:eastAsia="Calibri" w:hAnsi="Arial" w:cs="Arial"/>
                <w:b/>
                <w:i/>
                <w:sz w:val="16"/>
                <w:szCs w:val="16"/>
                <w:lang w:val="sr-Latn-CS"/>
              </w:rPr>
              <w:t>Foreign trade arbitration at the Chamber of Commerce of Montenegro</w:t>
            </w:r>
            <w:r w:rsidRPr="001B12CE">
              <w:rPr>
                <w:rFonts w:ascii="Arial" w:eastAsia="Calibri" w:hAnsi="Arial" w:cs="Arial"/>
                <w:sz w:val="16"/>
                <w:szCs w:val="16"/>
                <w:lang w:val="sr-Latn-CS"/>
              </w:rPr>
              <w:t xml:space="preserve">. Staying in this institution gives students the chance to, from several aspects, become familiar with the out-of-court protection of commercial disputes, which is realized through the work of the Foreign Trade Arbitration and the Permanent Selected Court at the Chamber of Commerce of Montenegro. Bearing in mind that Montenegro does not have a special law on arbitration, but that the provisions on internal arbitration are found in the Civil Code, students are faced with hypothetical and comparative legal concepts, the analysis of which is the subject of their report. One of the main goals of PKCG through this project is the promotion </w:t>
            </w:r>
            <w:r w:rsidRPr="001B12CE">
              <w:rPr>
                <w:rFonts w:ascii="Arial" w:eastAsia="Calibri" w:hAnsi="Arial" w:cs="Arial"/>
                <w:sz w:val="16"/>
                <w:szCs w:val="16"/>
                <w:lang w:val="sr-Latn-CS"/>
              </w:rPr>
              <w:lastRenderedPageBreak/>
              <w:t>of the work of the Foreign Trade Arbitration and the Permanent Selected Court, as well as familiarizing the professional public and future lawyers and businessmen with the advantages of arbitration.</w:t>
            </w:r>
          </w:p>
          <w:p w:rsidR="00A865F4" w:rsidRPr="001B12CE" w:rsidRDefault="00A865F4" w:rsidP="000313F6">
            <w:pPr>
              <w:jc w:val="both"/>
              <w:rPr>
                <w:rFonts w:ascii="Arial" w:eastAsia="Calibri" w:hAnsi="Arial" w:cs="Arial"/>
                <w:sz w:val="16"/>
                <w:szCs w:val="16"/>
                <w:lang w:val="sr-Latn-CS"/>
              </w:rPr>
            </w:pPr>
          </w:p>
          <w:p w:rsidR="00A865F4" w:rsidRPr="001B12CE" w:rsidRDefault="00A865F4" w:rsidP="000313F6">
            <w:pPr>
              <w:jc w:val="both"/>
              <w:rPr>
                <w:rFonts w:ascii="Arial" w:eastAsia="Calibri" w:hAnsi="Arial" w:cs="Arial"/>
                <w:sz w:val="16"/>
                <w:szCs w:val="16"/>
                <w:lang w:val="sr-Latn-CS"/>
              </w:rPr>
            </w:pPr>
            <w:r w:rsidRPr="001B12CE">
              <w:rPr>
                <w:rFonts w:ascii="Arial" w:eastAsia="Calibri" w:hAnsi="Arial" w:cs="Arial"/>
                <w:b/>
                <w:i/>
                <w:sz w:val="16"/>
                <w:szCs w:val="16"/>
                <w:lang w:val="sr-Latn-CS"/>
              </w:rPr>
              <w:t>Mediation Center of Montenegro</w:t>
            </w:r>
            <w:r w:rsidRPr="001B12CE">
              <w:rPr>
                <w:rFonts w:ascii="Arial" w:eastAsia="Calibri" w:hAnsi="Arial" w:cs="Arial"/>
                <w:sz w:val="16"/>
                <w:szCs w:val="16"/>
                <w:lang w:val="sr-Latn-CS"/>
              </w:rPr>
              <w:t>at the Business Law Clinic, it involves student training and his training in the aspect of mastering the basic knowledge and skills of a mediator in the mediation process. The specific aspect of this training, first of all, refers to the mediation of commercial disputes, especially insurance, construction, bankruptcy, and franchise.</w:t>
            </w:r>
          </w:p>
          <w:p w:rsidR="00A865F4" w:rsidRPr="001B12CE" w:rsidRDefault="00A865F4" w:rsidP="000313F6">
            <w:pPr>
              <w:jc w:val="both"/>
              <w:rPr>
                <w:rFonts w:ascii="Arial" w:eastAsia="Calibri" w:hAnsi="Arial" w:cs="Arial"/>
                <w:sz w:val="16"/>
                <w:szCs w:val="16"/>
                <w:lang w:val="sr-Latn-CS"/>
              </w:rPr>
            </w:pPr>
          </w:p>
          <w:p w:rsidR="00A865F4" w:rsidRPr="001B12CE" w:rsidRDefault="00A865F4" w:rsidP="000313F6">
            <w:pPr>
              <w:jc w:val="both"/>
              <w:rPr>
                <w:rFonts w:ascii="Arial" w:eastAsia="Calibri" w:hAnsi="Arial" w:cs="Arial"/>
                <w:b/>
                <w:color w:val="000000"/>
                <w:sz w:val="16"/>
                <w:szCs w:val="16"/>
                <w:lang w:val="sr-Latn-CS"/>
              </w:rPr>
            </w:pPr>
            <w:r w:rsidRPr="001B12CE">
              <w:rPr>
                <w:rFonts w:ascii="Arial" w:eastAsia="Calibri" w:hAnsi="Arial" w:cs="Arial"/>
                <w:b/>
                <w:i/>
                <w:color w:val="000000"/>
                <w:sz w:val="16"/>
                <w:szCs w:val="16"/>
                <w:lang w:val="sr-Latn-CS"/>
              </w:rPr>
              <w:t>DELTA insurance</w:t>
            </w:r>
            <w:r w:rsidRPr="001B12CE">
              <w:rPr>
                <w:rFonts w:ascii="Arial" w:eastAsia="Calibri" w:hAnsi="Arial" w:cs="Arial"/>
                <w:i/>
                <w:color w:val="000000"/>
                <w:sz w:val="16"/>
                <w:szCs w:val="16"/>
                <w:lang w:val="sr-Latn-CS"/>
              </w:rPr>
              <w:t>.</w:t>
            </w:r>
            <w:r w:rsidRPr="001B12CE">
              <w:rPr>
                <w:rFonts w:ascii="Arial" w:eastAsia="Calibri" w:hAnsi="Arial" w:cs="Arial"/>
                <w:color w:val="000000"/>
                <w:sz w:val="16"/>
                <w:szCs w:val="16"/>
                <w:lang w:val="sr-Latn-CS"/>
              </w:rPr>
              <w:t>The participation of this business actor in the performance of practical and theoretical classes of the Business and Legal Clinic aims to introduce the national and European concept, types, elements of the definition of the insurance business, with a special emphasis on the analysis of the insurance policy, mathematical formulas for calculating damages as well as special types of insurance .</w:t>
            </w:r>
          </w:p>
        </w:tc>
      </w:tr>
      <w:tr w:rsidR="00A865F4" w:rsidRPr="001B12CE" w:rsidTr="000313F6">
        <w:trPr>
          <w:trHeight w:val="140"/>
        </w:trPr>
        <w:tc>
          <w:tcPr>
            <w:tcW w:w="609" w:type="pct"/>
            <w:shd w:val="clear" w:color="auto" w:fill="auto"/>
          </w:tcPr>
          <w:p w:rsidR="00A865F4" w:rsidRPr="001B12CE" w:rsidRDefault="00A865F4" w:rsidP="000313F6">
            <w:pPr>
              <w:spacing w:after="120" w:line="480" w:lineRule="auto"/>
              <w:ind w:left="-25"/>
              <w:jc w:val="center"/>
              <w:rPr>
                <w:rFonts w:ascii="Arial" w:eastAsia="Calibri" w:hAnsi="Arial" w:cs="Arial"/>
                <w:b/>
                <w:sz w:val="16"/>
                <w:szCs w:val="16"/>
              </w:rPr>
            </w:pPr>
            <w:r w:rsidRPr="001B12CE">
              <w:rPr>
                <w:rFonts w:ascii="Arial" w:eastAsia="Calibri" w:hAnsi="Arial" w:cs="Arial"/>
                <w:b/>
                <w:sz w:val="16"/>
                <w:szCs w:val="16"/>
              </w:rPr>
              <w:lastRenderedPageBreak/>
              <w:t>XV</w:t>
            </w: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p>
        </w:tc>
        <w:tc>
          <w:tcPr>
            <w:tcW w:w="4239" w:type="pct"/>
            <w:gridSpan w:val="5"/>
            <w:shd w:val="clear" w:color="auto" w:fill="auto"/>
          </w:tcPr>
          <w:p w:rsidR="00A865F4" w:rsidRPr="001B12CE" w:rsidRDefault="00A865F4" w:rsidP="000313F6">
            <w:pPr>
              <w:rPr>
                <w:rFonts w:ascii="Arial" w:eastAsia="Calibri" w:hAnsi="Arial" w:cs="Arial"/>
                <w:b/>
                <w:i/>
                <w:color w:val="000000"/>
                <w:sz w:val="16"/>
                <w:szCs w:val="16"/>
              </w:rPr>
            </w:pPr>
            <w:r w:rsidRPr="001B12CE">
              <w:rPr>
                <w:rFonts w:ascii="Arial" w:eastAsia="Calibri" w:hAnsi="Arial" w:cs="Arial"/>
                <w:b/>
                <w:i/>
                <w:color w:val="000000"/>
                <w:sz w:val="16"/>
                <w:szCs w:val="16"/>
              </w:rPr>
              <w:t>Presentation and defense of papers, papers, reports.</w:t>
            </w:r>
          </w:p>
        </w:tc>
      </w:tr>
      <w:tr w:rsidR="00A865F4" w:rsidRPr="001B12CE" w:rsidTr="000313F6">
        <w:trPr>
          <w:trHeight w:val="140"/>
        </w:trPr>
        <w:tc>
          <w:tcPr>
            <w:tcW w:w="609" w:type="pct"/>
            <w:shd w:val="clear" w:color="auto" w:fill="auto"/>
          </w:tcPr>
          <w:p w:rsidR="00A865F4" w:rsidRPr="001B12CE" w:rsidRDefault="00A865F4" w:rsidP="000313F6">
            <w:pPr>
              <w:spacing w:after="120" w:line="480" w:lineRule="auto"/>
              <w:ind w:left="-25"/>
              <w:jc w:val="center"/>
              <w:rPr>
                <w:rFonts w:ascii="Arial" w:eastAsia="Calibri" w:hAnsi="Arial" w:cs="Arial"/>
                <w:b/>
                <w:sz w:val="16"/>
                <w:szCs w:val="16"/>
              </w:rPr>
            </w:pPr>
            <w:r w:rsidRPr="001B12CE">
              <w:rPr>
                <w:rFonts w:ascii="Arial" w:eastAsia="Calibri" w:hAnsi="Arial" w:cs="Arial"/>
                <w:b/>
                <w:sz w:val="16"/>
                <w:szCs w:val="16"/>
              </w:rPr>
              <w:t>Load</w:t>
            </w:r>
          </w:p>
          <w:p w:rsidR="00A865F4" w:rsidRPr="001B12CE" w:rsidRDefault="00A865F4" w:rsidP="000313F6">
            <w:pPr>
              <w:spacing w:after="120" w:line="480" w:lineRule="auto"/>
              <w:ind w:left="-25"/>
              <w:jc w:val="center"/>
              <w:rPr>
                <w:rFonts w:ascii="Arial" w:eastAsia="Calibri" w:hAnsi="Arial" w:cs="Arial"/>
                <w:b/>
                <w:sz w:val="16"/>
                <w:szCs w:val="16"/>
              </w:rPr>
            </w:pPr>
            <w:r w:rsidRPr="001B12CE">
              <w:rPr>
                <w:rFonts w:ascii="Arial" w:eastAsia="Calibri" w:hAnsi="Arial" w:cs="Arial"/>
                <w:b/>
                <w:sz w:val="16"/>
                <w:szCs w:val="16"/>
              </w:rPr>
              <w:t>student</w:t>
            </w: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p>
        </w:tc>
        <w:tc>
          <w:tcPr>
            <w:tcW w:w="4239" w:type="pct"/>
            <w:gridSpan w:val="5"/>
            <w:shd w:val="clear" w:color="auto" w:fill="auto"/>
          </w:tcPr>
          <w:p w:rsidR="00A865F4" w:rsidRPr="001B12CE" w:rsidRDefault="00A865F4" w:rsidP="000313F6">
            <w:pPr>
              <w:rPr>
                <w:rFonts w:ascii="Arial" w:eastAsia="Calibri" w:hAnsi="Arial" w:cs="Arial"/>
                <w:sz w:val="16"/>
                <w:szCs w:val="16"/>
                <w:u w:val="single"/>
                <w:lang w:val="sr-Latn-CS"/>
              </w:rPr>
            </w:pPr>
            <w:r w:rsidRPr="001B12CE">
              <w:rPr>
                <w:rFonts w:ascii="Arial" w:eastAsia="Calibri" w:hAnsi="Arial" w:cs="Arial"/>
                <w:sz w:val="16"/>
                <w:szCs w:val="16"/>
                <w:u w:val="single"/>
                <w:lang w:val="sr-Latn-CS"/>
              </w:rPr>
              <w:t>In the semester</w:t>
            </w:r>
          </w:p>
          <w:p w:rsidR="00A865F4" w:rsidRPr="001B12CE" w:rsidRDefault="00A865F4" w:rsidP="000313F6">
            <w:pPr>
              <w:rPr>
                <w:rFonts w:ascii="Arial" w:eastAsia="Calibri" w:hAnsi="Arial" w:cs="Arial"/>
                <w:sz w:val="16"/>
                <w:szCs w:val="16"/>
                <w:lang w:val="sr-Latn-CS"/>
              </w:rPr>
            </w:pPr>
            <w:r w:rsidRPr="001B12CE">
              <w:rPr>
                <w:rFonts w:ascii="Arial" w:eastAsia="Calibri" w:hAnsi="Arial" w:cs="Arial"/>
                <w:sz w:val="16"/>
                <w:szCs w:val="16"/>
                <w:lang w:val="sr-Latn-CS"/>
              </w:rPr>
              <w:t>Teaching, independent work and final exam: (8 hours) x 16 = 128 hours</w:t>
            </w:r>
          </w:p>
          <w:p w:rsidR="00A865F4" w:rsidRPr="001B12CE" w:rsidRDefault="00A865F4" w:rsidP="000313F6">
            <w:pPr>
              <w:rPr>
                <w:rFonts w:ascii="Arial" w:eastAsia="Calibri" w:hAnsi="Arial" w:cs="Arial"/>
                <w:sz w:val="16"/>
                <w:szCs w:val="16"/>
                <w:lang w:val="sr-Latn-CS"/>
              </w:rPr>
            </w:pPr>
            <w:r w:rsidRPr="001B12CE">
              <w:rPr>
                <w:rFonts w:ascii="Arial" w:eastAsia="Calibri" w:hAnsi="Arial" w:cs="Arial"/>
                <w:sz w:val="16"/>
                <w:szCs w:val="16"/>
                <w:lang w:val="sr-Latn-CS"/>
              </w:rPr>
              <w:t>Necessary preparations before the beginning of the semester (administration, registration, certification)</w:t>
            </w:r>
          </w:p>
          <w:p w:rsidR="00A865F4" w:rsidRPr="001B12CE" w:rsidRDefault="00A865F4" w:rsidP="000313F6">
            <w:pPr>
              <w:rPr>
                <w:rFonts w:ascii="Arial" w:eastAsia="Calibri" w:hAnsi="Arial" w:cs="Arial"/>
                <w:sz w:val="16"/>
                <w:szCs w:val="16"/>
                <w:lang w:val="sr-Latn-CS"/>
              </w:rPr>
            </w:pPr>
            <w:r w:rsidRPr="001B12CE">
              <w:rPr>
                <w:rFonts w:ascii="Arial" w:eastAsia="Calibri" w:hAnsi="Arial" w:cs="Arial"/>
                <w:sz w:val="16"/>
                <w:szCs w:val="16"/>
                <w:lang w:val="sr-Latn-CS"/>
              </w:rPr>
              <w:t>2 x (8 hours) = 16 hours</w:t>
            </w:r>
          </w:p>
          <w:p w:rsidR="00A865F4" w:rsidRPr="001B12CE" w:rsidRDefault="00A865F4" w:rsidP="000313F6">
            <w:pPr>
              <w:rPr>
                <w:rFonts w:ascii="Arial" w:eastAsia="Calibri" w:hAnsi="Arial" w:cs="Arial"/>
                <w:sz w:val="16"/>
                <w:szCs w:val="16"/>
                <w:lang w:val="sr-Latn-CS"/>
              </w:rPr>
            </w:pPr>
            <w:r w:rsidRPr="001B12CE">
              <w:rPr>
                <w:rFonts w:ascii="Arial" w:eastAsia="Calibri" w:hAnsi="Arial" w:cs="Arial"/>
                <w:sz w:val="16"/>
                <w:szCs w:val="16"/>
                <w:lang w:val="sr-Latn-CS"/>
              </w:rPr>
              <w:t>Total workload for the course 6x30 = 180 hours</w:t>
            </w:r>
          </w:p>
          <w:p w:rsidR="00A865F4" w:rsidRPr="001B12CE" w:rsidRDefault="00A865F4" w:rsidP="000313F6">
            <w:pPr>
              <w:rPr>
                <w:rFonts w:ascii="Arial" w:eastAsia="Calibri" w:hAnsi="Arial" w:cs="Arial"/>
                <w:sz w:val="16"/>
                <w:szCs w:val="16"/>
                <w:lang w:val="sr-Latn-CS"/>
              </w:rPr>
            </w:pPr>
            <w:r w:rsidRPr="001B12CE">
              <w:rPr>
                <w:rFonts w:ascii="Arial" w:eastAsia="Calibri" w:hAnsi="Arial" w:cs="Arial"/>
                <w:sz w:val="16"/>
                <w:szCs w:val="16"/>
                <w:lang w:val="sr-Latn-CS"/>
              </w:rPr>
              <w:t>Supplementary work for exam preparation in the make-up exam period, including taking the make-up exam from 0 to 36 hours (remaining time from the first two items to the total workload for the course 180 hours)</w:t>
            </w:r>
          </w:p>
          <w:p w:rsidR="00A865F4" w:rsidRPr="001B12CE" w:rsidRDefault="00A865F4" w:rsidP="000313F6">
            <w:pPr>
              <w:rPr>
                <w:rFonts w:ascii="Arial" w:eastAsia="Calibri" w:hAnsi="Arial" w:cs="Arial"/>
                <w:sz w:val="16"/>
                <w:szCs w:val="16"/>
                <w:lang w:val="sr-Latn-CS"/>
              </w:rPr>
            </w:pPr>
            <w:r w:rsidRPr="001B12CE">
              <w:rPr>
                <w:rFonts w:ascii="Arial" w:eastAsia="Calibri" w:hAnsi="Arial" w:cs="Arial"/>
                <w:sz w:val="16"/>
                <w:szCs w:val="16"/>
                <w:lang w:val="sr-Latn-CS"/>
              </w:rPr>
              <w:t>Load structure:</w:t>
            </w:r>
          </w:p>
          <w:p w:rsidR="00A865F4" w:rsidRPr="001B12CE" w:rsidRDefault="00A865F4" w:rsidP="000313F6">
            <w:pPr>
              <w:rPr>
                <w:rFonts w:ascii="Arial" w:eastAsia="Calibri" w:hAnsi="Arial" w:cs="Arial"/>
                <w:b/>
                <w:i/>
                <w:color w:val="000000"/>
                <w:sz w:val="16"/>
                <w:szCs w:val="16"/>
              </w:rPr>
            </w:pPr>
            <w:r w:rsidRPr="001B12CE">
              <w:rPr>
                <w:rFonts w:ascii="Arial" w:eastAsia="Calibri" w:hAnsi="Arial" w:cs="Arial"/>
                <w:color w:val="000000"/>
                <w:sz w:val="16"/>
                <w:szCs w:val="16"/>
                <w:lang w:val="sr-Latn-CS"/>
              </w:rPr>
              <w:t>128 hours. (Teaching and independent work)+16 hours (Preparation)+36 hours (Supplementary work)</w:t>
            </w:r>
          </w:p>
        </w:tc>
      </w:tr>
      <w:tr w:rsidR="00A865F4" w:rsidRPr="001B12CE" w:rsidTr="000313F6">
        <w:trPr>
          <w:trHeight w:val="140"/>
        </w:trPr>
        <w:tc>
          <w:tcPr>
            <w:tcW w:w="609" w:type="pct"/>
            <w:shd w:val="clear" w:color="auto" w:fill="auto"/>
          </w:tcPr>
          <w:p w:rsidR="00A865F4" w:rsidRPr="001B12CE" w:rsidRDefault="00A865F4" w:rsidP="000313F6">
            <w:pPr>
              <w:spacing w:after="120" w:line="480" w:lineRule="auto"/>
              <w:ind w:left="-25"/>
              <w:jc w:val="center"/>
              <w:rPr>
                <w:rFonts w:ascii="Arial" w:eastAsia="Calibri" w:hAnsi="Arial" w:cs="Arial"/>
                <w:b/>
                <w:sz w:val="16"/>
                <w:szCs w:val="16"/>
              </w:rPr>
            </w:pPr>
            <w:r w:rsidRPr="001B12CE">
              <w:rPr>
                <w:rFonts w:ascii="Arial" w:eastAsia="Calibri" w:hAnsi="Arial" w:cs="Arial"/>
                <w:b/>
                <w:sz w:val="16"/>
                <w:szCs w:val="16"/>
                <w:lang w:val="sr-Latn-CS"/>
              </w:rPr>
              <w:t>Students are required to:</w:t>
            </w: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p>
        </w:tc>
        <w:tc>
          <w:tcPr>
            <w:tcW w:w="4239" w:type="pct"/>
            <w:gridSpan w:val="5"/>
            <w:shd w:val="clear" w:color="auto" w:fill="auto"/>
          </w:tcPr>
          <w:p w:rsidR="00A865F4" w:rsidRPr="001B12CE" w:rsidRDefault="00A865F4" w:rsidP="000313F6">
            <w:pPr>
              <w:rPr>
                <w:rFonts w:ascii="Arial" w:eastAsia="Calibri" w:hAnsi="Arial" w:cs="Arial"/>
                <w:sz w:val="16"/>
                <w:szCs w:val="16"/>
                <w:u w:val="single"/>
                <w:lang w:val="sr-Latn-CS"/>
              </w:rPr>
            </w:pPr>
            <w:r w:rsidRPr="001B12CE">
              <w:rPr>
                <w:rFonts w:ascii="Arial" w:eastAsia="Calibri" w:hAnsi="Arial" w:cs="Arial"/>
                <w:sz w:val="16"/>
                <w:szCs w:val="16"/>
                <w:lang w:val="sr-Latn-CS"/>
              </w:rPr>
              <w:t>1) to stay in partner institutions and to report on the activities carried out to the teacher and other course participants; 2) to prepare a case and defend a paper at the end of the course, and 3) to participate in discussions after the presentation of the work of each of the course participants.</w:t>
            </w:r>
          </w:p>
        </w:tc>
      </w:tr>
      <w:tr w:rsidR="00A865F4" w:rsidRPr="001B12CE" w:rsidTr="000313F6">
        <w:trPr>
          <w:trHeight w:val="1021"/>
        </w:trPr>
        <w:tc>
          <w:tcPr>
            <w:tcW w:w="609" w:type="pct"/>
            <w:shd w:val="clear" w:color="auto" w:fill="auto"/>
          </w:tcPr>
          <w:p w:rsidR="00A865F4" w:rsidRPr="001B12CE" w:rsidRDefault="00A865F4" w:rsidP="000313F6">
            <w:pPr>
              <w:rPr>
                <w:rFonts w:ascii="Arial" w:eastAsia="Calibri" w:hAnsi="Arial" w:cs="Arial"/>
                <w:color w:val="000000"/>
                <w:sz w:val="16"/>
                <w:szCs w:val="16"/>
                <w:lang w:val="sr-Latn-CS"/>
              </w:rPr>
            </w:pPr>
            <w:r w:rsidRPr="001B12CE">
              <w:rPr>
                <w:rFonts w:ascii="Arial" w:eastAsia="Calibri" w:hAnsi="Arial" w:cs="Arial"/>
                <w:b/>
                <w:bCs/>
                <w:i/>
                <w:iCs/>
                <w:color w:val="000000"/>
                <w:sz w:val="16"/>
                <w:szCs w:val="16"/>
                <w:lang w:val="sr-Latn-CS"/>
              </w:rPr>
              <w:t>Forms of knowledge testing and assessment:</w:t>
            </w:r>
            <w:r w:rsidRPr="001B12CE">
              <w:rPr>
                <w:rFonts w:ascii="Arial" w:eastAsia="Calibri" w:hAnsi="Arial" w:cs="Arial"/>
                <w:color w:val="000000"/>
                <w:sz w:val="16"/>
                <w:szCs w:val="16"/>
                <w:lang w:val="sr-Latn-CS"/>
              </w:rPr>
              <w:t xml:space="preserve"> </w:t>
            </w:r>
          </w:p>
          <w:p w:rsidR="00A865F4" w:rsidRPr="001B12CE" w:rsidRDefault="00A865F4" w:rsidP="000313F6">
            <w:pPr>
              <w:spacing w:after="120" w:line="480" w:lineRule="auto"/>
              <w:ind w:left="-25"/>
              <w:jc w:val="center"/>
              <w:rPr>
                <w:rFonts w:ascii="Arial" w:eastAsia="Calibri" w:hAnsi="Arial" w:cs="Arial"/>
                <w:b/>
                <w:sz w:val="16"/>
                <w:szCs w:val="16"/>
                <w:lang w:val="sr-Latn-CS"/>
              </w:rPr>
            </w:pP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p>
        </w:tc>
        <w:tc>
          <w:tcPr>
            <w:tcW w:w="4239" w:type="pct"/>
            <w:gridSpan w:val="5"/>
            <w:shd w:val="clear" w:color="auto" w:fill="auto"/>
          </w:tcPr>
          <w:p w:rsidR="00A865F4" w:rsidRPr="001B12CE" w:rsidRDefault="00A865F4" w:rsidP="000313F6">
            <w:pPr>
              <w:rPr>
                <w:rFonts w:ascii="Arial" w:eastAsia="Calibri" w:hAnsi="Arial" w:cs="Arial"/>
                <w:sz w:val="16"/>
                <w:szCs w:val="16"/>
                <w:lang w:val="sr-Latn-CS"/>
              </w:rPr>
            </w:pPr>
            <w:r w:rsidRPr="001B12CE">
              <w:rPr>
                <w:rFonts w:ascii="Arial" w:eastAsia="Calibri" w:hAnsi="Arial" w:cs="Arial"/>
                <w:sz w:val="16"/>
                <w:szCs w:val="16"/>
                <w:lang w:val="sr-Latn-CS"/>
              </w:rPr>
              <w:t>- Interactivity in practical teaching (up to 50 points);</w:t>
            </w:r>
          </w:p>
          <w:p w:rsidR="00A865F4" w:rsidRPr="001B12CE" w:rsidRDefault="00A865F4" w:rsidP="000313F6">
            <w:pPr>
              <w:rPr>
                <w:rFonts w:ascii="Arial" w:eastAsia="Calibri" w:hAnsi="Arial" w:cs="Arial"/>
                <w:sz w:val="16"/>
                <w:szCs w:val="16"/>
                <w:lang w:val="sr-Latn-CS"/>
              </w:rPr>
            </w:pPr>
            <w:r w:rsidRPr="001B12CE">
              <w:rPr>
                <w:rFonts w:ascii="Arial" w:eastAsia="Calibri" w:hAnsi="Arial" w:cs="Arial"/>
                <w:sz w:val="16"/>
                <w:szCs w:val="16"/>
                <w:lang w:val="sr-Latn-CS"/>
              </w:rPr>
              <w:t>- Preparation of the case and defense report (up to 50 points).</w:t>
            </w:r>
          </w:p>
          <w:p w:rsidR="00A865F4" w:rsidRPr="001B12CE" w:rsidRDefault="00A865F4" w:rsidP="000313F6">
            <w:pPr>
              <w:rPr>
                <w:rFonts w:ascii="Arial" w:eastAsia="Calibri" w:hAnsi="Arial" w:cs="Arial"/>
                <w:sz w:val="16"/>
                <w:szCs w:val="16"/>
                <w:lang w:val="sr-Latn-CS"/>
              </w:rPr>
            </w:pPr>
          </w:p>
        </w:tc>
      </w:tr>
      <w:tr w:rsidR="00A865F4" w:rsidRPr="001B12CE" w:rsidTr="000313F6">
        <w:trPr>
          <w:trHeight w:val="766"/>
        </w:trPr>
        <w:tc>
          <w:tcPr>
            <w:tcW w:w="609" w:type="pct"/>
            <w:shd w:val="clear" w:color="auto" w:fill="auto"/>
          </w:tcPr>
          <w:p w:rsidR="00A865F4" w:rsidRPr="001B12CE" w:rsidRDefault="00A865F4" w:rsidP="000313F6">
            <w:pPr>
              <w:rPr>
                <w:rFonts w:ascii="Arial" w:eastAsia="Calibri" w:hAnsi="Arial" w:cs="Arial"/>
                <w:b/>
                <w:bCs/>
                <w:i/>
                <w:iCs/>
                <w:color w:val="000000"/>
                <w:sz w:val="16"/>
                <w:szCs w:val="16"/>
                <w:lang w:val="sr-Latn-CS"/>
              </w:rPr>
            </w:pPr>
            <w:r w:rsidRPr="001B12CE">
              <w:rPr>
                <w:rFonts w:ascii="Arial" w:eastAsia="Calibri" w:hAnsi="Arial" w:cs="Arial"/>
                <w:b/>
                <w:bCs/>
                <w:i/>
                <w:iCs/>
                <w:color w:val="000000"/>
                <w:sz w:val="16"/>
                <w:szCs w:val="16"/>
                <w:lang w:val="sr-Latn-CS"/>
              </w:rPr>
              <w:t>Literature:</w:t>
            </w: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p>
        </w:tc>
        <w:tc>
          <w:tcPr>
            <w:tcW w:w="4239" w:type="pct"/>
            <w:gridSpan w:val="5"/>
            <w:shd w:val="clear" w:color="auto" w:fill="auto"/>
          </w:tcPr>
          <w:p w:rsidR="00A865F4" w:rsidRPr="001B12CE" w:rsidRDefault="00A865F4" w:rsidP="000313F6">
            <w:pPr>
              <w:widowControl w:val="0"/>
              <w:tabs>
                <w:tab w:val="left" w:pos="4340"/>
                <w:tab w:val="left" w:pos="7880"/>
              </w:tabs>
              <w:autoSpaceDE w:val="0"/>
              <w:autoSpaceDN w:val="0"/>
              <w:adjustRightInd w:val="0"/>
              <w:ind w:left="101" w:right="68"/>
              <w:rPr>
                <w:rFonts w:ascii="Arial" w:eastAsia="Calibri" w:hAnsi="Arial" w:cs="Arial"/>
                <w:spacing w:val="1"/>
                <w:sz w:val="16"/>
                <w:szCs w:val="16"/>
              </w:rPr>
            </w:pPr>
          </w:p>
          <w:p w:rsidR="00A865F4" w:rsidRPr="001B12CE" w:rsidRDefault="00A865F4" w:rsidP="00A865F4">
            <w:pPr>
              <w:keepNext/>
              <w:numPr>
                <w:ilvl w:val="0"/>
                <w:numId w:val="2"/>
              </w:numPr>
              <w:outlineLvl w:val="0"/>
              <w:rPr>
                <w:rFonts w:ascii="Arial" w:eastAsia="Calibri" w:hAnsi="Arial" w:cs="Arial"/>
                <w:bCs/>
                <w:iCs/>
                <w:kern w:val="32"/>
                <w:sz w:val="16"/>
                <w:szCs w:val="16"/>
                <w:lang w:val="hr-HR"/>
              </w:rPr>
            </w:pPr>
            <w:r w:rsidRPr="001B12CE">
              <w:rPr>
                <w:rFonts w:ascii="Arial" w:eastAsia="Calibri" w:hAnsi="Arial" w:cs="Arial"/>
                <w:bCs/>
                <w:iCs/>
                <w:kern w:val="32"/>
                <w:sz w:val="16"/>
                <w:szCs w:val="16"/>
                <w:lang w:val="hr-HR"/>
              </w:rPr>
              <w:t>Carić, S., Vilus, J., Šogorov, S: International Commercial Law, Novi Sad, 2000;</w:t>
            </w:r>
          </w:p>
          <w:p w:rsidR="00A865F4" w:rsidRPr="001B12CE" w:rsidRDefault="00A865F4" w:rsidP="00A865F4">
            <w:pPr>
              <w:keepNext/>
              <w:numPr>
                <w:ilvl w:val="0"/>
                <w:numId w:val="2"/>
              </w:numPr>
              <w:outlineLvl w:val="0"/>
              <w:rPr>
                <w:rFonts w:ascii="Arial" w:eastAsia="Calibri" w:hAnsi="Arial" w:cs="Arial"/>
                <w:bCs/>
                <w:iCs/>
                <w:kern w:val="32"/>
                <w:sz w:val="16"/>
                <w:szCs w:val="16"/>
                <w:lang w:val="hr-HR"/>
              </w:rPr>
            </w:pPr>
            <w:r w:rsidRPr="001B12CE">
              <w:rPr>
                <w:rFonts w:ascii="Arial" w:eastAsia="Calibri" w:hAnsi="Arial" w:cs="Arial"/>
                <w:bCs/>
                <w:iCs/>
                <w:kern w:val="32"/>
                <w:sz w:val="16"/>
                <w:szCs w:val="16"/>
                <w:lang w:val="hr-HR"/>
              </w:rPr>
              <w:t>Draškić, M., Stanivuković, M: Contract law of international trade, Belgrade, 2005;</w:t>
            </w:r>
          </w:p>
          <w:p w:rsidR="00A865F4" w:rsidRPr="001B12CE" w:rsidRDefault="00A865F4" w:rsidP="00A865F4">
            <w:pPr>
              <w:keepNext/>
              <w:numPr>
                <w:ilvl w:val="0"/>
                <w:numId w:val="2"/>
              </w:numPr>
              <w:outlineLvl w:val="0"/>
              <w:rPr>
                <w:rFonts w:ascii="Arial" w:eastAsia="Calibri" w:hAnsi="Arial" w:cs="Arial"/>
                <w:bCs/>
                <w:iCs/>
                <w:kern w:val="32"/>
                <w:sz w:val="16"/>
                <w:szCs w:val="16"/>
                <w:lang w:val="hr-HR"/>
              </w:rPr>
            </w:pPr>
            <w:r w:rsidRPr="001B12CE">
              <w:rPr>
                <w:rFonts w:ascii="Arial" w:eastAsia="Calibri" w:hAnsi="Arial" w:cs="Arial"/>
                <w:bCs/>
                <w:iCs/>
                <w:kern w:val="32"/>
                <w:sz w:val="16"/>
                <w:szCs w:val="16"/>
                <w:lang w:val="hr-HR"/>
              </w:rPr>
              <w:t>Draškić, M: International commercial contract law, Belgrade, 1990;</w:t>
            </w:r>
          </w:p>
          <w:p w:rsidR="00A865F4" w:rsidRPr="001B12CE" w:rsidRDefault="00A865F4" w:rsidP="00A865F4">
            <w:pPr>
              <w:keepNext/>
              <w:numPr>
                <w:ilvl w:val="0"/>
                <w:numId w:val="2"/>
              </w:numPr>
              <w:outlineLvl w:val="0"/>
              <w:rPr>
                <w:rFonts w:ascii="Arial" w:eastAsia="Calibri" w:hAnsi="Arial" w:cs="Arial"/>
                <w:bCs/>
                <w:iCs/>
                <w:kern w:val="32"/>
                <w:sz w:val="16"/>
                <w:szCs w:val="16"/>
                <w:lang w:val="hr-HR"/>
              </w:rPr>
            </w:pPr>
            <w:r w:rsidRPr="001B12CE">
              <w:rPr>
                <w:rFonts w:ascii="Arial" w:eastAsia="Calibri" w:hAnsi="Arial" w:cs="Arial"/>
                <w:bCs/>
                <w:iCs/>
                <w:kern w:val="32"/>
                <w:sz w:val="16"/>
                <w:szCs w:val="16"/>
                <w:lang w:val="hr-HR"/>
              </w:rPr>
              <w:t>Đurović, R., Ćirić A: International trade law - General part, Niš, 2005;</w:t>
            </w:r>
          </w:p>
          <w:p w:rsidR="00A865F4" w:rsidRPr="001B12CE" w:rsidRDefault="00A865F4" w:rsidP="00A865F4">
            <w:pPr>
              <w:keepNext/>
              <w:numPr>
                <w:ilvl w:val="0"/>
                <w:numId w:val="2"/>
              </w:numPr>
              <w:outlineLvl w:val="0"/>
              <w:rPr>
                <w:rFonts w:ascii="Arial" w:eastAsia="Calibri" w:hAnsi="Arial" w:cs="Arial"/>
                <w:bCs/>
                <w:spacing w:val="1"/>
                <w:kern w:val="32"/>
                <w:sz w:val="16"/>
                <w:szCs w:val="16"/>
                <w:lang w:val="hr-HR"/>
              </w:rPr>
            </w:pPr>
            <w:r w:rsidRPr="001B12CE">
              <w:rPr>
                <w:rFonts w:ascii="Arial" w:eastAsia="Calibri" w:hAnsi="Arial" w:cs="Arial"/>
                <w:bCs/>
                <w:kern w:val="32"/>
                <w:sz w:val="16"/>
                <w:szCs w:val="16"/>
                <w:lang w:val="hr-HR"/>
              </w:rPr>
              <w:t>Đurović, R.: International Commercial Law, Belgrade, 2004;</w:t>
            </w:r>
          </w:p>
          <w:p w:rsidR="00A865F4" w:rsidRPr="001B12CE" w:rsidRDefault="00A865F4" w:rsidP="00A865F4">
            <w:pPr>
              <w:keepNext/>
              <w:numPr>
                <w:ilvl w:val="0"/>
                <w:numId w:val="2"/>
              </w:numPr>
              <w:outlineLvl w:val="0"/>
              <w:rPr>
                <w:rFonts w:ascii="Arial" w:eastAsia="Calibri" w:hAnsi="Arial" w:cs="Arial"/>
                <w:bCs/>
                <w:iCs/>
                <w:kern w:val="32"/>
                <w:sz w:val="16"/>
                <w:szCs w:val="16"/>
                <w:lang w:val="hr-HR"/>
              </w:rPr>
            </w:pPr>
            <w:r w:rsidRPr="001B12CE">
              <w:rPr>
                <w:rFonts w:ascii="Arial" w:eastAsia="Calibri" w:hAnsi="Arial" w:cs="Arial"/>
                <w:bCs/>
                <w:iCs/>
                <w:kern w:val="32"/>
                <w:sz w:val="16"/>
                <w:szCs w:val="16"/>
                <w:lang w:val="hr-HR"/>
              </w:rPr>
              <w:t>Folsom, RH, Gordon, MW, Van Alstine, MP, Ramsey, MD: International Business Transactions: A Problem-Oriented Coursebook, 12th and Documents Supplement for International Business Transactions, 2015;</w:t>
            </w:r>
          </w:p>
          <w:p w:rsidR="00A865F4" w:rsidRPr="001B12CE" w:rsidRDefault="00A865F4" w:rsidP="00A865F4">
            <w:pPr>
              <w:keepNext/>
              <w:numPr>
                <w:ilvl w:val="0"/>
                <w:numId w:val="2"/>
              </w:numPr>
              <w:outlineLvl w:val="0"/>
              <w:rPr>
                <w:rFonts w:ascii="Arial" w:eastAsia="Calibri" w:hAnsi="Arial" w:cs="Arial"/>
                <w:bCs/>
                <w:kern w:val="32"/>
                <w:sz w:val="16"/>
                <w:szCs w:val="16"/>
                <w:lang w:val="hr-HR"/>
              </w:rPr>
            </w:pPr>
            <w:r w:rsidRPr="001B12CE">
              <w:rPr>
                <w:rFonts w:ascii="Arial" w:eastAsia="Calibri" w:hAnsi="Arial" w:cs="Arial"/>
                <w:bCs/>
                <w:spacing w:val="-1"/>
                <w:kern w:val="32"/>
                <w:sz w:val="16"/>
                <w:szCs w:val="16"/>
                <w:lang w:val="hr-HR"/>
              </w:rPr>
              <w:t>Graic</w:t>
            </w:r>
            <w:r w:rsidRPr="001B12CE">
              <w:rPr>
                <w:rFonts w:ascii="Arial" w:eastAsia="Calibri" w:hAnsi="Arial" w:cs="Arial"/>
                <w:bCs/>
                <w:kern w:val="32"/>
                <w:sz w:val="16"/>
                <w:szCs w:val="16"/>
                <w:lang w:val="hr-HR"/>
              </w:rPr>
              <w:t>-Stepanović, S: Praktikum for international business-legal transactions and integrations, Belgrade, 2007;</w:t>
            </w:r>
          </w:p>
          <w:p w:rsidR="00A865F4" w:rsidRPr="001B12CE" w:rsidRDefault="00A865F4" w:rsidP="00A865F4">
            <w:pPr>
              <w:keepNext/>
              <w:numPr>
                <w:ilvl w:val="0"/>
                <w:numId w:val="2"/>
              </w:numPr>
              <w:outlineLvl w:val="0"/>
              <w:rPr>
                <w:rFonts w:ascii="Arial" w:eastAsia="Calibri" w:hAnsi="Arial" w:cs="Arial"/>
                <w:bCs/>
                <w:iCs/>
                <w:kern w:val="32"/>
                <w:sz w:val="16"/>
                <w:szCs w:val="16"/>
                <w:lang w:val="hr-HR"/>
              </w:rPr>
            </w:pPr>
            <w:r w:rsidRPr="001B12CE">
              <w:rPr>
                <w:rFonts w:ascii="Arial" w:eastAsia="Calibri" w:hAnsi="Arial" w:cs="Arial"/>
                <w:bCs/>
                <w:iCs/>
                <w:kern w:val="32"/>
                <w:sz w:val="16"/>
                <w:szCs w:val="16"/>
                <w:lang w:val="hr-HR"/>
              </w:rPr>
              <w:t>Jankovec, I: Commercial law, Belgrade, 1999;</w:t>
            </w:r>
          </w:p>
          <w:p w:rsidR="00A865F4" w:rsidRPr="001B12CE" w:rsidRDefault="00A865F4" w:rsidP="00A865F4">
            <w:pPr>
              <w:keepNext/>
              <w:numPr>
                <w:ilvl w:val="0"/>
                <w:numId w:val="2"/>
              </w:numPr>
              <w:outlineLvl w:val="0"/>
              <w:rPr>
                <w:rFonts w:ascii="Arial" w:eastAsia="Calibri" w:hAnsi="Arial" w:cs="Arial"/>
                <w:bCs/>
                <w:iCs/>
                <w:kern w:val="32"/>
                <w:sz w:val="16"/>
                <w:szCs w:val="16"/>
                <w:lang w:val="hr-HR"/>
              </w:rPr>
            </w:pPr>
            <w:r w:rsidRPr="001B12CE">
              <w:rPr>
                <w:rFonts w:ascii="Arial" w:eastAsia="Calibri" w:hAnsi="Arial" w:cs="Arial"/>
                <w:bCs/>
                <w:iCs/>
                <w:kern w:val="32"/>
                <w:sz w:val="16"/>
                <w:szCs w:val="16"/>
                <w:lang w:val="hr-HR"/>
              </w:rPr>
              <w:t>Jovanović, N: Practice in commercial law, Belgrade, 1999;</w:t>
            </w:r>
          </w:p>
          <w:p w:rsidR="00A865F4" w:rsidRPr="001B12CE" w:rsidRDefault="00A865F4" w:rsidP="00A865F4">
            <w:pPr>
              <w:keepNext/>
              <w:numPr>
                <w:ilvl w:val="0"/>
                <w:numId w:val="2"/>
              </w:numPr>
              <w:outlineLvl w:val="0"/>
              <w:rPr>
                <w:rFonts w:ascii="Arial" w:eastAsia="Calibri" w:hAnsi="Arial" w:cs="Arial"/>
                <w:bCs/>
                <w:iCs/>
                <w:kern w:val="32"/>
                <w:sz w:val="16"/>
                <w:szCs w:val="16"/>
                <w:lang w:val="hr-HR"/>
              </w:rPr>
            </w:pPr>
            <w:r w:rsidRPr="001B12CE">
              <w:rPr>
                <w:rFonts w:ascii="Arial" w:eastAsia="Calibri" w:hAnsi="Arial" w:cs="Arial"/>
                <w:bCs/>
                <w:iCs/>
                <w:kern w:val="32"/>
                <w:sz w:val="16"/>
                <w:szCs w:val="16"/>
                <w:lang w:val="hr-HR"/>
              </w:rPr>
              <w:t>Ljutić, B: Banking and stock market business, Belgrade, 2004;</w:t>
            </w:r>
          </w:p>
          <w:p w:rsidR="00A865F4" w:rsidRPr="001B12CE" w:rsidRDefault="00A865F4" w:rsidP="00A865F4">
            <w:pPr>
              <w:keepNext/>
              <w:numPr>
                <w:ilvl w:val="0"/>
                <w:numId w:val="2"/>
              </w:numPr>
              <w:outlineLvl w:val="0"/>
              <w:rPr>
                <w:rFonts w:ascii="Arial" w:eastAsia="Calibri" w:hAnsi="Arial" w:cs="Arial"/>
                <w:bCs/>
                <w:iCs/>
                <w:kern w:val="32"/>
                <w:sz w:val="16"/>
                <w:szCs w:val="16"/>
                <w:lang w:val="hr-HR"/>
              </w:rPr>
            </w:pPr>
            <w:r w:rsidRPr="001B12CE">
              <w:rPr>
                <w:rFonts w:ascii="Arial" w:eastAsia="Calibri" w:hAnsi="Arial" w:cs="Arial"/>
                <w:bCs/>
                <w:iCs/>
                <w:kern w:val="32"/>
                <w:sz w:val="16"/>
                <w:szCs w:val="16"/>
                <w:lang w:val="hr-HR"/>
              </w:rPr>
              <w:t>Mlikotin-Tomić, D: International Trade Law, Zagreb, 1999;</w:t>
            </w:r>
          </w:p>
          <w:p w:rsidR="00A865F4" w:rsidRPr="001B12CE" w:rsidRDefault="00A865F4" w:rsidP="00A865F4">
            <w:pPr>
              <w:keepNext/>
              <w:numPr>
                <w:ilvl w:val="0"/>
                <w:numId w:val="2"/>
              </w:numPr>
              <w:outlineLvl w:val="0"/>
              <w:rPr>
                <w:rFonts w:ascii="Arial" w:eastAsia="Calibri" w:hAnsi="Arial" w:cs="Arial"/>
                <w:bCs/>
                <w:iCs/>
                <w:kern w:val="32"/>
                <w:sz w:val="16"/>
                <w:szCs w:val="16"/>
                <w:lang w:val="hr-HR"/>
              </w:rPr>
            </w:pPr>
            <w:r w:rsidRPr="001B12CE">
              <w:rPr>
                <w:rFonts w:ascii="Arial" w:eastAsia="Calibri" w:hAnsi="Arial" w:cs="Arial"/>
                <w:bCs/>
                <w:iCs/>
                <w:kern w:val="32"/>
                <w:sz w:val="16"/>
                <w:szCs w:val="16"/>
                <w:lang w:val="hr-HR"/>
              </w:rPr>
              <w:t>Stojiljković, V: International Commercial Law, Belgrade, 2001;</w:t>
            </w:r>
          </w:p>
          <w:p w:rsidR="00A865F4" w:rsidRPr="001B12CE" w:rsidRDefault="00A865F4" w:rsidP="00A865F4">
            <w:pPr>
              <w:keepNext/>
              <w:numPr>
                <w:ilvl w:val="0"/>
                <w:numId w:val="2"/>
              </w:numPr>
              <w:outlineLvl w:val="0"/>
              <w:rPr>
                <w:rFonts w:ascii="Arial" w:eastAsia="Calibri" w:hAnsi="Arial" w:cs="Arial"/>
                <w:bCs/>
                <w:iCs/>
                <w:kern w:val="32"/>
                <w:sz w:val="16"/>
                <w:szCs w:val="16"/>
                <w:lang w:val="hr-HR"/>
              </w:rPr>
            </w:pPr>
            <w:r w:rsidRPr="001B12CE">
              <w:rPr>
                <w:rFonts w:ascii="Arial" w:eastAsia="Calibri" w:hAnsi="Arial" w:cs="Arial"/>
                <w:bCs/>
                <w:iCs/>
                <w:kern w:val="32"/>
                <w:sz w:val="16"/>
                <w:szCs w:val="16"/>
                <w:lang w:val="hr-HR"/>
              </w:rPr>
              <w:t>Subotić-Konstantinović, N: Introduction to international commercial law, Belgrade, 1999;</w:t>
            </w:r>
          </w:p>
          <w:p w:rsidR="00A865F4" w:rsidRPr="001B12CE" w:rsidRDefault="00A865F4" w:rsidP="00A865F4">
            <w:pPr>
              <w:keepNext/>
              <w:numPr>
                <w:ilvl w:val="0"/>
                <w:numId w:val="2"/>
              </w:numPr>
              <w:outlineLvl w:val="0"/>
              <w:rPr>
                <w:rFonts w:ascii="Arial" w:eastAsia="Calibri" w:hAnsi="Arial" w:cs="Arial"/>
                <w:bCs/>
                <w:iCs/>
                <w:kern w:val="32"/>
                <w:sz w:val="16"/>
                <w:szCs w:val="16"/>
                <w:lang w:val="hr-HR"/>
              </w:rPr>
            </w:pPr>
            <w:r w:rsidRPr="001B12CE">
              <w:rPr>
                <w:rFonts w:ascii="Arial" w:eastAsia="Calibri" w:hAnsi="Arial" w:cs="Arial"/>
                <w:bCs/>
                <w:iCs/>
                <w:kern w:val="32"/>
                <w:sz w:val="16"/>
                <w:szCs w:val="16"/>
                <w:lang w:val="hr-HR"/>
              </w:rPr>
              <w:t>Šulejić, P: Insurance Law, Belgrade, 1997;</w:t>
            </w:r>
          </w:p>
          <w:p w:rsidR="00A865F4" w:rsidRPr="001B12CE" w:rsidRDefault="00A865F4" w:rsidP="00A865F4">
            <w:pPr>
              <w:numPr>
                <w:ilvl w:val="0"/>
                <w:numId w:val="2"/>
              </w:numPr>
              <w:contextualSpacing/>
              <w:rPr>
                <w:rFonts w:ascii="Arial" w:eastAsia="Calibri" w:hAnsi="Arial" w:cs="Arial"/>
                <w:sz w:val="16"/>
                <w:szCs w:val="16"/>
                <w:lang w:val="hr-HR"/>
              </w:rPr>
            </w:pPr>
            <w:r w:rsidRPr="001B12CE">
              <w:rPr>
                <w:rFonts w:ascii="Arial" w:eastAsia="Calibri" w:hAnsi="Arial" w:cs="Arial"/>
                <w:iCs/>
                <w:sz w:val="16"/>
                <w:szCs w:val="16"/>
                <w:lang w:val="hr-HR"/>
              </w:rPr>
              <w:t>Varadi, T: International private law, Belgrade, 2000.</w:t>
            </w:r>
          </w:p>
          <w:p w:rsidR="00A865F4" w:rsidRPr="001B12CE" w:rsidRDefault="00A865F4" w:rsidP="00A865F4">
            <w:pPr>
              <w:keepNext/>
              <w:numPr>
                <w:ilvl w:val="0"/>
                <w:numId w:val="2"/>
              </w:numPr>
              <w:outlineLvl w:val="0"/>
              <w:rPr>
                <w:rFonts w:ascii="Arial" w:eastAsia="Calibri" w:hAnsi="Arial" w:cs="Arial"/>
                <w:bCs/>
                <w:kern w:val="32"/>
                <w:sz w:val="16"/>
                <w:szCs w:val="16"/>
                <w:lang w:val="hr-HR"/>
              </w:rPr>
            </w:pPr>
            <w:r w:rsidRPr="001B12CE">
              <w:rPr>
                <w:rFonts w:ascii="Arial" w:eastAsia="Calibri" w:hAnsi="Arial" w:cs="Arial"/>
                <w:bCs/>
                <w:kern w:val="32"/>
                <w:sz w:val="16"/>
                <w:szCs w:val="16"/>
                <w:lang w:val="hr-HR"/>
              </w:rPr>
              <w:t>Vasiljević, M.: Trade Law, Belgrade, 2014;</w:t>
            </w:r>
          </w:p>
          <w:p w:rsidR="00A865F4" w:rsidRPr="001B12CE" w:rsidRDefault="00A865F4" w:rsidP="00A865F4">
            <w:pPr>
              <w:keepNext/>
              <w:numPr>
                <w:ilvl w:val="0"/>
                <w:numId w:val="2"/>
              </w:numPr>
              <w:outlineLvl w:val="0"/>
              <w:rPr>
                <w:rFonts w:ascii="Arial" w:eastAsia="Calibri" w:hAnsi="Arial" w:cs="Arial"/>
                <w:bCs/>
                <w:spacing w:val="-1"/>
                <w:kern w:val="32"/>
                <w:sz w:val="16"/>
                <w:szCs w:val="16"/>
                <w:lang w:val="hr-HR"/>
              </w:rPr>
            </w:pPr>
            <w:r w:rsidRPr="001B12CE">
              <w:rPr>
                <w:rFonts w:ascii="Arial" w:eastAsia="Calibri" w:hAnsi="Arial" w:cs="Arial"/>
                <w:bCs/>
                <w:kern w:val="32"/>
                <w:sz w:val="16"/>
                <w:szCs w:val="16"/>
                <w:lang w:val="hr-HR"/>
              </w:rPr>
              <w:t>Vukadinović, R: International Business Law – General and Special Part, Kragujevac, 2012.</w:t>
            </w:r>
          </w:p>
          <w:p w:rsidR="00A865F4" w:rsidRPr="001B12CE" w:rsidRDefault="00A865F4" w:rsidP="000313F6">
            <w:pPr>
              <w:rPr>
                <w:rFonts w:ascii="Arial" w:eastAsia="Calibri" w:hAnsi="Arial" w:cs="Arial"/>
                <w:sz w:val="16"/>
                <w:szCs w:val="16"/>
                <w:lang w:val="sr-Latn-CS"/>
              </w:rPr>
            </w:pPr>
          </w:p>
        </w:tc>
      </w:tr>
      <w:tr w:rsidR="00A865F4" w:rsidRPr="001B12CE" w:rsidTr="000313F6">
        <w:trPr>
          <w:trHeight w:val="140"/>
        </w:trPr>
        <w:tc>
          <w:tcPr>
            <w:tcW w:w="609" w:type="pct"/>
            <w:shd w:val="clear" w:color="auto" w:fill="auto"/>
          </w:tcPr>
          <w:p w:rsidR="00A865F4" w:rsidRPr="001B12CE" w:rsidRDefault="00A865F4" w:rsidP="000313F6">
            <w:pPr>
              <w:rPr>
                <w:rFonts w:ascii="Arial" w:eastAsia="Calibri" w:hAnsi="Arial" w:cs="Arial"/>
                <w:b/>
                <w:bCs/>
                <w:i/>
                <w:iCs/>
                <w:color w:val="000000"/>
                <w:sz w:val="16"/>
                <w:szCs w:val="16"/>
                <w:lang w:val="sr-Latn-CS"/>
              </w:rPr>
            </w:pPr>
            <w:r w:rsidRPr="001B12CE">
              <w:rPr>
                <w:rFonts w:ascii="Arial" w:eastAsia="Calibri" w:hAnsi="Arial" w:cs="Arial"/>
                <w:b/>
                <w:bCs/>
                <w:i/>
                <w:iCs/>
                <w:color w:val="000000"/>
                <w:sz w:val="16"/>
                <w:szCs w:val="16"/>
                <w:lang w:val="sr-Latn-CS"/>
              </w:rPr>
              <w:t>Name and surname of the teacher who prepared the data:</w:t>
            </w: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p>
        </w:tc>
        <w:tc>
          <w:tcPr>
            <w:tcW w:w="4239" w:type="pct"/>
            <w:gridSpan w:val="5"/>
            <w:shd w:val="clear" w:color="auto" w:fill="auto"/>
          </w:tcPr>
          <w:p w:rsidR="00A865F4" w:rsidRPr="001B12CE" w:rsidRDefault="00A865F4" w:rsidP="000313F6">
            <w:pPr>
              <w:rPr>
                <w:rFonts w:ascii="Arial" w:eastAsia="Calibri" w:hAnsi="Arial" w:cs="Arial"/>
                <w:sz w:val="16"/>
                <w:szCs w:val="16"/>
                <w:lang w:val="sr-Latn-CS"/>
              </w:rPr>
            </w:pPr>
            <w:r w:rsidRPr="001B12CE">
              <w:rPr>
                <w:rFonts w:ascii="Arial" w:eastAsia="Calibri" w:hAnsi="Arial" w:cs="Arial"/>
                <w:bCs/>
                <w:iCs/>
                <w:color w:val="000000"/>
                <w:sz w:val="16"/>
                <w:szCs w:val="16"/>
                <w:lang w:val="sr-Latn-CS"/>
              </w:rPr>
              <w:t>Prof. Dr. Aneta Spaić</w:t>
            </w:r>
          </w:p>
        </w:tc>
      </w:tr>
      <w:tr w:rsidR="00A865F4" w:rsidRPr="001B12CE" w:rsidTr="000313F6">
        <w:trPr>
          <w:trHeight w:val="140"/>
        </w:trPr>
        <w:tc>
          <w:tcPr>
            <w:tcW w:w="609" w:type="pct"/>
            <w:shd w:val="clear" w:color="auto" w:fill="auto"/>
          </w:tcPr>
          <w:p w:rsidR="00A865F4" w:rsidRPr="001B12CE" w:rsidRDefault="00A865F4" w:rsidP="000313F6">
            <w:pPr>
              <w:rPr>
                <w:rFonts w:ascii="Arial" w:eastAsia="Calibri" w:hAnsi="Arial" w:cs="Arial"/>
                <w:b/>
                <w:bCs/>
                <w:i/>
                <w:iCs/>
                <w:color w:val="000000"/>
                <w:sz w:val="16"/>
                <w:szCs w:val="16"/>
                <w:lang w:val="sr-Latn-CS"/>
              </w:rPr>
            </w:pPr>
            <w:r w:rsidRPr="001B12CE">
              <w:rPr>
                <w:rFonts w:ascii="Arial" w:eastAsia="Calibri" w:hAnsi="Arial" w:cs="Arial"/>
                <w:b/>
                <w:bCs/>
                <w:i/>
                <w:iCs/>
                <w:color w:val="000000"/>
                <w:sz w:val="16"/>
                <w:szCs w:val="16"/>
                <w:lang w:val="sr-Latn-CS"/>
              </w:rPr>
              <w:t>Consultations:</w:t>
            </w:r>
          </w:p>
        </w:tc>
        <w:tc>
          <w:tcPr>
            <w:tcW w:w="152" w:type="pct"/>
            <w:shd w:val="clear" w:color="auto" w:fill="auto"/>
          </w:tcPr>
          <w:p w:rsidR="00A865F4" w:rsidRPr="001B12CE" w:rsidRDefault="00A865F4" w:rsidP="000313F6">
            <w:pPr>
              <w:spacing w:after="120" w:line="480" w:lineRule="auto"/>
              <w:ind w:left="-108" w:right="-91"/>
              <w:jc w:val="center"/>
              <w:rPr>
                <w:rFonts w:ascii="Arial" w:eastAsia="Calibri" w:hAnsi="Arial" w:cs="Arial"/>
                <w:b/>
                <w:i/>
                <w:sz w:val="16"/>
                <w:szCs w:val="16"/>
              </w:rPr>
            </w:pPr>
          </w:p>
        </w:tc>
        <w:tc>
          <w:tcPr>
            <w:tcW w:w="4239" w:type="pct"/>
            <w:gridSpan w:val="5"/>
            <w:shd w:val="clear" w:color="auto" w:fill="auto"/>
          </w:tcPr>
          <w:p w:rsidR="00A865F4" w:rsidRPr="001B12CE" w:rsidRDefault="00A865F4" w:rsidP="000313F6">
            <w:pPr>
              <w:rPr>
                <w:rFonts w:ascii="Arial" w:eastAsia="Calibri" w:hAnsi="Arial" w:cs="Arial"/>
                <w:bCs/>
                <w:iCs/>
                <w:color w:val="000000"/>
                <w:sz w:val="16"/>
                <w:szCs w:val="16"/>
              </w:rPr>
            </w:pPr>
            <w:r w:rsidRPr="001B12CE">
              <w:rPr>
                <w:rFonts w:ascii="Arial" w:eastAsia="Calibri" w:hAnsi="Arial" w:cs="Arial"/>
                <w:bCs/>
                <w:iCs/>
                <w:color w:val="000000"/>
                <w:sz w:val="16"/>
                <w:szCs w:val="16"/>
                <w:lang w:val="sr-Latn-CS"/>
              </w:rPr>
              <w:t>--- Email contact:</w:t>
            </w:r>
            <w:hyperlink r:id="rId7" w:history="1">
              <w:r w:rsidRPr="001B12CE">
                <w:rPr>
                  <w:rFonts w:ascii="Arial" w:eastAsia="Calibri" w:hAnsi="Arial" w:cs="Arial"/>
                  <w:bCs/>
                  <w:iCs/>
                  <w:color w:val="0000FF"/>
                  <w:sz w:val="16"/>
                  <w:szCs w:val="16"/>
                  <w:u w:val="single"/>
                  <w:lang w:val="sr-Latn-CS"/>
                </w:rPr>
                <w:t>aspaic@yahoo.com</w:t>
              </w:r>
            </w:hyperlink>
            <w:r w:rsidRPr="001B12CE">
              <w:rPr>
                <w:rFonts w:ascii="Arial" w:eastAsia="Calibri" w:hAnsi="Arial" w:cs="Arial"/>
                <w:bCs/>
                <w:iCs/>
                <w:color w:val="000000"/>
                <w:sz w:val="16"/>
                <w:szCs w:val="16"/>
              </w:rPr>
              <w:t xml:space="preserve"> </w:t>
            </w:r>
          </w:p>
        </w:tc>
      </w:tr>
    </w:tbl>
    <w:p w:rsidR="00210B74" w:rsidRDefault="00210B74"/>
    <w:sectPr w:rsidR="00210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54D37"/>
    <w:multiLevelType w:val="hybridMultilevel"/>
    <w:tmpl w:val="0E4AA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10335"/>
    <w:multiLevelType w:val="hybridMultilevel"/>
    <w:tmpl w:val="64EC1602"/>
    <w:lvl w:ilvl="0" w:tplc="84E85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F4"/>
    <w:rsid w:val="00210B74"/>
    <w:rsid w:val="00A407B3"/>
    <w:rsid w:val="00A865F4"/>
    <w:rsid w:val="00BF647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09C1F-A7DF-4F00-BB1D-59030C8C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5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paic@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biw=1525&amp;bih=701&amp;q=Palack%C3%BD+University+Faculty+of+Law+legal+clinic&amp;spell=1&amp;sa=X&amp;ved=0ahUKEwj9mPvBr4fNAhUGaz4KHWlnAo4QvwUIGSgA" TargetMode="External"/><Relationship Id="rId5" Type="http://schemas.openxmlformats.org/officeDocument/2006/relationships/hyperlink" Target="http://www.ilincnetwork.eu/wp-content/uploads/2015/09/QM15-0011-88_15-iLINC-Brochure-Update-QMUL-Logo-No-Crop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dc:creator>
  <cp:keywords/>
  <dc:description/>
  <cp:lastModifiedBy>Savo</cp:lastModifiedBy>
  <cp:revision>2</cp:revision>
  <dcterms:created xsi:type="dcterms:W3CDTF">2023-11-12T18:48:00Z</dcterms:created>
  <dcterms:modified xsi:type="dcterms:W3CDTF">2023-11-12T18:48:00Z</dcterms:modified>
</cp:coreProperties>
</file>