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99"/>
        <w:gridCol w:w="1006"/>
        <w:gridCol w:w="1456"/>
        <w:gridCol w:w="1101"/>
        <w:gridCol w:w="80"/>
        <w:gridCol w:w="2085"/>
        <w:gridCol w:w="3304"/>
      </w:tblGrid>
      <w:tr w:rsidR="00494C78" w:rsidRPr="001B12CE" w:rsidTr="006855B2">
        <w:trPr>
          <w:trHeight w:val="183"/>
        </w:trPr>
        <w:tc>
          <w:tcPr>
            <w:tcW w:w="3461" w:type="dxa"/>
            <w:gridSpan w:val="3"/>
            <w:shd w:val="clear" w:color="auto" w:fill="auto"/>
          </w:tcPr>
          <w:p w:rsidR="00494C78" w:rsidRPr="001B12CE" w:rsidRDefault="00494C78" w:rsidP="00B36ADE">
            <w:pPr>
              <w:jc w:val="center"/>
              <w:rPr>
                <w:rFonts w:ascii="Arial" w:eastAsia="Calibri" w:hAnsi="Arial" w:cs="Arial"/>
                <w:b/>
                <w:bCs/>
                <w:i/>
                <w:iCs/>
                <w:sz w:val="16"/>
                <w:szCs w:val="16"/>
              </w:rPr>
            </w:pPr>
            <w:bookmarkStart w:id="0" w:name="_GoBack"/>
            <w:bookmarkEnd w:id="0"/>
            <w:r w:rsidRPr="001B12CE">
              <w:rPr>
                <w:rFonts w:ascii="Arial" w:eastAsia="Calibri" w:hAnsi="Arial" w:cs="Arial"/>
                <w:b/>
                <w:bCs/>
                <w:i/>
                <w:iCs/>
                <w:sz w:val="16"/>
                <w:szCs w:val="16"/>
              </w:rPr>
              <w:br w:type="page"/>
            </w:r>
            <w:r w:rsidR="00B36ADE">
              <w:rPr>
                <w:rFonts w:ascii="Arial" w:eastAsia="Calibri" w:hAnsi="Arial" w:cs="Arial"/>
                <w:b/>
                <w:bCs/>
                <w:i/>
                <w:iCs/>
                <w:sz w:val="16"/>
                <w:szCs w:val="16"/>
              </w:rPr>
              <w:t>Subject Title</w:t>
            </w:r>
            <w:r w:rsidRPr="001B12CE">
              <w:rPr>
                <w:rFonts w:ascii="Arial" w:eastAsia="Calibri" w:hAnsi="Arial" w:cs="Arial"/>
                <w:b/>
                <w:bCs/>
                <w:i/>
                <w:iCs/>
                <w:sz w:val="16"/>
                <w:szCs w:val="16"/>
              </w:rPr>
              <w:t>:</w:t>
            </w:r>
          </w:p>
        </w:tc>
        <w:tc>
          <w:tcPr>
            <w:tcW w:w="6570" w:type="dxa"/>
            <w:gridSpan w:val="4"/>
            <w:shd w:val="clear" w:color="auto" w:fill="auto"/>
          </w:tcPr>
          <w:p w:rsidR="00494C78" w:rsidRPr="001B12CE" w:rsidRDefault="00B36ADE" w:rsidP="006855B2">
            <w:pPr>
              <w:keepNext/>
              <w:jc w:val="center"/>
              <w:outlineLvl w:val="7"/>
              <w:rPr>
                <w:rFonts w:ascii="Arial" w:eastAsia="Calibri" w:hAnsi="Arial" w:cs="Arial"/>
                <w:b/>
                <w:bCs/>
                <w:iCs/>
                <w:sz w:val="16"/>
                <w:szCs w:val="16"/>
              </w:rPr>
            </w:pPr>
            <w:r>
              <w:rPr>
                <w:rFonts w:ascii="Arial" w:eastAsia="Calibri" w:hAnsi="Arial" w:cs="Arial"/>
                <w:b/>
                <w:bCs/>
                <w:iCs/>
                <w:sz w:val="16"/>
                <w:szCs w:val="16"/>
              </w:rPr>
              <w:t>COMPETITION LAW</w:t>
            </w:r>
          </w:p>
        </w:tc>
      </w:tr>
      <w:tr w:rsidR="00494C78" w:rsidRPr="001B12CE" w:rsidTr="006855B2">
        <w:trPr>
          <w:trHeight w:val="102"/>
        </w:trPr>
        <w:tc>
          <w:tcPr>
            <w:tcW w:w="2005" w:type="dxa"/>
            <w:gridSpan w:val="2"/>
            <w:shd w:val="clear" w:color="auto" w:fill="auto"/>
          </w:tcPr>
          <w:p w:rsidR="00494C78" w:rsidRPr="001B12CE" w:rsidRDefault="00B36ADE" w:rsidP="006855B2">
            <w:pPr>
              <w:rPr>
                <w:rFonts w:ascii="Arial" w:eastAsia="Calibri" w:hAnsi="Arial" w:cs="Arial"/>
                <w:b/>
                <w:bCs/>
                <w:i/>
                <w:iCs/>
                <w:sz w:val="16"/>
                <w:szCs w:val="16"/>
                <w:vertAlign w:val="superscript"/>
              </w:rPr>
            </w:pPr>
            <w:r>
              <w:rPr>
                <w:rFonts w:ascii="Arial" w:eastAsia="Calibri" w:hAnsi="Arial" w:cs="Arial"/>
                <w:b/>
                <w:bCs/>
                <w:i/>
                <w:iCs/>
                <w:sz w:val="16"/>
                <w:szCs w:val="16"/>
              </w:rPr>
              <w:t>Subject Code</w:t>
            </w:r>
          </w:p>
        </w:tc>
        <w:tc>
          <w:tcPr>
            <w:tcW w:w="1456" w:type="dxa"/>
            <w:shd w:val="clear" w:color="auto" w:fill="auto"/>
          </w:tcPr>
          <w:p w:rsidR="00B36ADE" w:rsidRDefault="00494C78" w:rsidP="006855B2">
            <w:pPr>
              <w:jc w:val="center"/>
              <w:rPr>
                <w:rFonts w:ascii="Arial" w:eastAsia="Calibri" w:hAnsi="Arial" w:cs="Arial"/>
                <w:b/>
                <w:bCs/>
                <w:i/>
                <w:iCs/>
                <w:sz w:val="16"/>
                <w:szCs w:val="16"/>
              </w:rPr>
            </w:pPr>
            <w:r w:rsidRPr="001B12CE">
              <w:rPr>
                <w:rFonts w:ascii="Arial" w:eastAsia="Calibri" w:hAnsi="Arial" w:cs="Arial"/>
                <w:b/>
                <w:bCs/>
                <w:i/>
                <w:iCs/>
                <w:sz w:val="16"/>
                <w:szCs w:val="16"/>
              </w:rPr>
              <w:t>S</w:t>
            </w:r>
            <w:r w:rsidR="00B36ADE">
              <w:rPr>
                <w:rFonts w:ascii="Arial" w:eastAsia="Calibri" w:hAnsi="Arial" w:cs="Arial"/>
                <w:b/>
                <w:bCs/>
                <w:i/>
                <w:iCs/>
                <w:sz w:val="16"/>
                <w:szCs w:val="16"/>
              </w:rPr>
              <w:t xml:space="preserve">ubjects </w:t>
            </w:r>
          </w:p>
          <w:p w:rsidR="00494C78" w:rsidRPr="001B12CE" w:rsidRDefault="00B36ADE" w:rsidP="00B36ADE">
            <w:pPr>
              <w:jc w:val="center"/>
              <w:rPr>
                <w:rFonts w:ascii="Arial" w:eastAsia="Calibri" w:hAnsi="Arial" w:cs="Arial"/>
                <w:b/>
                <w:bCs/>
                <w:i/>
                <w:iCs/>
                <w:sz w:val="16"/>
                <w:szCs w:val="16"/>
              </w:rPr>
            </w:pPr>
            <w:r>
              <w:rPr>
                <w:rFonts w:ascii="Arial" w:eastAsia="Calibri" w:hAnsi="Arial" w:cs="Arial"/>
                <w:b/>
                <w:bCs/>
                <w:i/>
                <w:iCs/>
                <w:sz w:val="16"/>
                <w:szCs w:val="16"/>
              </w:rPr>
              <w:t>s</w:t>
            </w:r>
            <w:r w:rsidR="00494C78" w:rsidRPr="001B12CE">
              <w:rPr>
                <w:rFonts w:ascii="Arial" w:eastAsia="Calibri" w:hAnsi="Arial" w:cs="Arial"/>
                <w:b/>
                <w:bCs/>
                <w:i/>
                <w:iCs/>
                <w:sz w:val="16"/>
                <w:szCs w:val="16"/>
              </w:rPr>
              <w:t xml:space="preserve">tatus </w:t>
            </w:r>
          </w:p>
        </w:tc>
        <w:tc>
          <w:tcPr>
            <w:tcW w:w="1181" w:type="dxa"/>
            <w:gridSpan w:val="2"/>
            <w:shd w:val="clear" w:color="auto" w:fill="auto"/>
          </w:tcPr>
          <w:p w:rsidR="00494C78" w:rsidRPr="001B12CE" w:rsidRDefault="00B36ADE" w:rsidP="006855B2">
            <w:pPr>
              <w:jc w:val="center"/>
              <w:rPr>
                <w:rFonts w:ascii="Arial" w:eastAsia="Calibri" w:hAnsi="Arial" w:cs="Arial"/>
                <w:b/>
                <w:bCs/>
                <w:i/>
                <w:iCs/>
                <w:sz w:val="16"/>
                <w:szCs w:val="16"/>
              </w:rPr>
            </w:pPr>
            <w:r>
              <w:rPr>
                <w:rFonts w:ascii="Arial" w:eastAsia="Calibri" w:hAnsi="Arial" w:cs="Arial"/>
                <w:b/>
                <w:bCs/>
                <w:i/>
                <w:iCs/>
                <w:sz w:val="16"/>
                <w:szCs w:val="16"/>
              </w:rPr>
              <w:t>Semeste</w:t>
            </w:r>
            <w:r w:rsidR="00494C78" w:rsidRPr="001B12CE">
              <w:rPr>
                <w:rFonts w:ascii="Arial" w:eastAsia="Calibri" w:hAnsi="Arial" w:cs="Arial"/>
                <w:b/>
                <w:bCs/>
                <w:i/>
                <w:iCs/>
                <w:sz w:val="16"/>
                <w:szCs w:val="16"/>
              </w:rPr>
              <w:t>r</w:t>
            </w:r>
          </w:p>
        </w:tc>
        <w:tc>
          <w:tcPr>
            <w:tcW w:w="2085" w:type="dxa"/>
            <w:shd w:val="clear" w:color="auto" w:fill="auto"/>
          </w:tcPr>
          <w:p w:rsidR="00494C78" w:rsidRPr="001B12CE" w:rsidRDefault="00B36ADE" w:rsidP="00B36ADE">
            <w:pPr>
              <w:jc w:val="center"/>
              <w:rPr>
                <w:rFonts w:ascii="Arial" w:eastAsia="Calibri" w:hAnsi="Arial" w:cs="Arial"/>
                <w:b/>
                <w:bCs/>
                <w:i/>
                <w:iCs/>
                <w:sz w:val="16"/>
                <w:szCs w:val="16"/>
              </w:rPr>
            </w:pPr>
            <w:r>
              <w:rPr>
                <w:rFonts w:ascii="Arial" w:eastAsia="Calibri" w:hAnsi="Arial" w:cs="Arial"/>
                <w:b/>
                <w:bCs/>
                <w:i/>
                <w:iCs/>
                <w:sz w:val="16"/>
                <w:szCs w:val="16"/>
              </w:rPr>
              <w:t>Number of</w:t>
            </w:r>
            <w:r w:rsidR="00494C78" w:rsidRPr="001B12CE">
              <w:rPr>
                <w:rFonts w:ascii="Arial" w:eastAsia="Calibri" w:hAnsi="Arial" w:cs="Arial"/>
                <w:b/>
                <w:bCs/>
                <w:i/>
                <w:iCs/>
                <w:sz w:val="16"/>
                <w:szCs w:val="16"/>
              </w:rPr>
              <w:t xml:space="preserve"> ECTS </w:t>
            </w:r>
            <w:r>
              <w:rPr>
                <w:rFonts w:ascii="Arial" w:eastAsia="Calibri" w:hAnsi="Arial" w:cs="Arial"/>
                <w:b/>
                <w:bCs/>
                <w:i/>
                <w:iCs/>
                <w:sz w:val="16"/>
                <w:szCs w:val="16"/>
              </w:rPr>
              <w:t>credits</w:t>
            </w:r>
          </w:p>
        </w:tc>
        <w:tc>
          <w:tcPr>
            <w:tcW w:w="3304" w:type="dxa"/>
            <w:shd w:val="clear" w:color="auto" w:fill="auto"/>
          </w:tcPr>
          <w:p w:rsidR="00494C78" w:rsidRPr="001B12CE" w:rsidRDefault="00B36ADE" w:rsidP="006855B2">
            <w:pPr>
              <w:jc w:val="center"/>
              <w:rPr>
                <w:rFonts w:ascii="Arial" w:eastAsia="Calibri" w:hAnsi="Arial" w:cs="Arial"/>
                <w:b/>
                <w:bCs/>
                <w:i/>
                <w:iCs/>
                <w:sz w:val="16"/>
                <w:szCs w:val="16"/>
              </w:rPr>
            </w:pPr>
            <w:r>
              <w:rPr>
                <w:rFonts w:ascii="Arial" w:eastAsia="Calibri" w:hAnsi="Arial" w:cs="Arial"/>
                <w:b/>
                <w:bCs/>
                <w:i/>
                <w:iCs/>
                <w:sz w:val="16"/>
                <w:szCs w:val="16"/>
              </w:rPr>
              <w:t>W</w:t>
            </w:r>
            <w:r w:rsidRPr="00B36ADE">
              <w:rPr>
                <w:rFonts w:ascii="Arial" w:eastAsia="Calibri" w:hAnsi="Arial" w:cs="Arial"/>
                <w:b/>
                <w:bCs/>
                <w:i/>
                <w:iCs/>
                <w:sz w:val="16"/>
                <w:szCs w:val="16"/>
              </w:rPr>
              <w:t>eekly class schedule</w:t>
            </w:r>
          </w:p>
        </w:tc>
      </w:tr>
      <w:tr w:rsidR="00494C78" w:rsidRPr="001B12CE" w:rsidTr="006855B2">
        <w:trPr>
          <w:trHeight w:val="50"/>
        </w:trPr>
        <w:tc>
          <w:tcPr>
            <w:tcW w:w="2005" w:type="dxa"/>
            <w:gridSpan w:val="2"/>
            <w:shd w:val="clear" w:color="auto" w:fill="auto"/>
          </w:tcPr>
          <w:p w:rsidR="00494C78" w:rsidRPr="001B12CE" w:rsidRDefault="00494C78" w:rsidP="006855B2">
            <w:pPr>
              <w:rPr>
                <w:rFonts w:ascii="Arial" w:eastAsia="Calibri" w:hAnsi="Arial" w:cs="Arial"/>
                <w:b/>
                <w:bCs/>
                <w:i/>
                <w:iCs/>
                <w:sz w:val="16"/>
                <w:szCs w:val="16"/>
              </w:rPr>
            </w:pPr>
          </w:p>
        </w:tc>
        <w:tc>
          <w:tcPr>
            <w:tcW w:w="1456" w:type="dxa"/>
            <w:shd w:val="clear" w:color="auto" w:fill="auto"/>
          </w:tcPr>
          <w:p w:rsidR="00494C78" w:rsidRPr="001B12CE" w:rsidRDefault="00B36ADE" w:rsidP="006855B2">
            <w:pPr>
              <w:jc w:val="center"/>
              <w:rPr>
                <w:rFonts w:ascii="Arial" w:eastAsia="Calibri" w:hAnsi="Arial" w:cs="Arial"/>
                <w:b/>
                <w:bCs/>
                <w:iCs/>
                <w:sz w:val="16"/>
                <w:szCs w:val="16"/>
                <w:u w:val="single"/>
              </w:rPr>
            </w:pPr>
            <w:r>
              <w:rPr>
                <w:rFonts w:ascii="Arial" w:eastAsia="Calibri" w:hAnsi="Arial" w:cs="Arial"/>
                <w:b/>
                <w:bCs/>
                <w:iCs/>
                <w:sz w:val="16"/>
                <w:szCs w:val="16"/>
                <w:u w:val="single"/>
              </w:rPr>
              <w:t>Obligatory</w:t>
            </w:r>
          </w:p>
        </w:tc>
        <w:tc>
          <w:tcPr>
            <w:tcW w:w="1181" w:type="dxa"/>
            <w:gridSpan w:val="2"/>
            <w:shd w:val="clear" w:color="auto" w:fill="auto"/>
          </w:tcPr>
          <w:p w:rsidR="00494C78" w:rsidRPr="001B12CE" w:rsidRDefault="00494C78" w:rsidP="006855B2">
            <w:pPr>
              <w:jc w:val="center"/>
              <w:rPr>
                <w:rFonts w:ascii="Arial" w:eastAsia="Calibri" w:hAnsi="Arial" w:cs="Arial"/>
                <w:b/>
                <w:bCs/>
                <w:iCs/>
                <w:sz w:val="16"/>
                <w:szCs w:val="16"/>
              </w:rPr>
            </w:pPr>
            <w:r w:rsidRPr="001B12CE">
              <w:rPr>
                <w:rFonts w:ascii="Arial" w:eastAsia="Calibri" w:hAnsi="Arial" w:cs="Arial"/>
                <w:b/>
                <w:bCs/>
                <w:iCs/>
                <w:sz w:val="16"/>
                <w:szCs w:val="16"/>
              </w:rPr>
              <w:t xml:space="preserve">II </w:t>
            </w:r>
          </w:p>
        </w:tc>
        <w:tc>
          <w:tcPr>
            <w:tcW w:w="2085" w:type="dxa"/>
            <w:shd w:val="clear" w:color="auto" w:fill="auto"/>
          </w:tcPr>
          <w:p w:rsidR="00494C78" w:rsidRPr="001B12CE" w:rsidRDefault="00494C78" w:rsidP="006855B2">
            <w:pPr>
              <w:jc w:val="center"/>
              <w:rPr>
                <w:rFonts w:ascii="Arial" w:eastAsia="Calibri" w:hAnsi="Arial" w:cs="Arial"/>
                <w:b/>
                <w:bCs/>
                <w:iCs/>
                <w:sz w:val="16"/>
                <w:szCs w:val="16"/>
              </w:rPr>
            </w:pPr>
            <w:r w:rsidRPr="001B12CE">
              <w:rPr>
                <w:rFonts w:ascii="Arial" w:eastAsia="Calibri" w:hAnsi="Arial" w:cs="Arial"/>
                <w:b/>
                <w:bCs/>
                <w:iCs/>
                <w:sz w:val="16"/>
                <w:szCs w:val="16"/>
              </w:rPr>
              <w:t>8</w:t>
            </w:r>
          </w:p>
        </w:tc>
        <w:tc>
          <w:tcPr>
            <w:tcW w:w="3304" w:type="dxa"/>
            <w:shd w:val="clear" w:color="auto" w:fill="auto"/>
          </w:tcPr>
          <w:p w:rsidR="00494C78" w:rsidRPr="001B12CE" w:rsidRDefault="00494C78" w:rsidP="006855B2">
            <w:pPr>
              <w:jc w:val="center"/>
              <w:rPr>
                <w:rFonts w:ascii="Arial" w:eastAsia="Calibri" w:hAnsi="Arial" w:cs="Arial"/>
                <w:b/>
                <w:bCs/>
                <w:iCs/>
                <w:sz w:val="16"/>
                <w:szCs w:val="16"/>
              </w:rPr>
            </w:pPr>
            <w:r w:rsidRPr="001B12CE">
              <w:rPr>
                <w:rFonts w:ascii="Arial" w:eastAsia="Calibri" w:hAnsi="Arial" w:cs="Arial"/>
                <w:b/>
                <w:bCs/>
                <w:iCs/>
                <w:sz w:val="16"/>
                <w:szCs w:val="16"/>
              </w:rPr>
              <w:t>4P+1V</w:t>
            </w:r>
          </w:p>
        </w:tc>
      </w:tr>
      <w:tr w:rsidR="00494C78" w:rsidRPr="001B12CE" w:rsidTr="006855B2">
        <w:trPr>
          <w:trHeight w:val="264"/>
        </w:trPr>
        <w:tc>
          <w:tcPr>
            <w:tcW w:w="10031" w:type="dxa"/>
            <w:gridSpan w:val="7"/>
            <w:shd w:val="clear" w:color="auto" w:fill="auto"/>
          </w:tcPr>
          <w:p w:rsidR="00494C78" w:rsidRPr="001B12CE" w:rsidRDefault="00B36ADE" w:rsidP="006855B2">
            <w:pPr>
              <w:rPr>
                <w:rFonts w:ascii="Arial" w:eastAsia="Calibri" w:hAnsi="Arial" w:cs="Arial"/>
                <w:b/>
                <w:bCs/>
                <w:i/>
                <w:iCs/>
                <w:sz w:val="16"/>
                <w:szCs w:val="16"/>
              </w:rPr>
            </w:pPr>
            <w:r w:rsidRPr="00B36ADE">
              <w:rPr>
                <w:rFonts w:ascii="Arial" w:eastAsia="Calibri" w:hAnsi="Arial" w:cs="Arial"/>
                <w:b/>
                <w:bCs/>
                <w:iCs/>
                <w:sz w:val="16"/>
                <w:szCs w:val="16"/>
              </w:rPr>
              <w:t>Academic Master's Degree Program</w:t>
            </w:r>
            <w:r>
              <w:rPr>
                <w:rFonts w:ascii="Arial" w:eastAsia="Calibri" w:hAnsi="Arial" w:cs="Arial"/>
                <w:b/>
                <w:bCs/>
                <w:iCs/>
                <w:sz w:val="16"/>
                <w:szCs w:val="16"/>
              </w:rPr>
              <w:t>s Offered by the Faculty of Law:</w:t>
            </w:r>
            <w:r w:rsidRPr="00B36ADE">
              <w:rPr>
                <w:rFonts w:ascii="Arial" w:eastAsia="Calibri" w:hAnsi="Arial" w:cs="Arial"/>
                <w:bCs/>
                <w:iCs/>
                <w:sz w:val="16"/>
                <w:szCs w:val="16"/>
              </w:rPr>
              <w:t xml:space="preserve"> Business Law (studies last for 4 semesters and consist of 120 ECTS credits).</w:t>
            </w:r>
          </w:p>
        </w:tc>
      </w:tr>
      <w:tr w:rsidR="00494C78" w:rsidRPr="001B12CE" w:rsidTr="006855B2">
        <w:trPr>
          <w:trHeight w:val="86"/>
        </w:trPr>
        <w:tc>
          <w:tcPr>
            <w:tcW w:w="10031" w:type="dxa"/>
            <w:gridSpan w:val="7"/>
            <w:shd w:val="clear" w:color="auto" w:fill="auto"/>
          </w:tcPr>
          <w:p w:rsidR="00494C78" w:rsidRPr="001B12CE" w:rsidRDefault="00B36ADE" w:rsidP="006855B2">
            <w:pPr>
              <w:rPr>
                <w:rFonts w:ascii="Arial" w:eastAsia="Calibri" w:hAnsi="Arial" w:cs="Arial"/>
                <w:b/>
                <w:bCs/>
                <w:i/>
                <w:iCs/>
                <w:sz w:val="16"/>
                <w:szCs w:val="16"/>
              </w:rPr>
            </w:pPr>
            <w:r w:rsidRPr="00B36ADE">
              <w:rPr>
                <w:rFonts w:ascii="Arial" w:eastAsia="Calibri" w:hAnsi="Arial" w:cs="Arial"/>
                <w:b/>
                <w:bCs/>
                <w:iCs/>
                <w:sz w:val="16"/>
                <w:szCs w:val="16"/>
              </w:rPr>
              <w:t xml:space="preserve">Prerequisite for Other Subjects: </w:t>
            </w:r>
            <w:r w:rsidRPr="00B36ADE">
              <w:rPr>
                <w:rFonts w:ascii="Arial" w:eastAsia="Calibri" w:hAnsi="Arial" w:cs="Arial"/>
                <w:bCs/>
                <w:iCs/>
                <w:sz w:val="16"/>
                <w:szCs w:val="16"/>
              </w:rPr>
              <w:t>It is not conditional on passing an exam in another subject.</w:t>
            </w:r>
          </w:p>
        </w:tc>
      </w:tr>
      <w:tr w:rsidR="00494C78" w:rsidRPr="001B12CE" w:rsidTr="006855B2">
        <w:trPr>
          <w:trHeight w:val="89"/>
        </w:trPr>
        <w:tc>
          <w:tcPr>
            <w:tcW w:w="10031" w:type="dxa"/>
            <w:gridSpan w:val="7"/>
            <w:shd w:val="clear" w:color="auto" w:fill="auto"/>
          </w:tcPr>
          <w:p w:rsidR="00494C78" w:rsidRPr="001B12CE" w:rsidRDefault="00B36ADE" w:rsidP="00B36ADE">
            <w:pPr>
              <w:rPr>
                <w:rFonts w:ascii="Arial" w:eastAsia="Calibri" w:hAnsi="Arial" w:cs="Arial"/>
                <w:b/>
                <w:bCs/>
                <w:i/>
                <w:iCs/>
                <w:sz w:val="16"/>
                <w:szCs w:val="16"/>
              </w:rPr>
            </w:pPr>
            <w:r>
              <w:rPr>
                <w:rFonts w:ascii="Arial" w:eastAsia="Calibri" w:hAnsi="Arial" w:cs="Arial"/>
                <w:b/>
                <w:bCs/>
                <w:iCs/>
                <w:sz w:val="16"/>
                <w:szCs w:val="16"/>
              </w:rPr>
              <w:t>Name and surname of the professor</w:t>
            </w:r>
            <w:r w:rsidR="00494C78" w:rsidRPr="001B12CE">
              <w:rPr>
                <w:rFonts w:ascii="Arial" w:eastAsia="Calibri" w:hAnsi="Arial" w:cs="Arial"/>
                <w:b/>
                <w:bCs/>
                <w:i/>
                <w:iCs/>
                <w:sz w:val="16"/>
                <w:szCs w:val="16"/>
              </w:rPr>
              <w:t xml:space="preserve">: </w:t>
            </w:r>
            <w:r w:rsidR="00494C78" w:rsidRPr="001B12CE">
              <w:rPr>
                <w:rFonts w:ascii="Arial" w:eastAsia="Calibri" w:hAnsi="Arial" w:cs="Arial"/>
                <w:bCs/>
                <w:iCs/>
                <w:sz w:val="16"/>
                <w:szCs w:val="16"/>
              </w:rPr>
              <w:t xml:space="preserve">Prof. </w:t>
            </w:r>
            <w:proofErr w:type="spellStart"/>
            <w:r w:rsidR="00494C78" w:rsidRPr="001B12CE">
              <w:rPr>
                <w:rFonts w:ascii="Arial" w:eastAsia="Calibri" w:hAnsi="Arial" w:cs="Arial"/>
                <w:bCs/>
                <w:iCs/>
                <w:sz w:val="16"/>
                <w:szCs w:val="16"/>
              </w:rPr>
              <w:t>dr</w:t>
            </w:r>
            <w:proofErr w:type="spellEnd"/>
            <w:r w:rsidR="00494C78" w:rsidRPr="001B12CE">
              <w:rPr>
                <w:rFonts w:ascii="Arial" w:eastAsia="Calibri" w:hAnsi="Arial" w:cs="Arial"/>
                <w:bCs/>
                <w:iCs/>
                <w:sz w:val="16"/>
                <w:szCs w:val="16"/>
              </w:rPr>
              <w:t xml:space="preserve"> </w:t>
            </w:r>
            <w:proofErr w:type="spellStart"/>
            <w:r w:rsidR="00494C78" w:rsidRPr="001B12CE">
              <w:rPr>
                <w:rFonts w:ascii="Arial" w:eastAsia="Calibri" w:hAnsi="Arial" w:cs="Arial"/>
                <w:bCs/>
                <w:iCs/>
                <w:sz w:val="16"/>
                <w:szCs w:val="16"/>
              </w:rPr>
              <w:t>Dražen</w:t>
            </w:r>
            <w:proofErr w:type="spellEnd"/>
            <w:r w:rsidR="00494C78" w:rsidRPr="001B12CE">
              <w:rPr>
                <w:rFonts w:ascii="Arial" w:eastAsia="Calibri" w:hAnsi="Arial" w:cs="Arial"/>
                <w:bCs/>
                <w:iCs/>
                <w:sz w:val="16"/>
                <w:szCs w:val="16"/>
              </w:rPr>
              <w:t xml:space="preserve"> </w:t>
            </w:r>
            <w:proofErr w:type="spellStart"/>
            <w:r w:rsidR="00494C78" w:rsidRPr="001B12CE">
              <w:rPr>
                <w:rFonts w:ascii="Arial" w:eastAsia="Calibri" w:hAnsi="Arial" w:cs="Arial"/>
                <w:bCs/>
                <w:iCs/>
                <w:sz w:val="16"/>
                <w:szCs w:val="16"/>
              </w:rPr>
              <w:t>Cerović</w:t>
            </w:r>
            <w:proofErr w:type="spellEnd"/>
            <w:r w:rsidR="00494C78" w:rsidRPr="001B12CE">
              <w:rPr>
                <w:rFonts w:ascii="Arial" w:eastAsia="Calibri" w:hAnsi="Arial" w:cs="Arial"/>
                <w:sz w:val="16"/>
                <w:szCs w:val="16"/>
              </w:rPr>
              <w:t xml:space="preserve"> – </w:t>
            </w:r>
            <w:r>
              <w:rPr>
                <w:rFonts w:ascii="Arial" w:eastAsia="Calibri" w:hAnsi="Arial" w:cs="Arial"/>
                <w:sz w:val="16"/>
                <w:szCs w:val="16"/>
              </w:rPr>
              <w:t>professor</w:t>
            </w:r>
          </w:p>
        </w:tc>
      </w:tr>
      <w:tr w:rsidR="00494C78" w:rsidRPr="001B12CE" w:rsidTr="006855B2">
        <w:trPr>
          <w:trHeight w:val="247"/>
        </w:trPr>
        <w:tc>
          <w:tcPr>
            <w:tcW w:w="10031" w:type="dxa"/>
            <w:gridSpan w:val="7"/>
            <w:shd w:val="clear" w:color="auto" w:fill="auto"/>
          </w:tcPr>
          <w:p w:rsidR="00494C78" w:rsidRPr="00B36ADE" w:rsidRDefault="00B36ADE" w:rsidP="006855B2">
            <w:pPr>
              <w:jc w:val="both"/>
              <w:rPr>
                <w:rFonts w:ascii="Arial" w:eastAsia="Calibri" w:hAnsi="Arial" w:cs="Arial"/>
                <w:b/>
                <w:bCs/>
                <w:iCs/>
                <w:sz w:val="16"/>
                <w:szCs w:val="16"/>
                <w:lang w:val="sr-Latn-ME"/>
              </w:rPr>
            </w:pPr>
            <w:r w:rsidRPr="00B36ADE">
              <w:rPr>
                <w:rFonts w:ascii="Arial" w:eastAsia="Calibri" w:hAnsi="Arial" w:cs="Arial"/>
                <w:b/>
                <w:bCs/>
                <w:iCs/>
                <w:sz w:val="16"/>
                <w:szCs w:val="16"/>
                <w:lang w:val="sr-Latn-ME"/>
              </w:rPr>
              <w:t xml:space="preserve">Course Objectives: </w:t>
            </w:r>
            <w:r w:rsidRPr="00B36ADE">
              <w:rPr>
                <w:rFonts w:ascii="Arial" w:eastAsia="Calibri" w:hAnsi="Arial" w:cs="Arial"/>
                <w:bCs/>
                <w:iCs/>
                <w:sz w:val="16"/>
                <w:szCs w:val="16"/>
                <w:lang w:val="sr-Latn-ME"/>
              </w:rPr>
              <w:t>The subject of Competition Law deals with Montenegrin and European competition law and market competition. The main substantive areas of competition law include agreements that restrict market competition, abuse of dominant position, and concentrations of entrepreneurs. In addition, the subject explains procedural and status aspects of competition law, such as the role of national and European bodies for protecting market competition. The subject also covers the prohibition of state aid. After successfully mastering the course, a student can: define the concept and purpose of competition law; identify sources of competition law; describe the historical development of competition law; recognize bodies ensuring free market competition; explain the concept of the relevant market; discuss prohibited agreements and their consequences; explain the concept and consequences of monopolistic behavior and concentration; name the bodies that ensure free market competition; discuss state aid; explain the impact of economic theories on qualifying a specific violation of market competition.</w:t>
            </w:r>
          </w:p>
        </w:tc>
      </w:tr>
      <w:tr w:rsidR="00494C78" w:rsidRPr="001B12CE" w:rsidTr="006855B2">
        <w:trPr>
          <w:trHeight w:val="357"/>
        </w:trPr>
        <w:tc>
          <w:tcPr>
            <w:tcW w:w="10031" w:type="dxa"/>
            <w:gridSpan w:val="7"/>
            <w:shd w:val="clear" w:color="auto" w:fill="auto"/>
          </w:tcPr>
          <w:p w:rsidR="00494C78" w:rsidRPr="001B12CE" w:rsidRDefault="00B36ADE" w:rsidP="006855B2">
            <w:pPr>
              <w:autoSpaceDE w:val="0"/>
              <w:autoSpaceDN w:val="0"/>
              <w:adjustRightInd w:val="0"/>
              <w:jc w:val="both"/>
              <w:rPr>
                <w:rFonts w:ascii="Arial" w:eastAsia="Calibri" w:hAnsi="Arial" w:cs="Arial"/>
                <w:sz w:val="16"/>
                <w:szCs w:val="16"/>
              </w:rPr>
            </w:pPr>
            <w:r w:rsidRPr="00B36ADE">
              <w:rPr>
                <w:rFonts w:ascii="Arial" w:eastAsia="Calibri" w:hAnsi="Arial" w:cs="Arial"/>
                <w:b/>
                <w:bCs/>
                <w:iCs/>
                <w:sz w:val="16"/>
                <w:szCs w:val="16"/>
              </w:rPr>
              <w:t xml:space="preserve">Teaching Methods: </w:t>
            </w:r>
            <w:r w:rsidRPr="00B36ADE">
              <w:rPr>
                <w:rFonts w:ascii="Arial" w:eastAsia="Calibri" w:hAnsi="Arial" w:cs="Arial"/>
                <w:bCs/>
                <w:iCs/>
                <w:sz w:val="16"/>
                <w:szCs w:val="16"/>
              </w:rPr>
              <w:t>Teaching methods include lectures by instructors and experts from practice, discussions, research, written projects or seminars, individual assignments and activities, including comparative examples from European practice. The teaching encompasses a systematic overview of the subject matter with an interactive approach and participant involvement in discussions and problem-solving.</w:t>
            </w:r>
          </w:p>
        </w:tc>
      </w:tr>
      <w:tr w:rsidR="00494C78" w:rsidRPr="001B12CE" w:rsidTr="006855B2">
        <w:trPr>
          <w:trHeight w:val="357"/>
        </w:trPr>
        <w:tc>
          <w:tcPr>
            <w:tcW w:w="10031" w:type="dxa"/>
            <w:gridSpan w:val="7"/>
            <w:shd w:val="clear" w:color="auto" w:fill="auto"/>
          </w:tcPr>
          <w:p w:rsidR="00494C78" w:rsidRPr="00B36ADE" w:rsidRDefault="00B36ADE" w:rsidP="006855B2">
            <w:pPr>
              <w:jc w:val="both"/>
              <w:rPr>
                <w:rFonts w:ascii="Arial" w:eastAsia="Calibri" w:hAnsi="Arial" w:cs="Arial"/>
                <w:bCs/>
                <w:i/>
                <w:iCs/>
                <w:sz w:val="16"/>
                <w:szCs w:val="16"/>
              </w:rPr>
            </w:pPr>
            <w:r w:rsidRPr="00B36ADE">
              <w:rPr>
                <w:rFonts w:ascii="Arial" w:eastAsia="Calibri" w:hAnsi="Arial" w:cs="Arial"/>
                <w:b/>
                <w:sz w:val="16"/>
                <w:szCs w:val="16"/>
              </w:rPr>
              <w:t>Practical training</w:t>
            </w:r>
            <w:r w:rsidRPr="00B36ADE">
              <w:rPr>
                <w:rFonts w:ascii="Arial" w:eastAsia="Calibri" w:hAnsi="Arial" w:cs="Arial"/>
                <w:sz w:val="16"/>
                <w:szCs w:val="16"/>
              </w:rPr>
              <w:t xml:space="preserve"> is conducted during a portion of the scheduled lectures and exercises, and it includes the following: lectures by guest speakers, familiarization with the work practices of the Competition Protection Agency, the procedures conducted before it, and decision-making standards, the sanctions it imposes, and legal remedies against its decisions.</w:t>
            </w:r>
          </w:p>
        </w:tc>
      </w:tr>
      <w:tr w:rsidR="00494C78" w:rsidRPr="001B12CE" w:rsidTr="006855B2">
        <w:trPr>
          <w:trHeight w:val="456"/>
        </w:trPr>
        <w:tc>
          <w:tcPr>
            <w:tcW w:w="10031" w:type="dxa"/>
            <w:gridSpan w:val="7"/>
            <w:shd w:val="clear" w:color="auto" w:fill="auto"/>
          </w:tcPr>
          <w:p w:rsidR="00494C78" w:rsidRPr="00B36ADE" w:rsidRDefault="00B36ADE" w:rsidP="006855B2">
            <w:pPr>
              <w:shd w:val="clear" w:color="auto" w:fill="FFFFFF"/>
              <w:spacing w:before="100" w:beforeAutospacing="1" w:after="100" w:afterAutospacing="1"/>
              <w:jc w:val="both"/>
              <w:rPr>
                <w:rFonts w:ascii="Arial" w:eastAsia="Calibri" w:hAnsi="Arial" w:cs="Arial"/>
                <w:sz w:val="16"/>
                <w:szCs w:val="16"/>
                <w:shd w:val="clear" w:color="auto" w:fill="FFFFFF"/>
                <w:lang w:val="sr-Latn-ME"/>
              </w:rPr>
            </w:pPr>
            <w:r w:rsidRPr="00B36ADE">
              <w:rPr>
                <w:rFonts w:ascii="Arial" w:eastAsia="Calibri" w:hAnsi="Arial" w:cs="Arial"/>
                <w:b/>
                <w:sz w:val="16"/>
                <w:szCs w:val="16"/>
                <w:lang w:val="sr-Latn-ME"/>
              </w:rPr>
              <w:t xml:space="preserve">Learning Outcomes - </w:t>
            </w:r>
            <w:r w:rsidRPr="00B36ADE">
              <w:rPr>
                <w:rFonts w:ascii="Arial" w:eastAsia="Calibri" w:hAnsi="Arial" w:cs="Arial"/>
                <w:sz w:val="16"/>
                <w:szCs w:val="16"/>
                <w:lang w:val="sr-Latn-ME"/>
              </w:rPr>
              <w:t>After successfully completing the course, students will be able to: Apply relevant legal rules and concepts; Interpret the role of competition law in the overall functioning of the state; Independently use regulations in the field of competition law; Conduct independent research of sources to find the most appropriate solution in a specific situation; Differentiate between public and private legal protection; Analyze the concepts of market power and the relevant market; Categorize different types of restraints on market competition through cartels; Distinguish between different forms of prohibited agreements (horizontal and vertical), abuse of a dominant position, and concentrations; Examine the concepts of prohibited agreements, abuse of a dominant position in the market, and prohibited concentrations of entrepreneurs; Propose specific protective measures to a damaged client against unlawful actions by entrepreneurs; Formulate measures for protecting market competition that competent regulators can take; Devise how to prepare a notification of a concentration to the relevant authority; Construct hypothetical cases of market competition violations.</w:t>
            </w:r>
          </w:p>
        </w:tc>
      </w:tr>
      <w:tr w:rsidR="00494C78" w:rsidRPr="001B12CE" w:rsidTr="006855B2">
        <w:trPr>
          <w:trHeight w:val="125"/>
        </w:trPr>
        <w:tc>
          <w:tcPr>
            <w:tcW w:w="10031" w:type="dxa"/>
            <w:gridSpan w:val="7"/>
            <w:shd w:val="clear" w:color="auto" w:fill="auto"/>
          </w:tcPr>
          <w:p w:rsidR="00494C78" w:rsidRPr="001B12CE" w:rsidRDefault="006C5E9D" w:rsidP="006855B2">
            <w:pPr>
              <w:keepNext/>
              <w:outlineLvl w:val="2"/>
              <w:rPr>
                <w:rFonts w:ascii="Arial" w:eastAsia="Calibri" w:hAnsi="Arial" w:cs="Arial"/>
                <w:b/>
                <w:bCs/>
                <w:i/>
                <w:iCs/>
                <w:sz w:val="16"/>
                <w:szCs w:val="16"/>
              </w:rPr>
            </w:pPr>
            <w:r>
              <w:rPr>
                <w:rFonts w:ascii="Arial" w:eastAsia="Calibri" w:hAnsi="Arial" w:cs="Arial"/>
                <w:b/>
                <w:bCs/>
                <w:i/>
                <w:iCs/>
                <w:sz w:val="16"/>
                <w:szCs w:val="16"/>
              </w:rPr>
              <w:t>Subject content</w:t>
            </w:r>
            <w:r w:rsidR="00494C78" w:rsidRPr="001B12CE">
              <w:rPr>
                <w:rFonts w:ascii="Arial" w:eastAsia="Calibri" w:hAnsi="Arial" w:cs="Arial"/>
                <w:b/>
                <w:bCs/>
                <w:i/>
                <w:iCs/>
                <w:sz w:val="16"/>
                <w:szCs w:val="16"/>
              </w:rPr>
              <w:t xml:space="preserve">: </w:t>
            </w:r>
          </w:p>
        </w:tc>
      </w:tr>
      <w:tr w:rsidR="00494C78" w:rsidRPr="001B12CE" w:rsidTr="006855B2">
        <w:trPr>
          <w:trHeight w:val="125"/>
        </w:trPr>
        <w:tc>
          <w:tcPr>
            <w:tcW w:w="999" w:type="dxa"/>
            <w:shd w:val="clear" w:color="auto" w:fill="auto"/>
          </w:tcPr>
          <w:p w:rsidR="00494C78" w:rsidRPr="001B12CE" w:rsidRDefault="00494C78" w:rsidP="006C5E9D">
            <w:pPr>
              <w:jc w:val="both"/>
              <w:rPr>
                <w:rFonts w:ascii="Arial" w:eastAsia="Calibri" w:hAnsi="Arial" w:cs="Arial"/>
                <w:sz w:val="16"/>
                <w:szCs w:val="16"/>
              </w:rPr>
            </w:pPr>
            <w:r w:rsidRPr="001B12CE">
              <w:rPr>
                <w:rFonts w:ascii="Arial" w:eastAsia="Calibri" w:hAnsi="Arial" w:cs="Arial"/>
                <w:sz w:val="16"/>
                <w:szCs w:val="16"/>
              </w:rPr>
              <w:t xml:space="preserve">I    </w:t>
            </w:r>
            <w:r w:rsidR="006C5E9D">
              <w:rPr>
                <w:rFonts w:ascii="Arial" w:eastAsia="Calibri" w:hAnsi="Arial" w:cs="Arial"/>
                <w:sz w:val="16"/>
                <w:szCs w:val="16"/>
              </w:rPr>
              <w:t>week</w:t>
            </w:r>
            <w:r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keepNext/>
              <w:jc w:val="both"/>
              <w:outlineLvl w:val="2"/>
              <w:rPr>
                <w:rFonts w:ascii="Arial" w:eastAsia="Calibri" w:hAnsi="Arial" w:cs="Arial"/>
                <w:bCs/>
                <w:iCs/>
                <w:sz w:val="16"/>
                <w:szCs w:val="16"/>
              </w:rPr>
            </w:pPr>
            <w:r w:rsidRPr="006C5E9D">
              <w:rPr>
                <w:rFonts w:ascii="Arial" w:eastAsia="Calibri" w:hAnsi="Arial" w:cs="Arial"/>
                <w:bCs/>
                <w:iCs/>
                <w:sz w:val="16"/>
                <w:szCs w:val="16"/>
              </w:rPr>
              <w:t>Competition and Competition Law; Definition of the Concept of Competition; Effects of Competition; Concept of Perfect Competition;</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II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jc w:val="both"/>
              <w:rPr>
                <w:rFonts w:ascii="Arial" w:eastAsia="Calibri" w:hAnsi="Arial" w:cs="Arial"/>
                <w:sz w:val="16"/>
                <w:szCs w:val="16"/>
              </w:rPr>
            </w:pPr>
            <w:r w:rsidRPr="006C5E9D">
              <w:rPr>
                <w:rFonts w:ascii="Arial" w:eastAsia="Calibri" w:hAnsi="Arial" w:cs="Arial"/>
                <w:sz w:val="16"/>
                <w:szCs w:val="16"/>
              </w:rPr>
              <w:t>Defining the concept of distortion of competition; Defining competition policy and law; A brief history of competition law;</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III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jc w:val="both"/>
              <w:rPr>
                <w:rFonts w:ascii="Arial" w:eastAsia="Calibri" w:hAnsi="Arial" w:cs="Arial"/>
                <w:sz w:val="16"/>
                <w:szCs w:val="16"/>
              </w:rPr>
            </w:pPr>
            <w:r w:rsidRPr="006C5E9D">
              <w:rPr>
                <w:rFonts w:ascii="Arial" w:eastAsia="Calibri" w:hAnsi="Arial" w:cs="Arial"/>
                <w:sz w:val="16"/>
                <w:szCs w:val="16"/>
              </w:rPr>
              <w:t>Monopoly and monopolistic behavior; Effects of monopolistic behavior; Economic regulation and competition law; Definition and basic mechanisms of cartels;</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IV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jc w:val="both"/>
              <w:rPr>
                <w:rFonts w:ascii="Arial" w:eastAsia="Calibri" w:hAnsi="Arial" w:cs="Arial"/>
                <w:sz w:val="16"/>
                <w:szCs w:val="16"/>
              </w:rPr>
            </w:pPr>
            <w:r w:rsidRPr="006C5E9D">
              <w:rPr>
                <w:rFonts w:ascii="Arial" w:eastAsia="Calibri" w:hAnsi="Arial" w:cs="Arial"/>
                <w:sz w:val="16"/>
                <w:szCs w:val="16"/>
              </w:rPr>
              <w:t>The legal aspect of the treatment of cartels (including mechanisms and exemptions); Legal aspect of the treatment of other horizontal agreements (including mechanisms and exemptions)</w:t>
            </w:r>
          </w:p>
        </w:tc>
      </w:tr>
      <w:tr w:rsidR="00494C78" w:rsidRPr="001B12CE" w:rsidTr="006855B2">
        <w:trPr>
          <w:trHeight w:val="125"/>
        </w:trPr>
        <w:tc>
          <w:tcPr>
            <w:tcW w:w="999" w:type="dxa"/>
            <w:shd w:val="clear" w:color="auto" w:fill="auto"/>
          </w:tcPr>
          <w:p w:rsidR="00494C78" w:rsidRPr="001B12CE" w:rsidRDefault="006C5E9D" w:rsidP="006C5E9D">
            <w:pPr>
              <w:jc w:val="both"/>
              <w:rPr>
                <w:rFonts w:ascii="Arial" w:eastAsia="Calibri" w:hAnsi="Arial" w:cs="Arial"/>
                <w:sz w:val="16"/>
                <w:szCs w:val="16"/>
              </w:rPr>
            </w:pPr>
            <w:r>
              <w:rPr>
                <w:rFonts w:ascii="Arial" w:eastAsia="Calibri" w:hAnsi="Arial" w:cs="Arial"/>
                <w:sz w:val="16"/>
                <w:szCs w:val="16"/>
              </w:rPr>
              <w:t>V   week</w:t>
            </w:r>
            <w:r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jc w:val="both"/>
              <w:rPr>
                <w:rFonts w:ascii="Arial" w:eastAsia="Calibri" w:hAnsi="Arial" w:cs="Arial"/>
                <w:sz w:val="16"/>
                <w:szCs w:val="16"/>
              </w:rPr>
            </w:pPr>
            <w:r w:rsidRPr="006C5E9D">
              <w:rPr>
                <w:rFonts w:ascii="Arial" w:eastAsia="Calibri" w:hAnsi="Arial" w:cs="Arial"/>
                <w:b/>
                <w:sz w:val="16"/>
                <w:szCs w:val="16"/>
              </w:rPr>
              <w:t xml:space="preserve">Practical classes </w:t>
            </w:r>
            <w:r w:rsidRPr="006C5E9D">
              <w:rPr>
                <w:rFonts w:ascii="Arial" w:eastAsia="Calibri" w:hAnsi="Arial" w:cs="Arial"/>
                <w:sz w:val="16"/>
                <w:szCs w:val="16"/>
              </w:rPr>
              <w:t>- visiting experts - practitioners from the field of competition law (venue: Faculty of Law);</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VI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jc w:val="both"/>
              <w:rPr>
                <w:rFonts w:ascii="Arial" w:eastAsia="Calibri" w:hAnsi="Arial" w:cs="Arial"/>
                <w:b/>
                <w:sz w:val="16"/>
                <w:szCs w:val="16"/>
              </w:rPr>
            </w:pPr>
            <w:r>
              <w:rPr>
                <w:rFonts w:ascii="Arial" w:eastAsia="Calibri" w:hAnsi="Arial" w:cs="Arial"/>
                <w:b/>
                <w:sz w:val="16"/>
                <w:szCs w:val="16"/>
              </w:rPr>
              <w:t>Colloquium</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VII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keepNext/>
              <w:jc w:val="both"/>
              <w:outlineLvl w:val="2"/>
              <w:rPr>
                <w:rFonts w:ascii="Arial" w:eastAsia="Calibri" w:hAnsi="Arial" w:cs="Arial"/>
                <w:b/>
                <w:bCs/>
                <w:iCs/>
                <w:sz w:val="16"/>
                <w:szCs w:val="16"/>
              </w:rPr>
            </w:pPr>
            <w:r w:rsidRPr="006C5E9D">
              <w:rPr>
                <w:rFonts w:ascii="Arial" w:eastAsia="Calibri" w:hAnsi="Arial" w:cs="Arial"/>
                <w:bCs/>
                <w:iCs/>
                <w:sz w:val="16"/>
                <w:szCs w:val="16"/>
              </w:rPr>
              <w:t>Legal aspects of the treatment of vertical agreements (including mechanisms and exemptions); Dominant position and its abuse; Legal treatment of abuse of a dominant position towards consumers;</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VIII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C5E9D">
            <w:pPr>
              <w:keepNext/>
              <w:jc w:val="both"/>
              <w:outlineLvl w:val="2"/>
              <w:rPr>
                <w:rFonts w:ascii="Arial" w:eastAsia="Calibri" w:hAnsi="Arial" w:cs="Arial"/>
                <w:bCs/>
                <w:iCs/>
                <w:sz w:val="16"/>
                <w:szCs w:val="16"/>
              </w:rPr>
            </w:pPr>
            <w:r>
              <w:rPr>
                <w:rFonts w:ascii="Arial" w:eastAsia="Calibri" w:hAnsi="Arial" w:cs="Arial"/>
                <w:b/>
                <w:bCs/>
                <w:iCs/>
                <w:sz w:val="16"/>
                <w:szCs w:val="16"/>
              </w:rPr>
              <w:t xml:space="preserve">Remedial Colloquium </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IX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6C5E9D" w:rsidRDefault="006C5E9D" w:rsidP="006855B2">
            <w:pPr>
              <w:keepNext/>
              <w:jc w:val="both"/>
              <w:outlineLvl w:val="2"/>
              <w:rPr>
                <w:rFonts w:ascii="Arial" w:eastAsia="Calibri" w:hAnsi="Arial" w:cs="Arial"/>
                <w:bCs/>
                <w:iCs/>
                <w:sz w:val="16"/>
                <w:szCs w:val="16"/>
              </w:rPr>
            </w:pPr>
            <w:r w:rsidRPr="006C5E9D">
              <w:rPr>
                <w:rFonts w:ascii="Arial" w:eastAsia="Calibri" w:hAnsi="Arial" w:cs="Arial"/>
                <w:bCs/>
                <w:iCs/>
                <w:sz w:val="16"/>
                <w:szCs w:val="16"/>
              </w:rPr>
              <w:t>Defining and types of concentrations; Legal treatment of concentration control;</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X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keepNext/>
              <w:jc w:val="both"/>
              <w:outlineLvl w:val="2"/>
              <w:rPr>
                <w:rFonts w:ascii="Arial" w:eastAsia="Calibri" w:hAnsi="Arial" w:cs="Arial"/>
                <w:bCs/>
                <w:iCs/>
                <w:sz w:val="16"/>
                <w:szCs w:val="16"/>
              </w:rPr>
            </w:pPr>
            <w:r w:rsidRPr="006C5E9D">
              <w:rPr>
                <w:rFonts w:ascii="Arial" w:eastAsia="Calibri" w:hAnsi="Arial" w:cs="Arial"/>
                <w:bCs/>
                <w:iCs/>
                <w:sz w:val="16"/>
                <w:szCs w:val="16"/>
              </w:rPr>
              <w:t>Institutions of competition law; Legal solutions from the Law on Protection of Competition in Montenegro; Powers of the Agency for the Protection of Competition;</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XI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keepNext/>
              <w:jc w:val="both"/>
              <w:outlineLvl w:val="2"/>
              <w:rPr>
                <w:rFonts w:ascii="Arial" w:eastAsia="Calibri" w:hAnsi="Arial" w:cs="Arial"/>
                <w:bCs/>
                <w:iCs/>
                <w:sz w:val="16"/>
                <w:szCs w:val="16"/>
              </w:rPr>
            </w:pPr>
            <w:r w:rsidRPr="006C5E9D">
              <w:rPr>
                <w:rFonts w:ascii="Arial" w:eastAsia="Calibri" w:hAnsi="Arial" w:cs="Arial"/>
                <w:bCs/>
                <w:iCs/>
                <w:sz w:val="16"/>
                <w:szCs w:val="16"/>
              </w:rPr>
              <w:t>Application of the rules of the General Administrative Procedure and Misdemeanor Procedure in the work of the Agency for the Protection of Competition;</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XII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keepNext/>
              <w:jc w:val="both"/>
              <w:outlineLvl w:val="2"/>
              <w:rPr>
                <w:rFonts w:ascii="Arial" w:eastAsia="Calibri" w:hAnsi="Arial" w:cs="Arial"/>
                <w:bCs/>
                <w:iCs/>
                <w:sz w:val="16"/>
                <w:szCs w:val="16"/>
              </w:rPr>
            </w:pPr>
            <w:r w:rsidRPr="006C5E9D">
              <w:rPr>
                <w:rFonts w:ascii="Arial" w:eastAsia="Calibri" w:hAnsi="Arial" w:cs="Arial"/>
                <w:bCs/>
                <w:iCs/>
                <w:sz w:val="16"/>
                <w:szCs w:val="16"/>
              </w:rPr>
              <w:t>Concept and types of state aid; State aid control; Control of state aid in the EU and outside the EU;</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XIII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keepNext/>
              <w:jc w:val="both"/>
              <w:outlineLvl w:val="2"/>
              <w:rPr>
                <w:rFonts w:ascii="Arial" w:eastAsia="Calibri" w:hAnsi="Arial" w:cs="Arial"/>
                <w:bCs/>
                <w:iCs/>
                <w:sz w:val="16"/>
                <w:szCs w:val="16"/>
              </w:rPr>
            </w:pPr>
            <w:r w:rsidRPr="006C5E9D">
              <w:rPr>
                <w:rFonts w:ascii="Arial" w:eastAsia="Calibri" w:hAnsi="Arial" w:cs="Arial"/>
                <w:b/>
                <w:bCs/>
                <w:iCs/>
                <w:sz w:val="16"/>
                <w:szCs w:val="16"/>
              </w:rPr>
              <w:t xml:space="preserve">Practical teaching </w:t>
            </w:r>
            <w:r w:rsidRPr="006C5E9D">
              <w:rPr>
                <w:rFonts w:ascii="Arial" w:eastAsia="Calibri" w:hAnsi="Arial" w:cs="Arial"/>
                <w:bCs/>
                <w:iCs/>
                <w:sz w:val="16"/>
                <w:szCs w:val="16"/>
              </w:rPr>
              <w:t>- visit to the Agency for the Protection of Competition and insight into the conduct of procedures (venue: Agency for the Protection of Competition);</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XIV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keepNext/>
              <w:jc w:val="both"/>
              <w:outlineLvl w:val="2"/>
              <w:rPr>
                <w:rFonts w:ascii="Arial" w:eastAsia="Calibri" w:hAnsi="Arial" w:cs="Arial"/>
                <w:bCs/>
                <w:iCs/>
                <w:sz w:val="16"/>
                <w:szCs w:val="16"/>
              </w:rPr>
            </w:pPr>
            <w:r w:rsidRPr="006C5E9D">
              <w:rPr>
                <w:rFonts w:ascii="Arial" w:eastAsia="Calibri" w:hAnsi="Arial" w:cs="Arial"/>
                <w:bCs/>
                <w:iCs/>
                <w:sz w:val="16"/>
                <w:szCs w:val="16"/>
              </w:rPr>
              <w:t>Procedural competition law; Jurisdiction; Decision-making procedure and standards; Sanctions;</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XV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keepNext/>
              <w:jc w:val="both"/>
              <w:outlineLvl w:val="2"/>
              <w:rPr>
                <w:rFonts w:ascii="Arial" w:eastAsia="Calibri" w:hAnsi="Arial" w:cs="Arial"/>
                <w:bCs/>
                <w:iCs/>
                <w:sz w:val="16"/>
                <w:szCs w:val="16"/>
              </w:rPr>
            </w:pPr>
            <w:r w:rsidRPr="006C5E9D">
              <w:rPr>
                <w:rFonts w:ascii="Arial" w:eastAsia="Calibri" w:hAnsi="Arial" w:cs="Arial"/>
                <w:bCs/>
                <w:iCs/>
                <w:sz w:val="16"/>
                <w:szCs w:val="16"/>
              </w:rPr>
              <w:t>Legal remedies against the decisions of the Agency for the Protection of Competition;</w:t>
            </w:r>
          </w:p>
        </w:tc>
      </w:tr>
      <w:tr w:rsidR="00494C78" w:rsidRPr="001B12CE" w:rsidTr="006855B2">
        <w:trPr>
          <w:trHeight w:val="125"/>
        </w:trPr>
        <w:tc>
          <w:tcPr>
            <w:tcW w:w="999" w:type="dxa"/>
            <w:shd w:val="clear" w:color="auto" w:fill="auto"/>
          </w:tcPr>
          <w:p w:rsidR="00494C78" w:rsidRPr="001B12CE" w:rsidRDefault="00494C78" w:rsidP="006855B2">
            <w:pPr>
              <w:jc w:val="both"/>
              <w:rPr>
                <w:rFonts w:ascii="Arial" w:eastAsia="Calibri" w:hAnsi="Arial" w:cs="Arial"/>
                <w:sz w:val="16"/>
                <w:szCs w:val="16"/>
              </w:rPr>
            </w:pPr>
            <w:r w:rsidRPr="001B12CE">
              <w:rPr>
                <w:rFonts w:ascii="Arial" w:eastAsia="Calibri" w:hAnsi="Arial" w:cs="Arial"/>
                <w:sz w:val="16"/>
                <w:szCs w:val="16"/>
              </w:rPr>
              <w:t xml:space="preserve">XVI – XIX </w:t>
            </w:r>
            <w:r w:rsidR="006C5E9D">
              <w:rPr>
                <w:rFonts w:ascii="Arial" w:eastAsia="Calibri" w:hAnsi="Arial" w:cs="Arial"/>
                <w:sz w:val="16"/>
                <w:szCs w:val="16"/>
              </w:rPr>
              <w:t>week</w:t>
            </w:r>
            <w:r w:rsidR="006C5E9D" w:rsidRPr="001B12CE">
              <w:rPr>
                <w:rFonts w:ascii="Arial" w:eastAsia="Calibri" w:hAnsi="Arial" w:cs="Arial"/>
                <w:sz w:val="16"/>
                <w:szCs w:val="16"/>
              </w:rPr>
              <w:t xml:space="preserve">    </w:t>
            </w:r>
          </w:p>
        </w:tc>
        <w:tc>
          <w:tcPr>
            <w:tcW w:w="9032" w:type="dxa"/>
            <w:gridSpan w:val="6"/>
            <w:shd w:val="clear" w:color="auto" w:fill="auto"/>
          </w:tcPr>
          <w:p w:rsidR="00494C78" w:rsidRPr="001B12CE" w:rsidRDefault="006C5E9D" w:rsidP="006855B2">
            <w:pPr>
              <w:jc w:val="both"/>
              <w:rPr>
                <w:rFonts w:ascii="Arial" w:eastAsia="Calibri" w:hAnsi="Arial" w:cs="Arial"/>
                <w:b/>
                <w:sz w:val="16"/>
                <w:szCs w:val="16"/>
              </w:rPr>
            </w:pPr>
            <w:r>
              <w:rPr>
                <w:rFonts w:ascii="Arial" w:eastAsia="Calibri" w:hAnsi="Arial" w:cs="Arial"/>
                <w:b/>
                <w:sz w:val="16"/>
                <w:szCs w:val="16"/>
              </w:rPr>
              <w:t>Final Exam</w:t>
            </w:r>
          </w:p>
          <w:p w:rsidR="00494C78" w:rsidRPr="001B12CE" w:rsidRDefault="006C5E9D" w:rsidP="006C5E9D">
            <w:pPr>
              <w:keepNext/>
              <w:jc w:val="both"/>
              <w:outlineLvl w:val="2"/>
              <w:rPr>
                <w:rFonts w:ascii="Arial" w:eastAsia="Calibri" w:hAnsi="Arial" w:cs="Arial"/>
                <w:b/>
                <w:bCs/>
                <w:iCs/>
                <w:sz w:val="16"/>
                <w:szCs w:val="16"/>
              </w:rPr>
            </w:pPr>
            <w:r>
              <w:rPr>
                <w:rFonts w:ascii="Arial" w:eastAsia="Calibri" w:hAnsi="Arial" w:cs="Arial"/>
                <w:b/>
                <w:bCs/>
                <w:iCs/>
                <w:sz w:val="16"/>
                <w:szCs w:val="16"/>
              </w:rPr>
              <w:t>Remedial Final Exam</w:t>
            </w:r>
          </w:p>
        </w:tc>
      </w:tr>
      <w:tr w:rsidR="00494C78" w:rsidRPr="001B12CE" w:rsidTr="006855B2">
        <w:trPr>
          <w:trHeight w:val="119"/>
        </w:trPr>
        <w:tc>
          <w:tcPr>
            <w:tcW w:w="10031" w:type="dxa"/>
            <w:gridSpan w:val="7"/>
            <w:shd w:val="clear" w:color="auto" w:fill="auto"/>
          </w:tcPr>
          <w:p w:rsidR="00494C78" w:rsidRPr="001B12CE" w:rsidRDefault="006C5E9D" w:rsidP="006855B2">
            <w:pPr>
              <w:keepNext/>
              <w:outlineLvl w:val="8"/>
              <w:rPr>
                <w:rFonts w:ascii="Arial" w:eastAsia="Calibri" w:hAnsi="Arial" w:cs="Arial"/>
                <w:b/>
                <w:bCs/>
                <w:i/>
                <w:iCs/>
                <w:sz w:val="16"/>
                <w:szCs w:val="16"/>
              </w:rPr>
            </w:pPr>
            <w:r>
              <w:rPr>
                <w:rFonts w:ascii="Arial" w:eastAsia="Calibri" w:hAnsi="Arial" w:cs="Arial"/>
                <w:b/>
                <w:bCs/>
                <w:i/>
                <w:iCs/>
                <w:sz w:val="16"/>
                <w:szCs w:val="16"/>
              </w:rPr>
              <w:t>Student Workload</w:t>
            </w:r>
          </w:p>
        </w:tc>
      </w:tr>
      <w:tr w:rsidR="00494C78" w:rsidRPr="001B12CE" w:rsidTr="006855B2">
        <w:trPr>
          <w:trHeight w:val="186"/>
        </w:trPr>
        <w:tc>
          <w:tcPr>
            <w:tcW w:w="4562" w:type="dxa"/>
            <w:gridSpan w:val="4"/>
            <w:shd w:val="clear" w:color="auto" w:fill="auto"/>
          </w:tcPr>
          <w:p w:rsidR="00494C78" w:rsidRPr="001B12CE" w:rsidRDefault="006C5E9D" w:rsidP="006855B2">
            <w:pPr>
              <w:jc w:val="center"/>
              <w:rPr>
                <w:rFonts w:ascii="Arial" w:eastAsia="Calibri" w:hAnsi="Arial" w:cs="Arial"/>
                <w:sz w:val="16"/>
                <w:szCs w:val="16"/>
              </w:rPr>
            </w:pPr>
            <w:r>
              <w:rPr>
                <w:rFonts w:ascii="Arial" w:eastAsia="Calibri" w:hAnsi="Arial" w:cs="Arial"/>
                <w:sz w:val="16"/>
                <w:szCs w:val="16"/>
              </w:rPr>
              <w:t>Weekly</w:t>
            </w:r>
          </w:p>
        </w:tc>
        <w:tc>
          <w:tcPr>
            <w:tcW w:w="5469" w:type="dxa"/>
            <w:gridSpan w:val="3"/>
            <w:shd w:val="clear" w:color="auto" w:fill="auto"/>
          </w:tcPr>
          <w:p w:rsidR="00494C78" w:rsidRPr="001B12CE" w:rsidRDefault="006C5E9D" w:rsidP="006855B2">
            <w:pPr>
              <w:jc w:val="center"/>
              <w:rPr>
                <w:rFonts w:ascii="Arial" w:eastAsia="Calibri" w:hAnsi="Arial" w:cs="Arial"/>
                <w:sz w:val="16"/>
                <w:szCs w:val="16"/>
              </w:rPr>
            </w:pPr>
            <w:r>
              <w:rPr>
                <w:rFonts w:ascii="Arial" w:eastAsia="Calibri" w:hAnsi="Arial" w:cs="Arial"/>
                <w:sz w:val="16"/>
                <w:szCs w:val="16"/>
              </w:rPr>
              <w:t>During the semester</w:t>
            </w:r>
          </w:p>
        </w:tc>
      </w:tr>
      <w:tr w:rsidR="00494C78" w:rsidRPr="001B12CE" w:rsidTr="006855B2">
        <w:trPr>
          <w:trHeight w:val="828"/>
        </w:trPr>
        <w:tc>
          <w:tcPr>
            <w:tcW w:w="4562" w:type="dxa"/>
            <w:gridSpan w:val="4"/>
            <w:shd w:val="clear" w:color="auto" w:fill="auto"/>
          </w:tcPr>
          <w:p w:rsidR="00494C78" w:rsidRPr="001B12CE" w:rsidRDefault="00494C78" w:rsidP="006855B2">
            <w:pPr>
              <w:rPr>
                <w:rFonts w:ascii="Arial" w:eastAsia="Calibri" w:hAnsi="Arial" w:cs="Arial"/>
                <w:sz w:val="16"/>
                <w:szCs w:val="16"/>
              </w:rPr>
            </w:pPr>
            <w:r w:rsidRPr="001B12CE">
              <w:rPr>
                <w:rFonts w:ascii="Arial" w:eastAsia="Calibri" w:hAnsi="Arial" w:cs="Arial"/>
                <w:b/>
                <w:bCs/>
                <w:sz w:val="16"/>
                <w:szCs w:val="16"/>
              </w:rPr>
              <w:t>8 </w:t>
            </w:r>
            <w:r w:rsidR="006C5E9D">
              <w:rPr>
                <w:rFonts w:ascii="Arial" w:eastAsia="Calibri" w:hAnsi="Arial" w:cs="Arial"/>
                <w:b/>
                <w:bCs/>
                <w:sz w:val="16"/>
                <w:szCs w:val="16"/>
              </w:rPr>
              <w:t>credits</w:t>
            </w:r>
            <w:r w:rsidRPr="001B12CE">
              <w:rPr>
                <w:rFonts w:ascii="Arial" w:eastAsia="Calibri" w:hAnsi="Arial" w:cs="Arial"/>
                <w:b/>
                <w:bCs/>
                <w:sz w:val="16"/>
                <w:szCs w:val="16"/>
              </w:rPr>
              <w:t xml:space="preserve"> x 40/30 = </w:t>
            </w:r>
            <w:r w:rsidRPr="001B12CE">
              <w:rPr>
                <w:rFonts w:ascii="Arial" w:eastAsia="Calibri" w:hAnsi="Arial" w:cs="Arial"/>
                <w:b/>
                <w:bCs/>
                <w:sz w:val="16"/>
                <w:szCs w:val="16"/>
                <w:u w:val="single"/>
              </w:rPr>
              <w:t xml:space="preserve">10 </w:t>
            </w:r>
            <w:r w:rsidR="006C5E9D">
              <w:rPr>
                <w:rFonts w:ascii="Arial" w:eastAsia="Calibri" w:hAnsi="Arial" w:cs="Arial"/>
                <w:b/>
                <w:bCs/>
                <w:sz w:val="16"/>
                <w:szCs w:val="16"/>
                <w:u w:val="single"/>
              </w:rPr>
              <w:t>hours and</w:t>
            </w:r>
            <w:r w:rsidRPr="001B12CE">
              <w:rPr>
                <w:rFonts w:ascii="Arial" w:eastAsia="Calibri" w:hAnsi="Arial" w:cs="Arial"/>
                <w:b/>
                <w:bCs/>
                <w:sz w:val="16"/>
                <w:szCs w:val="16"/>
                <w:u w:val="single"/>
              </w:rPr>
              <w:t xml:space="preserve"> 40 </w:t>
            </w:r>
            <w:r w:rsidR="006C5E9D">
              <w:rPr>
                <w:rFonts w:ascii="Arial" w:eastAsia="Calibri" w:hAnsi="Arial" w:cs="Arial"/>
                <w:b/>
                <w:bCs/>
                <w:sz w:val="16"/>
                <w:szCs w:val="16"/>
                <w:u w:val="single"/>
              </w:rPr>
              <w:t>minutes</w:t>
            </w:r>
            <w:r w:rsidRPr="001B12CE">
              <w:rPr>
                <w:rFonts w:ascii="Arial" w:eastAsia="Calibri" w:hAnsi="Arial" w:cs="Arial"/>
                <w:sz w:val="16"/>
                <w:szCs w:val="16"/>
              </w:rPr>
              <w:t> </w:t>
            </w:r>
          </w:p>
          <w:p w:rsidR="00494C78" w:rsidRPr="001B12CE" w:rsidRDefault="006C5E9D" w:rsidP="006C5E9D">
            <w:pPr>
              <w:rPr>
                <w:rFonts w:ascii="Arial" w:eastAsia="Calibri" w:hAnsi="Arial" w:cs="Arial"/>
                <w:sz w:val="16"/>
                <w:szCs w:val="16"/>
              </w:rPr>
            </w:pPr>
            <w:r>
              <w:rPr>
                <w:rFonts w:ascii="Arial" w:eastAsia="Calibri" w:hAnsi="Arial" w:cs="Arial"/>
                <w:sz w:val="16"/>
                <w:szCs w:val="16"/>
              </w:rPr>
              <w:t>Structure</w:t>
            </w:r>
            <w:r w:rsidR="00494C78" w:rsidRPr="001B12CE">
              <w:rPr>
                <w:rFonts w:ascii="Arial" w:eastAsia="Calibri" w:hAnsi="Arial" w:cs="Arial"/>
                <w:sz w:val="16"/>
                <w:szCs w:val="16"/>
              </w:rPr>
              <w:t>:</w:t>
            </w:r>
            <w:r w:rsidR="00494C78" w:rsidRPr="001B12CE">
              <w:rPr>
                <w:rFonts w:ascii="Arial" w:eastAsia="Calibri" w:hAnsi="Arial" w:cs="Arial"/>
                <w:sz w:val="16"/>
                <w:szCs w:val="16"/>
              </w:rPr>
              <w:br/>
            </w:r>
            <w:r w:rsidR="00494C78" w:rsidRPr="001B12CE">
              <w:rPr>
                <w:rFonts w:ascii="Arial" w:eastAsia="Calibri" w:hAnsi="Arial" w:cs="Arial"/>
                <w:b/>
                <w:bCs/>
                <w:sz w:val="16"/>
                <w:szCs w:val="16"/>
              </w:rPr>
              <w:t xml:space="preserve">4 </w:t>
            </w:r>
            <w:r>
              <w:rPr>
                <w:rFonts w:ascii="Arial" w:eastAsia="Calibri" w:hAnsi="Arial" w:cs="Arial"/>
                <w:b/>
                <w:bCs/>
                <w:sz w:val="16"/>
                <w:szCs w:val="16"/>
              </w:rPr>
              <w:t>hours</w:t>
            </w:r>
            <w:r w:rsidR="00494C78" w:rsidRPr="001B12CE">
              <w:rPr>
                <w:rFonts w:ascii="Arial" w:eastAsia="Calibri" w:hAnsi="Arial" w:cs="Arial"/>
                <w:sz w:val="16"/>
                <w:szCs w:val="16"/>
              </w:rPr>
              <w:t> </w:t>
            </w:r>
            <w:r>
              <w:rPr>
                <w:rFonts w:ascii="Arial" w:eastAsia="Calibri" w:hAnsi="Arial" w:cs="Arial"/>
                <w:sz w:val="16"/>
                <w:szCs w:val="16"/>
              </w:rPr>
              <w:t>classes</w:t>
            </w:r>
            <w:r w:rsidR="00494C78" w:rsidRPr="001B12CE">
              <w:rPr>
                <w:rFonts w:ascii="Arial" w:eastAsia="Calibri" w:hAnsi="Arial" w:cs="Arial"/>
                <w:sz w:val="16"/>
                <w:szCs w:val="16"/>
              </w:rPr>
              <w:br/>
            </w:r>
            <w:r w:rsidR="00494C78" w:rsidRPr="001B12CE">
              <w:rPr>
                <w:rFonts w:ascii="Arial" w:eastAsia="Calibri" w:hAnsi="Arial" w:cs="Arial"/>
                <w:b/>
                <w:bCs/>
                <w:sz w:val="16"/>
                <w:szCs w:val="16"/>
              </w:rPr>
              <w:t xml:space="preserve">1 </w:t>
            </w:r>
            <w:r>
              <w:rPr>
                <w:rFonts w:ascii="Arial" w:eastAsia="Calibri" w:hAnsi="Arial" w:cs="Arial"/>
                <w:b/>
                <w:bCs/>
                <w:sz w:val="16"/>
                <w:szCs w:val="16"/>
              </w:rPr>
              <w:t>hours</w:t>
            </w:r>
            <w:r w:rsidR="00494C78" w:rsidRPr="001B12CE">
              <w:rPr>
                <w:rFonts w:ascii="Arial" w:eastAsia="Calibri" w:hAnsi="Arial" w:cs="Arial"/>
                <w:sz w:val="16"/>
                <w:szCs w:val="16"/>
              </w:rPr>
              <w:t> </w:t>
            </w:r>
            <w:r>
              <w:rPr>
                <w:rFonts w:ascii="Arial" w:eastAsia="Calibri" w:hAnsi="Arial" w:cs="Arial"/>
                <w:sz w:val="16"/>
                <w:szCs w:val="16"/>
              </w:rPr>
              <w:t xml:space="preserve">exercises </w:t>
            </w:r>
            <w:r w:rsidR="00494C78" w:rsidRPr="001B12CE">
              <w:rPr>
                <w:rFonts w:ascii="Arial" w:eastAsia="Calibri" w:hAnsi="Arial" w:cs="Arial"/>
                <w:sz w:val="16"/>
                <w:szCs w:val="16"/>
              </w:rPr>
              <w:br/>
            </w:r>
            <w:r w:rsidR="00494C78" w:rsidRPr="001B12CE">
              <w:rPr>
                <w:rFonts w:ascii="Arial" w:eastAsia="Calibri" w:hAnsi="Arial" w:cs="Arial"/>
                <w:b/>
                <w:bCs/>
                <w:sz w:val="16"/>
                <w:szCs w:val="16"/>
              </w:rPr>
              <w:t xml:space="preserve">5 </w:t>
            </w:r>
            <w:r>
              <w:rPr>
                <w:rFonts w:ascii="Arial" w:eastAsia="Calibri" w:hAnsi="Arial" w:cs="Arial"/>
                <w:b/>
                <w:bCs/>
                <w:sz w:val="16"/>
                <w:szCs w:val="16"/>
              </w:rPr>
              <w:t>hours and</w:t>
            </w:r>
            <w:r w:rsidR="00494C78" w:rsidRPr="001B12CE">
              <w:rPr>
                <w:rFonts w:ascii="Arial" w:eastAsia="Calibri" w:hAnsi="Arial" w:cs="Arial"/>
                <w:b/>
                <w:bCs/>
                <w:sz w:val="16"/>
                <w:szCs w:val="16"/>
              </w:rPr>
              <w:t xml:space="preserve"> 40 </w:t>
            </w:r>
            <w:r>
              <w:rPr>
                <w:rFonts w:ascii="Arial" w:eastAsia="Calibri" w:hAnsi="Arial" w:cs="Arial"/>
                <w:b/>
                <w:bCs/>
                <w:sz w:val="16"/>
                <w:szCs w:val="16"/>
              </w:rPr>
              <w:t>minutes</w:t>
            </w:r>
            <w:r w:rsidR="00494C78" w:rsidRPr="001B12CE">
              <w:rPr>
                <w:rFonts w:ascii="Arial" w:eastAsia="Calibri" w:hAnsi="Arial" w:cs="Arial"/>
                <w:sz w:val="16"/>
                <w:szCs w:val="16"/>
              </w:rPr>
              <w:t> </w:t>
            </w:r>
            <w:r w:rsidRPr="006C5E9D">
              <w:rPr>
                <w:rFonts w:ascii="Arial" w:eastAsia="Calibri" w:hAnsi="Arial" w:cs="Arial"/>
                <w:sz w:val="16"/>
                <w:szCs w:val="16"/>
              </w:rPr>
              <w:t>of individual student work (preparation for laboratory exercises, colloquiums, homework) including consultations</w:t>
            </w:r>
          </w:p>
        </w:tc>
        <w:tc>
          <w:tcPr>
            <w:tcW w:w="5469" w:type="dxa"/>
            <w:gridSpan w:val="3"/>
            <w:shd w:val="clear" w:color="auto" w:fill="auto"/>
          </w:tcPr>
          <w:p w:rsidR="00494C78" w:rsidRPr="005A3691" w:rsidRDefault="005A3691" w:rsidP="006855B2">
            <w:pPr>
              <w:rPr>
                <w:rFonts w:ascii="Arial" w:eastAsia="Calibri" w:hAnsi="Arial" w:cs="Arial"/>
                <w:sz w:val="16"/>
                <w:szCs w:val="16"/>
              </w:rPr>
            </w:pPr>
            <w:r>
              <w:rPr>
                <w:rFonts w:ascii="Arial" w:eastAsia="Calibri" w:hAnsi="Arial" w:cs="Arial"/>
                <w:sz w:val="16"/>
                <w:szCs w:val="16"/>
              </w:rPr>
              <w:t>Classes and Final Exam</w:t>
            </w:r>
            <w:r w:rsidR="00494C78" w:rsidRPr="001B12CE">
              <w:rPr>
                <w:rFonts w:ascii="Arial" w:eastAsia="Calibri" w:hAnsi="Arial" w:cs="Arial"/>
                <w:sz w:val="16"/>
                <w:szCs w:val="16"/>
              </w:rPr>
              <w:t xml:space="preserve">: (10 </w:t>
            </w:r>
            <w:r>
              <w:rPr>
                <w:rFonts w:ascii="Arial" w:eastAsia="Calibri" w:hAnsi="Arial" w:cs="Arial"/>
                <w:sz w:val="16"/>
                <w:szCs w:val="16"/>
              </w:rPr>
              <w:t xml:space="preserve">hours and </w:t>
            </w:r>
            <w:r w:rsidR="00494C78" w:rsidRPr="001B12CE">
              <w:rPr>
                <w:rFonts w:ascii="Arial" w:eastAsia="Calibri" w:hAnsi="Arial" w:cs="Arial"/>
                <w:sz w:val="16"/>
                <w:szCs w:val="16"/>
              </w:rPr>
              <w:t xml:space="preserve">40 </w:t>
            </w:r>
            <w:r>
              <w:rPr>
                <w:rFonts w:ascii="Arial" w:eastAsia="Calibri" w:hAnsi="Arial" w:cs="Arial"/>
                <w:sz w:val="16"/>
                <w:szCs w:val="16"/>
              </w:rPr>
              <w:t>min</w:t>
            </w:r>
            <w:r w:rsidR="00494C78" w:rsidRPr="001B12CE">
              <w:rPr>
                <w:rFonts w:ascii="Arial" w:eastAsia="Calibri" w:hAnsi="Arial" w:cs="Arial"/>
                <w:sz w:val="16"/>
                <w:szCs w:val="16"/>
              </w:rPr>
              <w:t>) x 16 = </w:t>
            </w:r>
            <w:r w:rsidR="00494C78" w:rsidRPr="001B12CE">
              <w:rPr>
                <w:rFonts w:ascii="Arial" w:eastAsia="Calibri" w:hAnsi="Arial" w:cs="Arial"/>
                <w:b/>
                <w:bCs/>
                <w:sz w:val="16"/>
                <w:szCs w:val="16"/>
                <w:u w:val="single"/>
              </w:rPr>
              <w:t xml:space="preserve">170 </w:t>
            </w:r>
            <w:r>
              <w:rPr>
                <w:rFonts w:ascii="Arial" w:eastAsia="Calibri" w:hAnsi="Arial" w:cs="Arial"/>
                <w:b/>
                <w:bCs/>
                <w:sz w:val="16"/>
                <w:szCs w:val="16"/>
                <w:u w:val="single"/>
              </w:rPr>
              <w:t>h and</w:t>
            </w:r>
            <w:r w:rsidR="00494C78" w:rsidRPr="001B12CE">
              <w:rPr>
                <w:rFonts w:ascii="Arial" w:eastAsia="Calibri" w:hAnsi="Arial" w:cs="Arial"/>
                <w:b/>
                <w:bCs/>
                <w:sz w:val="16"/>
                <w:szCs w:val="16"/>
                <w:u w:val="single"/>
              </w:rPr>
              <w:t xml:space="preserve"> 40 </w:t>
            </w:r>
            <w:r>
              <w:rPr>
                <w:rFonts w:ascii="Arial" w:eastAsia="Calibri" w:hAnsi="Arial" w:cs="Arial"/>
                <w:b/>
                <w:bCs/>
                <w:sz w:val="16"/>
                <w:szCs w:val="16"/>
                <w:u w:val="single"/>
              </w:rPr>
              <w:t>min</w:t>
            </w:r>
            <w:r w:rsidR="00494C78" w:rsidRPr="001B12CE">
              <w:rPr>
                <w:rFonts w:ascii="Arial" w:eastAsia="Calibri" w:hAnsi="Arial" w:cs="Arial"/>
                <w:sz w:val="16"/>
                <w:szCs w:val="16"/>
              </w:rPr>
              <w:br/>
            </w:r>
            <w:r w:rsidRPr="005A3691">
              <w:rPr>
                <w:rFonts w:ascii="Arial" w:eastAsia="Calibri" w:hAnsi="Arial" w:cs="Arial"/>
                <w:sz w:val="16"/>
                <w:szCs w:val="16"/>
              </w:rPr>
              <w:t>Necessary preparation before the beginning of the semester (administration, registration, certification):</w:t>
            </w:r>
            <w:r>
              <w:rPr>
                <w:rFonts w:ascii="Arial" w:eastAsia="Calibri" w:hAnsi="Arial" w:cs="Arial"/>
                <w:sz w:val="16"/>
                <w:szCs w:val="16"/>
              </w:rPr>
              <w:t xml:space="preserve">2 x (10 hours and </w:t>
            </w:r>
            <w:r w:rsidR="00494C78" w:rsidRPr="001B12CE">
              <w:rPr>
                <w:rFonts w:ascii="Arial" w:eastAsia="Calibri" w:hAnsi="Arial" w:cs="Arial"/>
                <w:sz w:val="16"/>
                <w:szCs w:val="16"/>
              </w:rPr>
              <w:t xml:space="preserve">40 </w:t>
            </w:r>
            <w:r>
              <w:rPr>
                <w:rFonts w:ascii="Arial" w:eastAsia="Calibri" w:hAnsi="Arial" w:cs="Arial"/>
                <w:sz w:val="16"/>
                <w:szCs w:val="16"/>
              </w:rPr>
              <w:t>minutes</w:t>
            </w:r>
            <w:r w:rsidR="00494C78" w:rsidRPr="001B12CE">
              <w:rPr>
                <w:rFonts w:ascii="Arial" w:eastAsia="Calibri" w:hAnsi="Arial" w:cs="Arial"/>
                <w:sz w:val="16"/>
                <w:szCs w:val="16"/>
              </w:rPr>
              <w:t xml:space="preserve">) = 21 </w:t>
            </w:r>
            <w:r>
              <w:rPr>
                <w:rFonts w:ascii="Arial" w:eastAsia="Calibri" w:hAnsi="Arial" w:cs="Arial"/>
                <w:sz w:val="16"/>
                <w:szCs w:val="16"/>
              </w:rPr>
              <w:t>hours and</w:t>
            </w:r>
            <w:r w:rsidR="00494C78" w:rsidRPr="001B12CE">
              <w:rPr>
                <w:rFonts w:ascii="Arial" w:eastAsia="Calibri" w:hAnsi="Arial" w:cs="Arial"/>
                <w:sz w:val="16"/>
                <w:szCs w:val="16"/>
              </w:rPr>
              <w:t xml:space="preserve"> 20 </w:t>
            </w:r>
            <w:r>
              <w:rPr>
                <w:rFonts w:ascii="Arial" w:eastAsia="Calibri" w:hAnsi="Arial" w:cs="Arial"/>
                <w:sz w:val="16"/>
                <w:szCs w:val="16"/>
              </w:rPr>
              <w:t>min</w:t>
            </w:r>
            <w:r w:rsidR="00494C78" w:rsidRPr="001B12CE">
              <w:rPr>
                <w:rFonts w:ascii="Arial" w:eastAsia="Calibri" w:hAnsi="Arial" w:cs="Arial"/>
                <w:sz w:val="16"/>
                <w:szCs w:val="16"/>
              </w:rPr>
              <w:br/>
            </w:r>
            <w:r w:rsidRPr="005A3691">
              <w:rPr>
                <w:rFonts w:ascii="Arial" w:eastAsia="Calibri" w:hAnsi="Arial" w:cs="Arial"/>
                <w:b/>
                <w:bCs/>
                <w:sz w:val="16"/>
                <w:szCs w:val="16"/>
              </w:rPr>
              <w:t>Final workload for the Subject</w:t>
            </w:r>
            <w:r w:rsidR="00494C78" w:rsidRPr="005A3691">
              <w:rPr>
                <w:rFonts w:ascii="Arial" w:eastAsia="Calibri" w:hAnsi="Arial" w:cs="Arial"/>
                <w:bCs/>
                <w:sz w:val="16"/>
                <w:szCs w:val="16"/>
              </w:rPr>
              <w:t>: </w:t>
            </w:r>
            <w:r w:rsidR="00494C78" w:rsidRPr="005A3691">
              <w:rPr>
                <w:rFonts w:ascii="Arial" w:eastAsia="Calibri" w:hAnsi="Arial" w:cs="Arial"/>
                <w:bCs/>
                <w:sz w:val="16"/>
                <w:szCs w:val="16"/>
                <w:u w:val="single"/>
              </w:rPr>
              <w:t xml:space="preserve">8 x 30 = 240 </w:t>
            </w:r>
            <w:r w:rsidRPr="005A3691">
              <w:rPr>
                <w:rFonts w:ascii="Arial" w:eastAsia="Calibri" w:hAnsi="Arial" w:cs="Arial"/>
                <w:bCs/>
                <w:sz w:val="16"/>
                <w:szCs w:val="16"/>
                <w:u w:val="single"/>
              </w:rPr>
              <w:t>hours</w:t>
            </w:r>
            <w:r w:rsidR="00494C78" w:rsidRPr="005A3691">
              <w:rPr>
                <w:rFonts w:ascii="Arial" w:eastAsia="Calibri" w:hAnsi="Arial" w:cs="Arial"/>
                <w:sz w:val="16"/>
                <w:szCs w:val="16"/>
              </w:rPr>
              <w:t> </w:t>
            </w:r>
          </w:p>
          <w:p w:rsidR="005A3691" w:rsidRPr="005A3691" w:rsidRDefault="005A3691" w:rsidP="005A3691">
            <w:pPr>
              <w:rPr>
                <w:rFonts w:ascii="Arial" w:eastAsia="Calibri" w:hAnsi="Arial" w:cs="Arial"/>
                <w:bCs/>
                <w:sz w:val="16"/>
                <w:szCs w:val="16"/>
              </w:rPr>
            </w:pPr>
            <w:r w:rsidRPr="005A3691">
              <w:rPr>
                <w:rFonts w:ascii="Arial" w:eastAsia="Calibri" w:hAnsi="Arial" w:cs="Arial"/>
                <w:bCs/>
                <w:sz w:val="16"/>
                <w:szCs w:val="16"/>
              </w:rPr>
              <w:t>Additional work for exam preparation in the make-up exam period, including taking the make-up exam from 0 - 30 hours.</w:t>
            </w:r>
          </w:p>
          <w:p w:rsidR="00494C78" w:rsidRPr="001B12CE" w:rsidRDefault="005A3691" w:rsidP="005A3691">
            <w:pPr>
              <w:rPr>
                <w:rFonts w:ascii="Arial" w:eastAsia="Calibri" w:hAnsi="Arial" w:cs="Arial"/>
                <w:sz w:val="16"/>
                <w:szCs w:val="16"/>
              </w:rPr>
            </w:pPr>
            <w:r w:rsidRPr="005A3691">
              <w:rPr>
                <w:rFonts w:ascii="Arial" w:eastAsia="Calibri" w:hAnsi="Arial" w:cs="Arial"/>
                <w:b/>
                <w:bCs/>
                <w:sz w:val="16"/>
                <w:szCs w:val="16"/>
              </w:rPr>
              <w:t>Load structure:</w:t>
            </w:r>
            <w:r w:rsidRPr="005A3691">
              <w:rPr>
                <w:rFonts w:ascii="Arial" w:eastAsia="Calibri" w:hAnsi="Arial" w:cs="Arial"/>
                <w:bCs/>
                <w:sz w:val="16"/>
                <w:szCs w:val="16"/>
              </w:rPr>
              <w:t xml:space="preserve"> 170 hours and 40 minutes (teaching) + 21 hours and 20 minutes (preparation) + 30 hours (additional work)</w:t>
            </w:r>
          </w:p>
        </w:tc>
      </w:tr>
      <w:tr w:rsidR="00494C78" w:rsidRPr="001B12CE" w:rsidTr="006855B2">
        <w:trPr>
          <w:trHeight w:val="145"/>
        </w:trPr>
        <w:tc>
          <w:tcPr>
            <w:tcW w:w="10031" w:type="dxa"/>
            <w:gridSpan w:val="7"/>
            <w:shd w:val="clear" w:color="auto" w:fill="auto"/>
          </w:tcPr>
          <w:p w:rsidR="00494C78" w:rsidRPr="001B12CE" w:rsidRDefault="005A3691" w:rsidP="006855B2">
            <w:pPr>
              <w:jc w:val="both"/>
              <w:rPr>
                <w:rFonts w:ascii="Arial" w:eastAsia="Calibri" w:hAnsi="Arial" w:cs="Arial"/>
                <w:sz w:val="16"/>
                <w:szCs w:val="16"/>
              </w:rPr>
            </w:pPr>
            <w:r w:rsidRPr="005A3691">
              <w:rPr>
                <w:rFonts w:ascii="Arial" w:eastAsia="Calibri" w:hAnsi="Arial" w:cs="Arial"/>
                <w:sz w:val="16"/>
                <w:szCs w:val="16"/>
              </w:rPr>
              <w:lastRenderedPageBreak/>
              <w:t>Students are required to attend classes, participate in debates and take tests. Students who prepare a seminar paper defend it publicly, while other students participate in a debate after the presentation of the paper.</w:t>
            </w:r>
          </w:p>
        </w:tc>
      </w:tr>
      <w:tr w:rsidR="00494C78" w:rsidRPr="001B12CE" w:rsidTr="006855B2">
        <w:trPr>
          <w:trHeight w:val="507"/>
        </w:trPr>
        <w:tc>
          <w:tcPr>
            <w:tcW w:w="10031" w:type="dxa"/>
            <w:gridSpan w:val="7"/>
            <w:shd w:val="clear" w:color="auto" w:fill="auto"/>
          </w:tcPr>
          <w:p w:rsidR="00494C78" w:rsidRPr="001B12CE" w:rsidRDefault="005A3691" w:rsidP="006855B2">
            <w:pPr>
              <w:rPr>
                <w:rFonts w:ascii="Arial" w:eastAsia="Calibri" w:hAnsi="Arial" w:cs="Arial"/>
                <w:b/>
                <w:bCs/>
                <w:i/>
                <w:iCs/>
                <w:sz w:val="16"/>
                <w:szCs w:val="16"/>
              </w:rPr>
            </w:pPr>
            <w:r>
              <w:rPr>
                <w:rFonts w:ascii="Arial" w:eastAsia="Calibri" w:hAnsi="Arial" w:cs="Arial"/>
                <w:b/>
                <w:bCs/>
                <w:i/>
                <w:iCs/>
                <w:sz w:val="16"/>
                <w:szCs w:val="16"/>
              </w:rPr>
              <w:t>Literature</w:t>
            </w:r>
          </w:p>
          <w:p w:rsidR="00494C78" w:rsidRPr="001B12CE" w:rsidRDefault="005A3691" w:rsidP="006855B2">
            <w:pPr>
              <w:rPr>
                <w:rFonts w:ascii="Arial" w:eastAsia="Calibri" w:hAnsi="Arial" w:cs="Arial"/>
                <w:b/>
                <w:bCs/>
                <w:sz w:val="16"/>
                <w:szCs w:val="16"/>
              </w:rPr>
            </w:pPr>
            <w:r>
              <w:rPr>
                <w:rFonts w:ascii="Arial" w:eastAsia="Calibri" w:hAnsi="Arial" w:cs="Arial"/>
                <w:b/>
                <w:bCs/>
                <w:sz w:val="16"/>
                <w:szCs w:val="16"/>
              </w:rPr>
              <w:t>Obligatory literature</w:t>
            </w:r>
            <w:r w:rsidR="00494C78" w:rsidRPr="001B12CE">
              <w:rPr>
                <w:rFonts w:ascii="Arial" w:eastAsia="Calibri" w:hAnsi="Arial" w:cs="Arial"/>
                <w:b/>
                <w:bCs/>
                <w:sz w:val="16"/>
                <w:szCs w:val="16"/>
              </w:rPr>
              <w:t>:</w:t>
            </w:r>
          </w:p>
          <w:p w:rsidR="00E03023" w:rsidRPr="00E03023" w:rsidRDefault="00E03023" w:rsidP="00E03023">
            <w:pPr>
              <w:pStyle w:val="ListParagraph"/>
              <w:numPr>
                <w:ilvl w:val="0"/>
                <w:numId w:val="1"/>
              </w:numPr>
              <w:rPr>
                <w:rFonts w:ascii="Arial" w:eastAsia="Calibri" w:hAnsi="Arial" w:cs="Arial"/>
                <w:sz w:val="16"/>
                <w:szCs w:val="16"/>
              </w:rPr>
            </w:pPr>
            <w:r w:rsidRPr="00E03023">
              <w:rPr>
                <w:rFonts w:ascii="Arial" w:eastAsia="Calibri" w:hAnsi="Arial" w:cs="Arial"/>
                <w:sz w:val="16"/>
                <w:szCs w:val="16"/>
              </w:rPr>
              <w:t xml:space="preserve">"Jones and </w:t>
            </w:r>
            <w:proofErr w:type="spellStart"/>
            <w:r w:rsidRPr="00E03023">
              <w:rPr>
                <w:rFonts w:ascii="Arial" w:eastAsia="Calibri" w:hAnsi="Arial" w:cs="Arial"/>
                <w:sz w:val="16"/>
                <w:szCs w:val="16"/>
              </w:rPr>
              <w:t>Sufrin's</w:t>
            </w:r>
            <w:proofErr w:type="spellEnd"/>
            <w:r w:rsidRPr="00E03023">
              <w:rPr>
                <w:rFonts w:ascii="Arial" w:eastAsia="Calibri" w:hAnsi="Arial" w:cs="Arial"/>
                <w:sz w:val="16"/>
                <w:szCs w:val="16"/>
              </w:rPr>
              <w:t xml:space="preserve"> EU competition law : text, cases, and materials", Jones, Alison ; </w:t>
            </w:r>
            <w:proofErr w:type="spellStart"/>
            <w:r w:rsidRPr="00E03023">
              <w:rPr>
                <w:rFonts w:ascii="Arial" w:eastAsia="Calibri" w:hAnsi="Arial" w:cs="Arial"/>
                <w:sz w:val="16"/>
                <w:szCs w:val="16"/>
              </w:rPr>
              <w:t>Sufrin</w:t>
            </w:r>
            <w:proofErr w:type="spellEnd"/>
            <w:r w:rsidRPr="00E03023">
              <w:rPr>
                <w:rFonts w:ascii="Arial" w:eastAsia="Calibri" w:hAnsi="Arial" w:cs="Arial"/>
                <w:sz w:val="16"/>
                <w:szCs w:val="16"/>
              </w:rPr>
              <w:t>, Brenda ; Dunne, Niamh, Oxford University Press, 2019;</w:t>
            </w:r>
          </w:p>
          <w:p w:rsidR="00E03023" w:rsidRPr="00E03023" w:rsidRDefault="00E03023" w:rsidP="00E03023">
            <w:pPr>
              <w:pStyle w:val="ListParagraph"/>
              <w:numPr>
                <w:ilvl w:val="0"/>
                <w:numId w:val="1"/>
              </w:numPr>
              <w:rPr>
                <w:rFonts w:ascii="Arial" w:eastAsia="Calibri" w:hAnsi="Arial" w:cs="Arial"/>
                <w:sz w:val="16"/>
                <w:szCs w:val="16"/>
              </w:rPr>
            </w:pPr>
            <w:r w:rsidRPr="00E03023">
              <w:rPr>
                <w:rFonts w:ascii="Arial" w:eastAsia="Calibri" w:hAnsi="Arial" w:cs="Arial"/>
                <w:sz w:val="16"/>
                <w:szCs w:val="16"/>
              </w:rPr>
              <w:t>"An introduction to competition law", Slot, Piet Jan ; Farley, Martin, Oxford, Portland, Hart, 2017;</w:t>
            </w:r>
          </w:p>
          <w:p w:rsidR="00E03023" w:rsidRPr="00E03023" w:rsidRDefault="00E03023" w:rsidP="00E03023">
            <w:pPr>
              <w:pStyle w:val="ListParagraph"/>
              <w:numPr>
                <w:ilvl w:val="0"/>
                <w:numId w:val="1"/>
              </w:numPr>
              <w:rPr>
                <w:rFonts w:ascii="Arial" w:eastAsia="Calibri" w:hAnsi="Arial" w:cs="Arial"/>
                <w:sz w:val="16"/>
                <w:szCs w:val="16"/>
              </w:rPr>
            </w:pPr>
            <w:r w:rsidRPr="00E03023">
              <w:rPr>
                <w:rFonts w:ascii="Arial" w:eastAsia="Calibri" w:hAnsi="Arial" w:cs="Arial"/>
                <w:sz w:val="16"/>
                <w:szCs w:val="16"/>
              </w:rPr>
              <w:t>"Competition Law", Whish Richard, Bailey David, Oxford University Press, 2021;</w:t>
            </w:r>
          </w:p>
          <w:p w:rsidR="00E03023" w:rsidRPr="00E03023" w:rsidRDefault="00E03023" w:rsidP="00E03023">
            <w:pPr>
              <w:pStyle w:val="ListParagraph"/>
              <w:numPr>
                <w:ilvl w:val="0"/>
                <w:numId w:val="1"/>
              </w:numPr>
              <w:rPr>
                <w:rFonts w:ascii="Arial" w:eastAsia="Calibri" w:hAnsi="Arial" w:cs="Arial"/>
                <w:sz w:val="16"/>
                <w:szCs w:val="16"/>
              </w:rPr>
            </w:pPr>
            <w:r w:rsidRPr="00E03023">
              <w:rPr>
                <w:rFonts w:ascii="Arial" w:eastAsia="Calibri" w:hAnsi="Arial" w:cs="Arial"/>
                <w:sz w:val="16"/>
                <w:szCs w:val="16"/>
              </w:rPr>
              <w:t xml:space="preserve">"The reform of EC competition law : new challenges", Austin [etc.] : Wolters Kluwer Law &amp; Business ; Alphen </w:t>
            </w:r>
            <w:proofErr w:type="spellStart"/>
            <w:r w:rsidRPr="00E03023">
              <w:rPr>
                <w:rFonts w:ascii="Arial" w:eastAsia="Calibri" w:hAnsi="Arial" w:cs="Arial"/>
                <w:sz w:val="16"/>
                <w:szCs w:val="16"/>
              </w:rPr>
              <w:t>aan</w:t>
            </w:r>
            <w:proofErr w:type="spellEnd"/>
            <w:r w:rsidRPr="00E03023">
              <w:rPr>
                <w:rFonts w:ascii="Arial" w:eastAsia="Calibri" w:hAnsi="Arial" w:cs="Arial"/>
                <w:sz w:val="16"/>
                <w:szCs w:val="16"/>
              </w:rPr>
              <w:t xml:space="preserve"> den Rijn : Kluwer Law International, 2010;</w:t>
            </w:r>
          </w:p>
          <w:p w:rsidR="00E03023" w:rsidRPr="00E03023" w:rsidRDefault="00E03023" w:rsidP="00E03023">
            <w:pPr>
              <w:pStyle w:val="ListParagraph"/>
              <w:numPr>
                <w:ilvl w:val="0"/>
                <w:numId w:val="1"/>
              </w:numPr>
              <w:rPr>
                <w:rFonts w:ascii="Arial" w:eastAsia="Calibri" w:hAnsi="Arial" w:cs="Arial"/>
                <w:sz w:val="16"/>
                <w:szCs w:val="16"/>
              </w:rPr>
            </w:pPr>
            <w:r w:rsidRPr="00E03023">
              <w:rPr>
                <w:rFonts w:ascii="Arial" w:eastAsia="Calibri" w:hAnsi="Arial" w:cs="Arial"/>
                <w:sz w:val="16"/>
                <w:szCs w:val="16"/>
              </w:rPr>
              <w:t xml:space="preserve">"Competition Law in Montenegro", </w:t>
            </w:r>
            <w:proofErr w:type="spellStart"/>
            <w:r w:rsidRPr="00E03023">
              <w:rPr>
                <w:rFonts w:ascii="Arial" w:eastAsia="Calibri" w:hAnsi="Arial" w:cs="Arial"/>
                <w:sz w:val="16"/>
                <w:szCs w:val="16"/>
              </w:rPr>
              <w:t>Mijat</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Jocović</w:t>
            </w:r>
            <w:proofErr w:type="spellEnd"/>
            <w:r w:rsidRPr="00E03023">
              <w:rPr>
                <w:rFonts w:ascii="Arial" w:eastAsia="Calibri" w:hAnsi="Arial" w:cs="Arial"/>
                <w:sz w:val="16"/>
                <w:szCs w:val="16"/>
              </w:rPr>
              <w:t>, Wolters Kluwer, 2020;</w:t>
            </w:r>
          </w:p>
          <w:p w:rsidR="00494C78" w:rsidRPr="00E03023" w:rsidRDefault="00E03023" w:rsidP="00E03023">
            <w:pPr>
              <w:pStyle w:val="ListParagraph"/>
              <w:numPr>
                <w:ilvl w:val="0"/>
                <w:numId w:val="1"/>
              </w:numPr>
              <w:rPr>
                <w:rFonts w:ascii="Arial" w:eastAsia="Calibri" w:hAnsi="Arial" w:cs="Arial"/>
                <w:sz w:val="16"/>
                <w:szCs w:val="16"/>
              </w:rPr>
            </w:pPr>
            <w:r w:rsidRPr="00E03023">
              <w:rPr>
                <w:rFonts w:ascii="Arial" w:eastAsia="Calibri" w:hAnsi="Arial" w:cs="Arial"/>
                <w:sz w:val="16"/>
                <w:szCs w:val="16"/>
              </w:rPr>
              <w:t>“The law and economics of monopolization standard” in “Antitrust Law and Economics”</w:t>
            </w:r>
            <w:r>
              <w:rPr>
                <w:rFonts w:ascii="Arial" w:eastAsia="Calibri" w:hAnsi="Arial" w:cs="Arial"/>
                <w:sz w:val="16"/>
                <w:szCs w:val="16"/>
              </w:rPr>
              <w:t xml:space="preserve">, Keith N. </w:t>
            </w:r>
            <w:proofErr w:type="spellStart"/>
            <w:r>
              <w:rPr>
                <w:rFonts w:ascii="Arial" w:eastAsia="Calibri" w:hAnsi="Arial" w:cs="Arial"/>
                <w:sz w:val="16"/>
                <w:szCs w:val="16"/>
              </w:rPr>
              <w:t>Hylton</w:t>
            </w:r>
            <w:proofErr w:type="spellEnd"/>
            <w:r w:rsidRPr="00E03023">
              <w:rPr>
                <w:rFonts w:ascii="Arial" w:eastAsia="Calibri" w:hAnsi="Arial" w:cs="Arial"/>
                <w:sz w:val="16"/>
                <w:szCs w:val="16"/>
              </w:rPr>
              <w:t xml:space="preserve"> (ed. K. N. </w:t>
            </w:r>
            <w:proofErr w:type="spellStart"/>
            <w:r w:rsidRPr="00E03023">
              <w:rPr>
                <w:rFonts w:ascii="Arial" w:eastAsia="Calibri" w:hAnsi="Arial" w:cs="Arial"/>
                <w:sz w:val="16"/>
                <w:szCs w:val="16"/>
              </w:rPr>
              <w:t>Hylton</w:t>
            </w:r>
            <w:proofErr w:type="spellEnd"/>
            <w:r w:rsidRPr="00E03023">
              <w:rPr>
                <w:rFonts w:ascii="Arial" w:eastAsia="Calibri" w:hAnsi="Arial" w:cs="Arial"/>
                <w:sz w:val="16"/>
                <w:szCs w:val="16"/>
              </w:rPr>
              <w:t xml:space="preserve">), Edward Elgar, 2010, </w:t>
            </w:r>
            <w:r>
              <w:rPr>
                <w:rFonts w:ascii="Arial" w:eastAsia="Calibri" w:hAnsi="Arial" w:cs="Arial"/>
                <w:sz w:val="16"/>
                <w:szCs w:val="16"/>
              </w:rPr>
              <w:t>chapter</w:t>
            </w:r>
            <w:r w:rsidRPr="00E03023">
              <w:rPr>
                <w:rFonts w:ascii="Arial" w:eastAsia="Calibri" w:hAnsi="Arial" w:cs="Arial"/>
                <w:sz w:val="16"/>
                <w:szCs w:val="16"/>
              </w:rPr>
              <w:t xml:space="preserve"> V;</w:t>
            </w:r>
          </w:p>
          <w:p w:rsidR="00494C78" w:rsidRPr="00E03023" w:rsidRDefault="00494C78" w:rsidP="00E03023">
            <w:pPr>
              <w:pStyle w:val="ListParagraph"/>
              <w:widowControl w:val="0"/>
              <w:numPr>
                <w:ilvl w:val="0"/>
                <w:numId w:val="1"/>
              </w:numPr>
              <w:autoSpaceDE w:val="0"/>
              <w:autoSpaceDN w:val="0"/>
              <w:adjustRightInd w:val="0"/>
              <w:jc w:val="both"/>
              <w:rPr>
                <w:rFonts w:ascii="Arial" w:eastAsia="Calibri" w:hAnsi="Arial" w:cs="Arial"/>
                <w:sz w:val="16"/>
                <w:szCs w:val="16"/>
              </w:rPr>
            </w:pPr>
            <w:r w:rsidRPr="00E03023">
              <w:rPr>
                <w:rFonts w:ascii="Arial" w:eastAsia="Calibri" w:hAnsi="Arial" w:cs="Arial"/>
                <w:sz w:val="16"/>
                <w:szCs w:val="16"/>
              </w:rPr>
              <w:t xml:space="preserve">Eleanor M. Fox, “US and EU Competition Law – A Comparison” in “Global Competition Policy” (eds. J. D. Richardson, E. M. Graham), Institute for International Economics, 339-354, </w:t>
            </w:r>
            <w:r w:rsidR="00E03023" w:rsidRPr="00E03023">
              <w:rPr>
                <w:rFonts w:ascii="Arial" w:eastAsia="Calibri" w:hAnsi="Arial" w:cs="Arial"/>
                <w:sz w:val="16"/>
                <w:szCs w:val="16"/>
              </w:rPr>
              <w:t xml:space="preserve">available on: </w:t>
            </w:r>
            <w:hyperlink r:id="rId5" w:history="1">
              <w:r w:rsidR="00E03023" w:rsidRPr="00E03023">
                <w:rPr>
                  <w:rStyle w:val="Hyperlink"/>
                  <w:rFonts w:ascii="Arial" w:eastAsia="Calibri" w:hAnsi="Arial" w:cs="Arial"/>
                  <w:sz w:val="16"/>
                  <w:szCs w:val="16"/>
                </w:rPr>
                <w:t>www.iie.com</w:t>
              </w:r>
            </w:hyperlink>
            <w:r w:rsidR="00E03023" w:rsidRPr="00E03023">
              <w:rPr>
                <w:rFonts w:ascii="Arial" w:eastAsia="Calibri" w:hAnsi="Arial" w:cs="Arial"/>
                <w:sz w:val="16"/>
                <w:szCs w:val="16"/>
              </w:rPr>
              <w:t xml:space="preserve"> </w:t>
            </w:r>
          </w:p>
          <w:p w:rsidR="00E03023" w:rsidRPr="00E03023" w:rsidRDefault="00E03023" w:rsidP="00E03023">
            <w:pPr>
              <w:pStyle w:val="ListParagraph"/>
              <w:widowControl w:val="0"/>
              <w:numPr>
                <w:ilvl w:val="0"/>
                <w:numId w:val="1"/>
              </w:numPr>
              <w:autoSpaceDE w:val="0"/>
              <w:autoSpaceDN w:val="0"/>
              <w:adjustRightInd w:val="0"/>
              <w:jc w:val="both"/>
              <w:rPr>
                <w:rFonts w:ascii="Arial" w:eastAsia="Calibri" w:hAnsi="Arial" w:cs="Arial"/>
                <w:sz w:val="16"/>
                <w:szCs w:val="16"/>
              </w:rPr>
            </w:pPr>
            <w:proofErr w:type="spellStart"/>
            <w:r w:rsidRPr="00E03023">
              <w:rPr>
                <w:rFonts w:ascii="Arial" w:eastAsia="Calibri" w:hAnsi="Arial" w:cs="Arial"/>
                <w:sz w:val="16"/>
                <w:szCs w:val="16"/>
              </w:rPr>
              <w:t>Zakon</w:t>
            </w:r>
            <w:proofErr w:type="spellEnd"/>
            <w:r w:rsidRPr="00E03023">
              <w:rPr>
                <w:rFonts w:ascii="Arial" w:eastAsia="Calibri" w:hAnsi="Arial" w:cs="Arial"/>
                <w:sz w:val="16"/>
                <w:szCs w:val="16"/>
              </w:rPr>
              <w:t xml:space="preserve"> o </w:t>
            </w:r>
            <w:proofErr w:type="spellStart"/>
            <w:r w:rsidRPr="00E03023">
              <w:rPr>
                <w:rFonts w:ascii="Arial" w:eastAsia="Calibri" w:hAnsi="Arial" w:cs="Arial"/>
                <w:sz w:val="16"/>
                <w:szCs w:val="16"/>
              </w:rPr>
              <w:t>zaštiti</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konkurencije</w:t>
            </w:r>
            <w:proofErr w:type="spellEnd"/>
            <w:r w:rsidRPr="00E03023">
              <w:rPr>
                <w:rFonts w:ascii="Arial" w:eastAsia="Calibri" w:hAnsi="Arial" w:cs="Arial"/>
                <w:sz w:val="16"/>
                <w:szCs w:val="16"/>
              </w:rPr>
              <w:t xml:space="preserve">, </w:t>
            </w:r>
            <w:r w:rsidRPr="00E03023">
              <w:rPr>
                <w:rFonts w:ascii="Arial" w:eastAsia="Calibri" w:hAnsi="Arial" w:cs="Arial"/>
                <w:bCs/>
                <w:sz w:val="16"/>
                <w:szCs w:val="16"/>
              </w:rPr>
              <w:t xml:space="preserve">("Sl. list </w:t>
            </w:r>
            <w:proofErr w:type="spellStart"/>
            <w:r w:rsidRPr="00E03023">
              <w:rPr>
                <w:rFonts w:ascii="Arial" w:eastAsia="Calibri" w:hAnsi="Arial" w:cs="Arial"/>
                <w:bCs/>
                <w:sz w:val="16"/>
                <w:szCs w:val="16"/>
              </w:rPr>
              <w:t>Crne</w:t>
            </w:r>
            <w:proofErr w:type="spellEnd"/>
            <w:r w:rsidRPr="00E03023">
              <w:rPr>
                <w:rFonts w:ascii="Arial" w:eastAsia="Calibri" w:hAnsi="Arial" w:cs="Arial"/>
                <w:bCs/>
                <w:sz w:val="16"/>
                <w:szCs w:val="16"/>
              </w:rPr>
              <w:t xml:space="preserve"> Gore", br. 44/12 od 09.08.2012);</w:t>
            </w:r>
            <w:r>
              <w:rPr>
                <w:rFonts w:ascii="Arial" w:eastAsia="Calibri" w:hAnsi="Arial" w:cs="Arial"/>
                <w:bCs/>
                <w:sz w:val="16"/>
                <w:szCs w:val="16"/>
              </w:rPr>
              <w:t xml:space="preserve"> </w:t>
            </w:r>
          </w:p>
          <w:p w:rsidR="00494C78" w:rsidRPr="001B12CE" w:rsidRDefault="005A3691" w:rsidP="006855B2">
            <w:pPr>
              <w:rPr>
                <w:rFonts w:ascii="Arial" w:eastAsia="Calibri" w:hAnsi="Arial" w:cs="Arial"/>
                <w:b/>
                <w:bCs/>
                <w:sz w:val="16"/>
                <w:szCs w:val="16"/>
              </w:rPr>
            </w:pPr>
            <w:r w:rsidRPr="005A3691">
              <w:rPr>
                <w:rFonts w:ascii="Arial" w:eastAsia="Calibri" w:hAnsi="Arial" w:cs="Arial"/>
                <w:b/>
                <w:bCs/>
                <w:sz w:val="16"/>
                <w:szCs w:val="16"/>
              </w:rPr>
              <w:t>Additional reading</w:t>
            </w:r>
            <w:r w:rsidR="00494C78" w:rsidRPr="001B12CE">
              <w:rPr>
                <w:rFonts w:ascii="Arial" w:eastAsia="Calibri" w:hAnsi="Arial" w:cs="Arial"/>
                <w:b/>
                <w:bCs/>
                <w:sz w:val="16"/>
                <w:szCs w:val="16"/>
              </w:rPr>
              <w:t xml:space="preserve">: </w:t>
            </w:r>
          </w:p>
          <w:p w:rsidR="00494C78" w:rsidRPr="00E03023" w:rsidRDefault="00494C78" w:rsidP="00E03023">
            <w:pPr>
              <w:pStyle w:val="ListParagraph"/>
              <w:keepNext/>
              <w:numPr>
                <w:ilvl w:val="0"/>
                <w:numId w:val="2"/>
              </w:numPr>
              <w:outlineLvl w:val="7"/>
              <w:rPr>
                <w:rFonts w:ascii="Arial" w:eastAsia="Calibri" w:hAnsi="Arial" w:cs="Arial"/>
                <w:bCs/>
                <w:iCs/>
                <w:sz w:val="16"/>
                <w:szCs w:val="16"/>
              </w:rPr>
            </w:pPr>
            <w:proofErr w:type="spellStart"/>
            <w:r w:rsidRPr="00E03023">
              <w:rPr>
                <w:rFonts w:ascii="Arial" w:eastAsia="Calibri" w:hAnsi="Arial" w:cs="Arial"/>
                <w:bCs/>
                <w:iCs/>
                <w:sz w:val="16"/>
                <w:szCs w:val="16"/>
              </w:rPr>
              <w:t>Šoljan</w:t>
            </w:r>
            <w:proofErr w:type="spellEnd"/>
            <w:r w:rsidRPr="00E03023">
              <w:rPr>
                <w:rFonts w:ascii="Arial" w:eastAsia="Calibri" w:hAnsi="Arial" w:cs="Arial"/>
                <w:bCs/>
                <w:iCs/>
                <w:sz w:val="16"/>
                <w:szCs w:val="16"/>
              </w:rPr>
              <w:t xml:space="preserve"> </w:t>
            </w:r>
            <w:proofErr w:type="spellStart"/>
            <w:r w:rsidRPr="00E03023">
              <w:rPr>
                <w:rFonts w:ascii="Arial" w:eastAsia="Calibri" w:hAnsi="Arial" w:cs="Arial"/>
                <w:bCs/>
                <w:iCs/>
                <w:sz w:val="16"/>
                <w:szCs w:val="16"/>
              </w:rPr>
              <w:t>Vedran</w:t>
            </w:r>
            <w:proofErr w:type="spellEnd"/>
            <w:r w:rsidRPr="00E03023">
              <w:rPr>
                <w:rFonts w:ascii="Arial" w:eastAsia="Calibri" w:hAnsi="Arial" w:cs="Arial"/>
                <w:bCs/>
                <w:iCs/>
                <w:sz w:val="16"/>
                <w:szCs w:val="16"/>
              </w:rPr>
              <w:t xml:space="preserve">; </w:t>
            </w:r>
            <w:proofErr w:type="spellStart"/>
            <w:r w:rsidRPr="00E03023">
              <w:rPr>
                <w:rFonts w:ascii="Arial" w:eastAsia="Calibri" w:hAnsi="Arial" w:cs="Arial"/>
                <w:bCs/>
                <w:i/>
                <w:iCs/>
                <w:sz w:val="16"/>
                <w:szCs w:val="16"/>
              </w:rPr>
              <w:t>Diskriminacija</w:t>
            </w:r>
            <w:proofErr w:type="spellEnd"/>
            <w:r w:rsidRPr="00E03023">
              <w:rPr>
                <w:rFonts w:ascii="Arial" w:eastAsia="Calibri" w:hAnsi="Arial" w:cs="Arial"/>
                <w:bCs/>
                <w:i/>
                <w:iCs/>
                <w:sz w:val="16"/>
                <w:szCs w:val="16"/>
              </w:rPr>
              <w:t xml:space="preserve"> u </w:t>
            </w:r>
            <w:proofErr w:type="spellStart"/>
            <w:r w:rsidRPr="00E03023">
              <w:rPr>
                <w:rFonts w:ascii="Arial" w:eastAsia="Calibri" w:hAnsi="Arial" w:cs="Arial"/>
                <w:bCs/>
                <w:i/>
                <w:iCs/>
                <w:sz w:val="16"/>
                <w:szCs w:val="16"/>
              </w:rPr>
              <w:t>cijenama</w:t>
            </w:r>
            <w:proofErr w:type="spellEnd"/>
            <w:r w:rsidRPr="00E03023">
              <w:rPr>
                <w:rFonts w:ascii="Arial" w:eastAsia="Calibri" w:hAnsi="Arial" w:cs="Arial"/>
                <w:bCs/>
                <w:i/>
                <w:iCs/>
                <w:sz w:val="16"/>
                <w:szCs w:val="16"/>
              </w:rPr>
              <w:t xml:space="preserve"> </w:t>
            </w:r>
            <w:proofErr w:type="spellStart"/>
            <w:r w:rsidRPr="00E03023">
              <w:rPr>
                <w:rFonts w:ascii="Arial" w:eastAsia="Calibri" w:hAnsi="Arial" w:cs="Arial"/>
                <w:bCs/>
                <w:i/>
                <w:iCs/>
                <w:sz w:val="16"/>
                <w:szCs w:val="16"/>
              </w:rPr>
              <w:t>kao</w:t>
            </w:r>
            <w:proofErr w:type="spellEnd"/>
            <w:r w:rsidRPr="00E03023">
              <w:rPr>
                <w:rFonts w:ascii="Arial" w:eastAsia="Calibri" w:hAnsi="Arial" w:cs="Arial"/>
                <w:bCs/>
                <w:i/>
                <w:iCs/>
                <w:sz w:val="16"/>
                <w:szCs w:val="16"/>
              </w:rPr>
              <w:t xml:space="preserve"> </w:t>
            </w:r>
            <w:proofErr w:type="spellStart"/>
            <w:r w:rsidRPr="00E03023">
              <w:rPr>
                <w:rFonts w:ascii="Arial" w:eastAsia="Calibri" w:hAnsi="Arial" w:cs="Arial"/>
                <w:bCs/>
                <w:i/>
                <w:iCs/>
                <w:sz w:val="16"/>
                <w:szCs w:val="16"/>
              </w:rPr>
              <w:t>oblik</w:t>
            </w:r>
            <w:proofErr w:type="spellEnd"/>
            <w:r w:rsidRPr="00E03023">
              <w:rPr>
                <w:rFonts w:ascii="Arial" w:eastAsia="Calibri" w:hAnsi="Arial" w:cs="Arial"/>
                <w:bCs/>
                <w:i/>
                <w:iCs/>
                <w:sz w:val="16"/>
                <w:szCs w:val="16"/>
              </w:rPr>
              <w:t xml:space="preserve"> </w:t>
            </w:r>
            <w:proofErr w:type="spellStart"/>
            <w:r w:rsidRPr="00E03023">
              <w:rPr>
                <w:rFonts w:ascii="Arial" w:eastAsia="Calibri" w:hAnsi="Arial" w:cs="Arial"/>
                <w:bCs/>
                <w:i/>
                <w:iCs/>
                <w:sz w:val="16"/>
                <w:szCs w:val="16"/>
              </w:rPr>
              <w:t>ograničavanja</w:t>
            </w:r>
            <w:proofErr w:type="spellEnd"/>
            <w:r w:rsidRPr="00E03023">
              <w:rPr>
                <w:rFonts w:ascii="Arial" w:eastAsia="Calibri" w:hAnsi="Arial" w:cs="Arial"/>
                <w:bCs/>
                <w:i/>
                <w:iCs/>
                <w:sz w:val="16"/>
                <w:szCs w:val="16"/>
              </w:rPr>
              <w:t xml:space="preserve"> </w:t>
            </w:r>
            <w:proofErr w:type="spellStart"/>
            <w:r w:rsidRPr="00E03023">
              <w:rPr>
                <w:rFonts w:ascii="Arial" w:eastAsia="Calibri" w:hAnsi="Arial" w:cs="Arial"/>
                <w:bCs/>
                <w:i/>
                <w:iCs/>
                <w:sz w:val="16"/>
                <w:szCs w:val="16"/>
              </w:rPr>
              <w:t>tržišnog</w:t>
            </w:r>
            <w:proofErr w:type="spellEnd"/>
            <w:r w:rsidRPr="00E03023">
              <w:rPr>
                <w:rFonts w:ascii="Arial" w:eastAsia="Calibri" w:hAnsi="Arial" w:cs="Arial"/>
                <w:bCs/>
                <w:i/>
                <w:iCs/>
                <w:sz w:val="16"/>
                <w:szCs w:val="16"/>
              </w:rPr>
              <w:t xml:space="preserve"> </w:t>
            </w:r>
            <w:proofErr w:type="spellStart"/>
            <w:r w:rsidRPr="00E03023">
              <w:rPr>
                <w:rFonts w:ascii="Arial" w:eastAsia="Calibri" w:hAnsi="Arial" w:cs="Arial"/>
                <w:bCs/>
                <w:i/>
                <w:iCs/>
                <w:sz w:val="16"/>
                <w:szCs w:val="16"/>
              </w:rPr>
              <w:t>natjecanja</w:t>
            </w:r>
            <w:proofErr w:type="spellEnd"/>
            <w:r w:rsidRPr="00E03023">
              <w:rPr>
                <w:rFonts w:ascii="Arial" w:eastAsia="Calibri" w:hAnsi="Arial" w:cs="Arial"/>
                <w:bCs/>
                <w:i/>
                <w:iCs/>
                <w:sz w:val="16"/>
                <w:szCs w:val="16"/>
              </w:rPr>
              <w:t xml:space="preserve">: </w:t>
            </w:r>
            <w:proofErr w:type="spellStart"/>
            <w:r w:rsidRPr="00E03023">
              <w:rPr>
                <w:rFonts w:ascii="Arial" w:eastAsia="Calibri" w:hAnsi="Arial" w:cs="Arial"/>
                <w:bCs/>
                <w:i/>
                <w:iCs/>
                <w:sz w:val="16"/>
                <w:szCs w:val="16"/>
              </w:rPr>
              <w:t>I.dio</w:t>
            </w:r>
            <w:proofErr w:type="spellEnd"/>
            <w:r w:rsidRPr="00E03023">
              <w:rPr>
                <w:rFonts w:ascii="Arial" w:eastAsia="Calibri" w:hAnsi="Arial" w:cs="Arial"/>
                <w:bCs/>
                <w:iCs/>
                <w:sz w:val="16"/>
                <w:szCs w:val="16"/>
              </w:rPr>
              <w:t xml:space="preserve">; </w:t>
            </w:r>
            <w:proofErr w:type="spellStart"/>
            <w:r w:rsidRPr="00E03023">
              <w:rPr>
                <w:rFonts w:ascii="Arial" w:eastAsia="Calibri" w:hAnsi="Arial" w:cs="Arial"/>
                <w:bCs/>
                <w:iCs/>
                <w:sz w:val="16"/>
                <w:szCs w:val="16"/>
              </w:rPr>
              <w:t>Hrvatska</w:t>
            </w:r>
            <w:proofErr w:type="spellEnd"/>
            <w:r w:rsidRPr="00E03023">
              <w:rPr>
                <w:rFonts w:ascii="Arial" w:eastAsia="Calibri" w:hAnsi="Arial" w:cs="Arial"/>
                <w:bCs/>
                <w:iCs/>
                <w:sz w:val="16"/>
                <w:szCs w:val="16"/>
              </w:rPr>
              <w:t xml:space="preserve"> </w:t>
            </w:r>
            <w:proofErr w:type="spellStart"/>
            <w:r w:rsidRPr="00E03023">
              <w:rPr>
                <w:rFonts w:ascii="Arial" w:eastAsia="Calibri" w:hAnsi="Arial" w:cs="Arial"/>
                <w:bCs/>
                <w:iCs/>
                <w:sz w:val="16"/>
                <w:szCs w:val="16"/>
              </w:rPr>
              <w:t>pravna</w:t>
            </w:r>
            <w:proofErr w:type="spellEnd"/>
            <w:r w:rsidRPr="00E03023">
              <w:rPr>
                <w:rFonts w:ascii="Arial" w:eastAsia="Calibri" w:hAnsi="Arial" w:cs="Arial"/>
                <w:bCs/>
                <w:iCs/>
                <w:sz w:val="16"/>
                <w:szCs w:val="16"/>
              </w:rPr>
              <w:t xml:space="preserve"> </w:t>
            </w:r>
            <w:proofErr w:type="spellStart"/>
            <w:r w:rsidRPr="00E03023">
              <w:rPr>
                <w:rFonts w:ascii="Arial" w:eastAsia="Calibri" w:hAnsi="Arial" w:cs="Arial"/>
                <w:bCs/>
                <w:iCs/>
                <w:sz w:val="16"/>
                <w:szCs w:val="16"/>
              </w:rPr>
              <w:t>revija</w:t>
            </w:r>
            <w:proofErr w:type="spellEnd"/>
            <w:r w:rsidRPr="00E03023">
              <w:rPr>
                <w:rFonts w:ascii="Arial" w:eastAsia="Calibri" w:hAnsi="Arial" w:cs="Arial"/>
                <w:bCs/>
                <w:iCs/>
                <w:sz w:val="16"/>
                <w:szCs w:val="16"/>
              </w:rPr>
              <w:t xml:space="preserve"> 3 (2003), 2 (2003), str. 34-49</w:t>
            </w:r>
            <w:r w:rsidR="00A354B8" w:rsidRPr="00E03023">
              <w:rPr>
                <w:rFonts w:ascii="Arial" w:eastAsia="Calibri" w:hAnsi="Arial" w:cs="Arial"/>
                <w:bCs/>
                <w:iCs/>
                <w:sz w:val="16"/>
                <w:szCs w:val="16"/>
              </w:rPr>
              <w:t>, 37-50;</w:t>
            </w:r>
          </w:p>
          <w:p w:rsidR="00A354B8" w:rsidRPr="00E03023" w:rsidRDefault="00E03023" w:rsidP="00E03023">
            <w:pPr>
              <w:pStyle w:val="ListParagraph"/>
              <w:keepNext/>
              <w:numPr>
                <w:ilvl w:val="0"/>
                <w:numId w:val="2"/>
              </w:numPr>
              <w:outlineLvl w:val="7"/>
              <w:rPr>
                <w:rFonts w:ascii="Arial" w:eastAsia="Calibri" w:hAnsi="Arial" w:cs="Arial"/>
                <w:sz w:val="16"/>
                <w:szCs w:val="16"/>
              </w:rPr>
            </w:pPr>
            <w:r w:rsidRPr="00E03023">
              <w:rPr>
                <w:rFonts w:ascii="Arial" w:eastAsia="Calibri" w:hAnsi="Arial" w:cs="Arial"/>
                <w:sz w:val="16"/>
                <w:szCs w:val="16"/>
              </w:rPr>
              <w:t xml:space="preserve">Boris </w:t>
            </w:r>
            <w:proofErr w:type="spellStart"/>
            <w:r w:rsidRPr="00E03023">
              <w:rPr>
                <w:rFonts w:ascii="Arial" w:eastAsia="Calibri" w:hAnsi="Arial" w:cs="Arial"/>
                <w:sz w:val="16"/>
                <w:szCs w:val="16"/>
              </w:rPr>
              <w:t>Begović</w:t>
            </w:r>
            <w:proofErr w:type="spellEnd"/>
            <w:r w:rsidRPr="00E03023">
              <w:rPr>
                <w:rFonts w:ascii="Arial" w:eastAsia="Calibri" w:hAnsi="Arial" w:cs="Arial"/>
                <w:sz w:val="16"/>
                <w:szCs w:val="16"/>
              </w:rPr>
              <w:t xml:space="preserve">, Vladimir </w:t>
            </w:r>
            <w:proofErr w:type="spellStart"/>
            <w:r w:rsidRPr="00E03023">
              <w:rPr>
                <w:rFonts w:ascii="Arial" w:eastAsia="Calibri" w:hAnsi="Arial" w:cs="Arial"/>
                <w:sz w:val="16"/>
                <w:szCs w:val="16"/>
              </w:rPr>
              <w:t>Pavić</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Uvod</w:t>
            </w:r>
            <w:proofErr w:type="spellEnd"/>
            <w:r w:rsidRPr="00E03023">
              <w:rPr>
                <w:rFonts w:ascii="Arial" w:eastAsia="Calibri" w:hAnsi="Arial" w:cs="Arial"/>
                <w:sz w:val="16"/>
                <w:szCs w:val="16"/>
              </w:rPr>
              <w:t xml:space="preserve"> u </w:t>
            </w:r>
            <w:proofErr w:type="spellStart"/>
            <w:r w:rsidRPr="00E03023">
              <w:rPr>
                <w:rFonts w:ascii="Arial" w:eastAsia="Calibri" w:hAnsi="Arial" w:cs="Arial"/>
                <w:sz w:val="16"/>
                <w:szCs w:val="16"/>
              </w:rPr>
              <w:t>pravo</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konkurencije</w:t>
            </w:r>
            <w:proofErr w:type="spellEnd"/>
            <w:r w:rsidRPr="00E03023">
              <w:rPr>
                <w:rFonts w:ascii="Arial" w:eastAsia="Calibri" w:hAnsi="Arial" w:cs="Arial"/>
                <w:sz w:val="16"/>
                <w:szCs w:val="16"/>
              </w:rPr>
              <w:t xml:space="preserve">, Beograd: </w:t>
            </w:r>
            <w:proofErr w:type="spellStart"/>
            <w:r w:rsidRPr="00E03023">
              <w:rPr>
                <w:rFonts w:ascii="Arial" w:eastAsia="Calibri" w:hAnsi="Arial" w:cs="Arial"/>
                <w:sz w:val="16"/>
                <w:szCs w:val="16"/>
              </w:rPr>
              <w:t>Pravni</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Fakultet</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Univerziteta</w:t>
            </w:r>
            <w:proofErr w:type="spellEnd"/>
            <w:r w:rsidRPr="00E03023">
              <w:rPr>
                <w:rFonts w:ascii="Arial" w:eastAsia="Calibri" w:hAnsi="Arial" w:cs="Arial"/>
                <w:sz w:val="16"/>
                <w:szCs w:val="16"/>
              </w:rPr>
              <w:t xml:space="preserve"> u </w:t>
            </w:r>
            <w:proofErr w:type="spellStart"/>
            <w:r w:rsidRPr="00E03023">
              <w:rPr>
                <w:rFonts w:ascii="Arial" w:eastAsia="Calibri" w:hAnsi="Arial" w:cs="Arial"/>
                <w:sz w:val="16"/>
                <w:szCs w:val="16"/>
              </w:rPr>
              <w:t>Beogradu</w:t>
            </w:r>
            <w:proofErr w:type="spellEnd"/>
            <w:r w:rsidRPr="00E03023">
              <w:rPr>
                <w:rFonts w:ascii="Arial" w:eastAsia="Calibri" w:hAnsi="Arial" w:cs="Arial"/>
                <w:sz w:val="16"/>
                <w:szCs w:val="16"/>
              </w:rPr>
              <w:t>, 2012;</w:t>
            </w:r>
          </w:p>
          <w:p w:rsidR="00E03023" w:rsidRPr="00E03023" w:rsidRDefault="00E03023" w:rsidP="00E03023">
            <w:pPr>
              <w:pStyle w:val="ListParagraph"/>
              <w:numPr>
                <w:ilvl w:val="0"/>
                <w:numId w:val="2"/>
              </w:numPr>
              <w:rPr>
                <w:rFonts w:ascii="Arial" w:eastAsia="Calibri" w:hAnsi="Arial" w:cs="Arial"/>
                <w:sz w:val="16"/>
                <w:szCs w:val="16"/>
              </w:rPr>
            </w:pPr>
            <w:proofErr w:type="spellStart"/>
            <w:r w:rsidRPr="00E03023">
              <w:rPr>
                <w:rFonts w:ascii="Arial" w:eastAsia="Calibri" w:hAnsi="Arial" w:cs="Arial"/>
                <w:sz w:val="16"/>
                <w:szCs w:val="16"/>
              </w:rPr>
              <w:t>Butorac</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Malnar</w:t>
            </w:r>
            <w:proofErr w:type="spellEnd"/>
            <w:r w:rsidRPr="00E03023">
              <w:rPr>
                <w:rFonts w:ascii="Arial" w:eastAsia="Calibri" w:hAnsi="Arial" w:cs="Arial"/>
                <w:sz w:val="16"/>
                <w:szCs w:val="16"/>
              </w:rPr>
              <w:t xml:space="preserve">, V., </w:t>
            </w:r>
            <w:proofErr w:type="spellStart"/>
            <w:r w:rsidRPr="00E03023">
              <w:rPr>
                <w:rFonts w:ascii="Arial" w:eastAsia="Calibri" w:hAnsi="Arial" w:cs="Arial"/>
                <w:sz w:val="16"/>
                <w:szCs w:val="16"/>
              </w:rPr>
              <w:t>Pecotić</w:t>
            </w:r>
            <w:proofErr w:type="spellEnd"/>
            <w:r w:rsidRPr="00E03023">
              <w:rPr>
                <w:rFonts w:ascii="Arial" w:eastAsia="Calibri" w:hAnsi="Arial" w:cs="Arial"/>
                <w:sz w:val="16"/>
                <w:szCs w:val="16"/>
              </w:rPr>
              <w:t xml:space="preserve"> Kaufman, J., </w:t>
            </w:r>
            <w:proofErr w:type="spellStart"/>
            <w:r w:rsidRPr="00E03023">
              <w:rPr>
                <w:rFonts w:ascii="Arial" w:eastAsia="Calibri" w:hAnsi="Arial" w:cs="Arial"/>
                <w:sz w:val="16"/>
                <w:szCs w:val="16"/>
              </w:rPr>
              <w:t>Petrović</w:t>
            </w:r>
            <w:proofErr w:type="spellEnd"/>
            <w:r w:rsidRPr="00E03023">
              <w:rPr>
                <w:rFonts w:ascii="Arial" w:eastAsia="Calibri" w:hAnsi="Arial" w:cs="Arial"/>
                <w:sz w:val="16"/>
                <w:szCs w:val="16"/>
              </w:rPr>
              <w:t xml:space="preserve">, S.; </w:t>
            </w:r>
            <w:proofErr w:type="spellStart"/>
            <w:r w:rsidRPr="00E03023">
              <w:rPr>
                <w:rFonts w:ascii="Arial" w:eastAsia="Calibri" w:hAnsi="Arial" w:cs="Arial"/>
                <w:sz w:val="16"/>
                <w:szCs w:val="16"/>
              </w:rPr>
              <w:t>Pravo</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tržišnog</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natjecanja</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Pravni</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fakultet</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Sveučilišta</w:t>
            </w:r>
            <w:proofErr w:type="spellEnd"/>
            <w:r w:rsidRPr="00E03023">
              <w:rPr>
                <w:rFonts w:ascii="Arial" w:eastAsia="Calibri" w:hAnsi="Arial" w:cs="Arial"/>
                <w:sz w:val="16"/>
                <w:szCs w:val="16"/>
              </w:rPr>
              <w:t xml:space="preserve"> u </w:t>
            </w:r>
            <w:proofErr w:type="spellStart"/>
            <w:r w:rsidRPr="00E03023">
              <w:rPr>
                <w:rFonts w:ascii="Arial" w:eastAsia="Calibri" w:hAnsi="Arial" w:cs="Arial"/>
                <w:sz w:val="16"/>
                <w:szCs w:val="16"/>
              </w:rPr>
              <w:t>Zagrebu</w:t>
            </w:r>
            <w:proofErr w:type="spellEnd"/>
            <w:r w:rsidRPr="00E03023">
              <w:rPr>
                <w:rFonts w:ascii="Arial" w:eastAsia="Calibri" w:hAnsi="Arial" w:cs="Arial"/>
                <w:sz w:val="16"/>
                <w:szCs w:val="16"/>
              </w:rPr>
              <w:t xml:space="preserve"> (2013).</w:t>
            </w:r>
          </w:p>
          <w:p w:rsidR="00E03023" w:rsidRPr="00E03023" w:rsidRDefault="00E03023" w:rsidP="00E03023">
            <w:pPr>
              <w:pStyle w:val="ListParagraph"/>
              <w:widowControl w:val="0"/>
              <w:numPr>
                <w:ilvl w:val="0"/>
                <w:numId w:val="2"/>
              </w:numPr>
              <w:autoSpaceDE w:val="0"/>
              <w:autoSpaceDN w:val="0"/>
              <w:adjustRightInd w:val="0"/>
              <w:jc w:val="both"/>
              <w:rPr>
                <w:rFonts w:ascii="Arial" w:eastAsia="Calibri" w:hAnsi="Arial" w:cs="Arial"/>
                <w:sz w:val="16"/>
                <w:szCs w:val="16"/>
              </w:rPr>
            </w:pPr>
            <w:r w:rsidRPr="00E03023">
              <w:rPr>
                <w:rFonts w:ascii="Arial" w:eastAsia="Calibri" w:hAnsi="Arial" w:cs="Arial"/>
                <w:sz w:val="16"/>
                <w:szCs w:val="16"/>
              </w:rPr>
              <w:t xml:space="preserve">Maja </w:t>
            </w:r>
            <w:proofErr w:type="spellStart"/>
            <w:r w:rsidRPr="00E03023">
              <w:rPr>
                <w:rFonts w:ascii="Arial" w:eastAsia="Calibri" w:hAnsi="Arial" w:cs="Arial"/>
                <w:sz w:val="16"/>
                <w:szCs w:val="16"/>
              </w:rPr>
              <w:t>Stanivuković</w:t>
            </w:r>
            <w:proofErr w:type="spellEnd"/>
            <w:r w:rsidRPr="00E03023">
              <w:rPr>
                <w:rFonts w:ascii="Arial" w:eastAsia="Calibri" w:hAnsi="Arial" w:cs="Arial"/>
                <w:sz w:val="16"/>
                <w:szCs w:val="16"/>
              </w:rPr>
              <w:t>, „</w:t>
            </w:r>
            <w:proofErr w:type="spellStart"/>
            <w:r w:rsidRPr="00E03023">
              <w:rPr>
                <w:rFonts w:ascii="Arial" w:eastAsia="Calibri" w:hAnsi="Arial" w:cs="Arial"/>
                <w:sz w:val="16"/>
                <w:szCs w:val="16"/>
              </w:rPr>
              <w:t>Primena</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domaćih</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pravila</w:t>
            </w:r>
            <w:proofErr w:type="spellEnd"/>
            <w:r w:rsidRPr="00E03023">
              <w:rPr>
                <w:rFonts w:ascii="Arial" w:eastAsia="Calibri" w:hAnsi="Arial" w:cs="Arial"/>
                <w:sz w:val="16"/>
                <w:szCs w:val="16"/>
              </w:rPr>
              <w:t xml:space="preserve"> o </w:t>
            </w:r>
            <w:proofErr w:type="spellStart"/>
            <w:r w:rsidRPr="00E03023">
              <w:rPr>
                <w:rFonts w:ascii="Arial" w:eastAsia="Calibri" w:hAnsi="Arial" w:cs="Arial"/>
                <w:sz w:val="16"/>
                <w:szCs w:val="16"/>
              </w:rPr>
              <w:t>zaštiti</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konkurencije</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na</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pravne</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odnose</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sa</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međunarodnim</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elementom</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po</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uzoru</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na</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pravo</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Evropske</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zajednice</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Anali</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Pravnog</w:t>
            </w:r>
            <w:proofErr w:type="spellEnd"/>
            <w:r w:rsidRPr="00E03023">
              <w:rPr>
                <w:rFonts w:ascii="Arial" w:eastAsia="Calibri" w:hAnsi="Arial" w:cs="Arial"/>
                <w:sz w:val="16"/>
                <w:szCs w:val="16"/>
              </w:rPr>
              <w:t xml:space="preserve"> </w:t>
            </w:r>
            <w:proofErr w:type="spellStart"/>
            <w:r w:rsidRPr="00E03023">
              <w:rPr>
                <w:rFonts w:ascii="Arial" w:eastAsia="Calibri" w:hAnsi="Arial" w:cs="Arial"/>
                <w:sz w:val="16"/>
                <w:szCs w:val="16"/>
              </w:rPr>
              <w:t>fakulteta</w:t>
            </w:r>
            <w:proofErr w:type="spellEnd"/>
            <w:r w:rsidRPr="00E03023">
              <w:rPr>
                <w:rFonts w:ascii="Arial" w:eastAsia="Calibri" w:hAnsi="Arial" w:cs="Arial"/>
                <w:sz w:val="16"/>
                <w:szCs w:val="16"/>
              </w:rPr>
              <w:t xml:space="preserve"> u </w:t>
            </w:r>
            <w:proofErr w:type="spellStart"/>
            <w:r w:rsidRPr="00E03023">
              <w:rPr>
                <w:rFonts w:ascii="Arial" w:eastAsia="Calibri" w:hAnsi="Arial" w:cs="Arial"/>
                <w:sz w:val="16"/>
                <w:szCs w:val="16"/>
              </w:rPr>
              <w:t>Beogradu</w:t>
            </w:r>
            <w:proofErr w:type="spellEnd"/>
            <w:r w:rsidRPr="00E03023">
              <w:rPr>
                <w:rFonts w:ascii="Arial" w:eastAsia="Calibri" w:hAnsi="Arial" w:cs="Arial"/>
                <w:sz w:val="16"/>
                <w:szCs w:val="16"/>
              </w:rPr>
              <w:t xml:space="preserve"> 2/2009, str. 110-134, </w:t>
            </w:r>
            <w:r>
              <w:rPr>
                <w:rFonts w:ascii="Arial" w:eastAsia="Calibri" w:hAnsi="Arial" w:cs="Arial"/>
                <w:sz w:val="16"/>
                <w:szCs w:val="16"/>
              </w:rPr>
              <w:t xml:space="preserve">available on: </w:t>
            </w:r>
            <w:hyperlink r:id="rId6" w:history="1">
              <w:r w:rsidRPr="0081588A">
                <w:rPr>
                  <w:rStyle w:val="Hyperlink"/>
                  <w:rFonts w:ascii="Arial" w:eastAsia="Calibri" w:hAnsi="Arial" w:cs="Arial"/>
                  <w:sz w:val="16"/>
                  <w:szCs w:val="16"/>
                </w:rPr>
                <w:t>www.ius.bg.ac.rs</w:t>
              </w:r>
            </w:hyperlink>
            <w:r>
              <w:rPr>
                <w:rFonts w:ascii="Arial" w:eastAsia="Calibri" w:hAnsi="Arial" w:cs="Arial"/>
                <w:sz w:val="16"/>
                <w:szCs w:val="16"/>
              </w:rPr>
              <w:t xml:space="preserve"> </w:t>
            </w:r>
            <w:r w:rsidRPr="00E03023">
              <w:rPr>
                <w:rFonts w:ascii="Arial" w:eastAsia="Calibri" w:hAnsi="Arial" w:cs="Arial"/>
                <w:sz w:val="16"/>
                <w:szCs w:val="16"/>
              </w:rPr>
              <w:t xml:space="preserve"> </w:t>
            </w:r>
          </w:p>
          <w:p w:rsidR="00E03023" w:rsidRPr="001B12CE" w:rsidRDefault="00E03023" w:rsidP="00A354B8">
            <w:pPr>
              <w:keepNext/>
              <w:outlineLvl w:val="7"/>
              <w:rPr>
                <w:rFonts w:ascii="Arial" w:eastAsia="Calibri" w:hAnsi="Arial" w:cs="Arial"/>
                <w:bCs/>
                <w:iCs/>
                <w:sz w:val="16"/>
                <w:szCs w:val="16"/>
              </w:rPr>
            </w:pPr>
          </w:p>
        </w:tc>
      </w:tr>
      <w:tr w:rsidR="00494C78" w:rsidRPr="001B12CE" w:rsidTr="006855B2">
        <w:trPr>
          <w:trHeight w:val="138"/>
        </w:trPr>
        <w:tc>
          <w:tcPr>
            <w:tcW w:w="10031" w:type="dxa"/>
            <w:gridSpan w:val="7"/>
            <w:shd w:val="clear" w:color="auto" w:fill="auto"/>
          </w:tcPr>
          <w:p w:rsidR="00A354B8" w:rsidRPr="00A354B8" w:rsidRDefault="00A354B8" w:rsidP="00A354B8">
            <w:pPr>
              <w:rPr>
                <w:rFonts w:ascii="Arial" w:eastAsia="Calibri" w:hAnsi="Arial" w:cs="Arial"/>
                <w:b/>
                <w:spacing w:val="-2"/>
                <w:sz w:val="16"/>
                <w:szCs w:val="16"/>
              </w:rPr>
            </w:pPr>
            <w:r w:rsidRPr="00A354B8">
              <w:rPr>
                <w:rFonts w:ascii="Arial" w:eastAsia="Calibri" w:hAnsi="Arial" w:cs="Arial"/>
                <w:b/>
                <w:spacing w:val="-2"/>
                <w:sz w:val="16"/>
                <w:szCs w:val="16"/>
              </w:rPr>
              <w:t>Forms of Knowledge Assessment and Grading:</w:t>
            </w:r>
          </w:p>
          <w:p w:rsidR="00A354B8" w:rsidRPr="00A354B8" w:rsidRDefault="00A354B8" w:rsidP="00A354B8">
            <w:pPr>
              <w:rPr>
                <w:rFonts w:ascii="Arial" w:eastAsia="Calibri" w:hAnsi="Arial" w:cs="Arial"/>
                <w:b/>
                <w:spacing w:val="-2"/>
                <w:sz w:val="16"/>
                <w:szCs w:val="16"/>
              </w:rPr>
            </w:pPr>
            <w:r w:rsidRPr="00A354B8">
              <w:rPr>
                <w:rFonts w:ascii="Arial" w:eastAsia="Calibri" w:hAnsi="Arial" w:cs="Arial"/>
                <w:b/>
                <w:spacing w:val="-2"/>
                <w:sz w:val="16"/>
                <w:szCs w:val="16"/>
              </w:rPr>
              <w:t>Students are evaluated based on the following:</w:t>
            </w:r>
          </w:p>
          <w:p w:rsidR="00A354B8" w:rsidRPr="00A354B8" w:rsidRDefault="00A354B8" w:rsidP="00A354B8">
            <w:pPr>
              <w:rPr>
                <w:rFonts w:ascii="Arial" w:eastAsia="Calibri" w:hAnsi="Arial" w:cs="Arial"/>
                <w:spacing w:val="-2"/>
                <w:sz w:val="16"/>
                <w:szCs w:val="16"/>
              </w:rPr>
            </w:pPr>
            <w:r w:rsidRPr="00A354B8">
              <w:rPr>
                <w:rFonts w:ascii="Arial" w:eastAsia="Calibri" w:hAnsi="Arial" w:cs="Arial"/>
                <w:b/>
                <w:spacing w:val="-2"/>
                <w:sz w:val="16"/>
                <w:szCs w:val="16"/>
              </w:rPr>
              <w:t>Mid-term exam</w:t>
            </w:r>
            <w:r w:rsidRPr="00A354B8">
              <w:rPr>
                <w:rFonts w:ascii="Arial" w:eastAsia="Calibri" w:hAnsi="Arial" w:cs="Arial"/>
                <w:spacing w:val="-2"/>
                <w:sz w:val="16"/>
                <w:szCs w:val="16"/>
              </w:rPr>
              <w:t xml:space="preserve"> in the form of a test (allows for earning up to 40 points). If a student takes a make-up mid-term exam, the points from the regular mid-term exam are nullified.</w:t>
            </w:r>
          </w:p>
          <w:p w:rsidR="00A354B8" w:rsidRPr="00A354B8" w:rsidRDefault="00A354B8" w:rsidP="00A354B8">
            <w:pPr>
              <w:rPr>
                <w:rFonts w:ascii="Arial" w:eastAsia="Calibri" w:hAnsi="Arial" w:cs="Arial"/>
                <w:spacing w:val="-2"/>
                <w:sz w:val="16"/>
                <w:szCs w:val="16"/>
              </w:rPr>
            </w:pPr>
            <w:r w:rsidRPr="00A354B8">
              <w:rPr>
                <w:rFonts w:ascii="Arial" w:eastAsia="Calibri" w:hAnsi="Arial" w:cs="Arial"/>
                <w:b/>
                <w:spacing w:val="-2"/>
                <w:sz w:val="16"/>
                <w:szCs w:val="16"/>
              </w:rPr>
              <w:t>Practical training</w:t>
            </w:r>
            <w:r w:rsidRPr="00A354B8">
              <w:rPr>
                <w:rFonts w:ascii="Arial" w:eastAsia="Calibri" w:hAnsi="Arial" w:cs="Arial"/>
                <w:spacing w:val="-2"/>
                <w:sz w:val="16"/>
                <w:szCs w:val="16"/>
              </w:rPr>
              <w:t xml:space="preserve"> and seminar work with defense, worth up to 20 points (seminar activities take place during exercise classes). </w:t>
            </w:r>
          </w:p>
          <w:p w:rsidR="00A354B8" w:rsidRPr="00A354B8" w:rsidRDefault="00A354B8" w:rsidP="00A354B8">
            <w:pPr>
              <w:rPr>
                <w:rFonts w:ascii="Arial" w:eastAsia="Calibri" w:hAnsi="Arial" w:cs="Arial"/>
                <w:spacing w:val="-2"/>
                <w:sz w:val="16"/>
                <w:szCs w:val="16"/>
              </w:rPr>
            </w:pPr>
            <w:r w:rsidRPr="00A354B8">
              <w:rPr>
                <w:rFonts w:ascii="Arial" w:eastAsia="Calibri" w:hAnsi="Arial" w:cs="Arial"/>
                <w:b/>
                <w:spacing w:val="-2"/>
                <w:sz w:val="16"/>
                <w:szCs w:val="16"/>
              </w:rPr>
              <w:t>Final exam</w:t>
            </w:r>
            <w:r w:rsidRPr="00A354B8">
              <w:rPr>
                <w:rFonts w:ascii="Arial" w:eastAsia="Calibri" w:hAnsi="Arial" w:cs="Arial"/>
                <w:spacing w:val="-2"/>
                <w:sz w:val="16"/>
                <w:szCs w:val="16"/>
              </w:rPr>
              <w:t xml:space="preserve"> in the form of a test, allowing for up to 40 points.</w:t>
            </w:r>
          </w:p>
          <w:p w:rsidR="00494C78" w:rsidRPr="001B12CE" w:rsidRDefault="00A354B8" w:rsidP="00A354B8">
            <w:pPr>
              <w:rPr>
                <w:rFonts w:ascii="Arial" w:eastAsia="Calibri" w:hAnsi="Arial" w:cs="Arial"/>
                <w:spacing w:val="-2"/>
                <w:sz w:val="16"/>
                <w:szCs w:val="16"/>
              </w:rPr>
            </w:pPr>
            <w:r w:rsidRPr="00A354B8">
              <w:rPr>
                <w:rFonts w:ascii="Arial" w:eastAsia="Calibri" w:hAnsi="Arial" w:cs="Arial"/>
                <w:spacing w:val="-2"/>
                <w:sz w:val="16"/>
                <w:szCs w:val="16"/>
              </w:rPr>
              <w:t>A student passes the exam if they cumulatively score at least 50 points across all assessment methods, and the grade is determined according to the scheme outlined below.</w:t>
            </w:r>
            <w:r>
              <w:rPr>
                <w:rFonts w:ascii="Arial" w:eastAsia="Calibri" w:hAnsi="Arial" w:cs="Arial"/>
                <w:spacing w:val="-2"/>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1509"/>
              <w:gridCol w:w="1509"/>
              <w:gridCol w:w="1509"/>
              <w:gridCol w:w="1509"/>
              <w:gridCol w:w="1510"/>
            </w:tblGrid>
            <w:tr w:rsidR="00494C78" w:rsidRPr="001B12CE" w:rsidTr="006855B2">
              <w:tc>
                <w:tcPr>
                  <w:tcW w:w="1509" w:type="dxa"/>
                  <w:tcBorders>
                    <w:top w:val="single" w:sz="4" w:space="0" w:color="auto"/>
                    <w:left w:val="single" w:sz="4" w:space="0" w:color="auto"/>
                    <w:bottom w:val="single" w:sz="4" w:space="0" w:color="auto"/>
                    <w:right w:val="single" w:sz="4" w:space="0" w:color="auto"/>
                  </w:tcBorders>
                </w:tcPr>
                <w:p w:rsidR="00494C78" w:rsidRPr="001B12CE" w:rsidRDefault="00F01AAA" w:rsidP="006855B2">
                  <w:pPr>
                    <w:rPr>
                      <w:rFonts w:ascii="Arial" w:hAnsi="Arial" w:cs="Arial"/>
                      <w:b/>
                      <w:iCs/>
                      <w:color w:val="000000"/>
                      <w:sz w:val="16"/>
                      <w:szCs w:val="16"/>
                      <w:lang w:val="sr-Latn-CS"/>
                    </w:rPr>
                  </w:pPr>
                  <w:r>
                    <w:rPr>
                      <w:rFonts w:ascii="Arial" w:hAnsi="Arial" w:cs="Arial"/>
                      <w:b/>
                      <w:iCs/>
                      <w:color w:val="000000"/>
                      <w:sz w:val="16"/>
                      <w:szCs w:val="16"/>
                      <w:lang w:val="sr-Latn-CS"/>
                    </w:rPr>
                    <w:t>No. of points</w:t>
                  </w:r>
                </w:p>
              </w:tc>
              <w:tc>
                <w:tcPr>
                  <w:tcW w:w="1509" w:type="dxa"/>
                  <w:tcBorders>
                    <w:top w:val="single" w:sz="4" w:space="0" w:color="auto"/>
                    <w:left w:val="single" w:sz="4" w:space="0" w:color="auto"/>
                    <w:bottom w:val="single" w:sz="4" w:space="0" w:color="auto"/>
                    <w:right w:val="single" w:sz="4" w:space="0" w:color="auto"/>
                  </w:tcBorders>
                </w:tcPr>
                <w:p w:rsidR="00494C78" w:rsidRPr="001B12CE" w:rsidRDefault="00494C78" w:rsidP="006855B2">
                  <w:pPr>
                    <w:jc w:val="center"/>
                    <w:rPr>
                      <w:rFonts w:ascii="Arial" w:hAnsi="Arial" w:cs="Arial"/>
                      <w:b/>
                      <w:iCs/>
                      <w:color w:val="000000"/>
                      <w:sz w:val="16"/>
                      <w:szCs w:val="16"/>
                      <w:lang w:val="sr-Latn-CS"/>
                    </w:rPr>
                  </w:pPr>
                  <w:r w:rsidRPr="001B12CE">
                    <w:rPr>
                      <w:rFonts w:ascii="Arial" w:hAnsi="Arial" w:cs="Arial"/>
                      <w:b/>
                      <w:iCs/>
                      <w:color w:val="000000"/>
                      <w:sz w:val="16"/>
                      <w:szCs w:val="16"/>
                      <w:lang w:val="sr-Latn-CS"/>
                    </w:rPr>
                    <w:t>90 - 100</w:t>
                  </w:r>
                </w:p>
              </w:tc>
              <w:tc>
                <w:tcPr>
                  <w:tcW w:w="1509" w:type="dxa"/>
                  <w:tcBorders>
                    <w:top w:val="single" w:sz="4" w:space="0" w:color="auto"/>
                    <w:left w:val="single" w:sz="4" w:space="0" w:color="auto"/>
                    <w:bottom w:val="single" w:sz="4" w:space="0" w:color="auto"/>
                    <w:right w:val="single" w:sz="4" w:space="0" w:color="auto"/>
                  </w:tcBorders>
                </w:tcPr>
                <w:p w:rsidR="00494C78" w:rsidRPr="001B12CE" w:rsidRDefault="00494C78" w:rsidP="006855B2">
                  <w:pPr>
                    <w:jc w:val="center"/>
                    <w:rPr>
                      <w:rFonts w:ascii="Arial" w:hAnsi="Arial" w:cs="Arial"/>
                      <w:b/>
                      <w:iCs/>
                      <w:color w:val="000000"/>
                      <w:sz w:val="16"/>
                      <w:szCs w:val="16"/>
                      <w:lang w:val="sr-Latn-CS"/>
                    </w:rPr>
                  </w:pPr>
                  <w:r w:rsidRPr="001B12CE">
                    <w:rPr>
                      <w:rFonts w:ascii="Arial" w:hAnsi="Arial" w:cs="Arial"/>
                      <w:b/>
                      <w:iCs/>
                      <w:color w:val="000000"/>
                      <w:sz w:val="16"/>
                      <w:szCs w:val="16"/>
                      <w:lang w:val="sr-Latn-CS"/>
                    </w:rPr>
                    <w:t>89 - 80</w:t>
                  </w:r>
                </w:p>
              </w:tc>
              <w:tc>
                <w:tcPr>
                  <w:tcW w:w="1509" w:type="dxa"/>
                  <w:tcBorders>
                    <w:top w:val="single" w:sz="4" w:space="0" w:color="auto"/>
                    <w:left w:val="single" w:sz="4" w:space="0" w:color="auto"/>
                    <w:bottom w:val="single" w:sz="4" w:space="0" w:color="auto"/>
                    <w:right w:val="single" w:sz="4" w:space="0" w:color="auto"/>
                  </w:tcBorders>
                </w:tcPr>
                <w:p w:rsidR="00494C78" w:rsidRPr="001B12CE" w:rsidRDefault="00494C78" w:rsidP="006855B2">
                  <w:pPr>
                    <w:jc w:val="center"/>
                    <w:rPr>
                      <w:rFonts w:ascii="Arial" w:hAnsi="Arial" w:cs="Arial"/>
                      <w:b/>
                      <w:iCs/>
                      <w:color w:val="000000"/>
                      <w:sz w:val="16"/>
                      <w:szCs w:val="16"/>
                      <w:lang w:val="sr-Latn-CS"/>
                    </w:rPr>
                  </w:pPr>
                  <w:r w:rsidRPr="001B12CE">
                    <w:rPr>
                      <w:rFonts w:ascii="Arial" w:hAnsi="Arial" w:cs="Arial"/>
                      <w:b/>
                      <w:iCs/>
                      <w:color w:val="000000"/>
                      <w:sz w:val="16"/>
                      <w:szCs w:val="16"/>
                      <w:lang w:val="sr-Latn-CS"/>
                    </w:rPr>
                    <w:t>79 - 70</w:t>
                  </w:r>
                </w:p>
              </w:tc>
              <w:tc>
                <w:tcPr>
                  <w:tcW w:w="1509" w:type="dxa"/>
                  <w:tcBorders>
                    <w:top w:val="single" w:sz="4" w:space="0" w:color="auto"/>
                    <w:left w:val="single" w:sz="4" w:space="0" w:color="auto"/>
                    <w:bottom w:val="single" w:sz="4" w:space="0" w:color="auto"/>
                    <w:right w:val="single" w:sz="4" w:space="0" w:color="auto"/>
                  </w:tcBorders>
                </w:tcPr>
                <w:p w:rsidR="00494C78" w:rsidRPr="001B12CE" w:rsidRDefault="00494C78" w:rsidP="006855B2">
                  <w:pPr>
                    <w:jc w:val="center"/>
                    <w:rPr>
                      <w:rFonts w:ascii="Arial" w:hAnsi="Arial" w:cs="Arial"/>
                      <w:b/>
                      <w:iCs/>
                      <w:color w:val="000000"/>
                      <w:sz w:val="16"/>
                      <w:szCs w:val="16"/>
                      <w:lang w:val="sr-Latn-CS"/>
                    </w:rPr>
                  </w:pPr>
                  <w:r w:rsidRPr="001B12CE">
                    <w:rPr>
                      <w:rFonts w:ascii="Arial" w:hAnsi="Arial" w:cs="Arial"/>
                      <w:b/>
                      <w:iCs/>
                      <w:color w:val="000000"/>
                      <w:sz w:val="16"/>
                      <w:szCs w:val="16"/>
                      <w:lang w:val="sr-Latn-CS"/>
                    </w:rPr>
                    <w:t>69 - 60</w:t>
                  </w:r>
                </w:p>
              </w:tc>
              <w:tc>
                <w:tcPr>
                  <w:tcW w:w="1510" w:type="dxa"/>
                  <w:tcBorders>
                    <w:top w:val="single" w:sz="4" w:space="0" w:color="auto"/>
                    <w:left w:val="single" w:sz="4" w:space="0" w:color="auto"/>
                    <w:bottom w:val="single" w:sz="4" w:space="0" w:color="auto"/>
                    <w:right w:val="single" w:sz="4" w:space="0" w:color="auto"/>
                  </w:tcBorders>
                </w:tcPr>
                <w:p w:rsidR="00494C78" w:rsidRPr="001B12CE" w:rsidRDefault="00494C78" w:rsidP="006855B2">
                  <w:pPr>
                    <w:jc w:val="center"/>
                    <w:rPr>
                      <w:rFonts w:ascii="Arial" w:hAnsi="Arial" w:cs="Arial"/>
                      <w:b/>
                      <w:iCs/>
                      <w:color w:val="000000"/>
                      <w:sz w:val="16"/>
                      <w:szCs w:val="16"/>
                      <w:lang w:val="sr-Latn-CS"/>
                    </w:rPr>
                  </w:pPr>
                  <w:r w:rsidRPr="001B12CE">
                    <w:rPr>
                      <w:rFonts w:ascii="Arial" w:hAnsi="Arial" w:cs="Arial"/>
                      <w:b/>
                      <w:iCs/>
                      <w:color w:val="000000"/>
                      <w:sz w:val="16"/>
                      <w:szCs w:val="16"/>
                      <w:lang w:val="sr-Latn-CS"/>
                    </w:rPr>
                    <w:t>59 – 50</w:t>
                  </w:r>
                </w:p>
              </w:tc>
            </w:tr>
            <w:tr w:rsidR="00494C78" w:rsidRPr="001B12CE" w:rsidTr="006855B2">
              <w:tc>
                <w:tcPr>
                  <w:tcW w:w="1509" w:type="dxa"/>
                  <w:tcBorders>
                    <w:top w:val="single" w:sz="4" w:space="0" w:color="auto"/>
                    <w:left w:val="single" w:sz="4" w:space="0" w:color="auto"/>
                    <w:bottom w:val="single" w:sz="4" w:space="0" w:color="auto"/>
                    <w:right w:val="single" w:sz="4" w:space="0" w:color="auto"/>
                  </w:tcBorders>
                </w:tcPr>
                <w:p w:rsidR="00494C78" w:rsidRPr="001B12CE" w:rsidRDefault="00F01AAA" w:rsidP="006855B2">
                  <w:pPr>
                    <w:rPr>
                      <w:rFonts w:ascii="Arial" w:hAnsi="Arial" w:cs="Arial"/>
                      <w:b/>
                      <w:iCs/>
                      <w:color w:val="000000"/>
                      <w:sz w:val="16"/>
                      <w:szCs w:val="16"/>
                      <w:lang w:val="sr-Latn-CS"/>
                    </w:rPr>
                  </w:pPr>
                  <w:r>
                    <w:rPr>
                      <w:rFonts w:ascii="Arial" w:hAnsi="Arial" w:cs="Arial"/>
                      <w:b/>
                      <w:iCs/>
                      <w:color w:val="000000"/>
                      <w:sz w:val="16"/>
                      <w:szCs w:val="16"/>
                      <w:lang w:val="sr-Latn-CS"/>
                    </w:rPr>
                    <w:t>Grade</w:t>
                  </w:r>
                </w:p>
              </w:tc>
              <w:tc>
                <w:tcPr>
                  <w:tcW w:w="1509" w:type="dxa"/>
                  <w:tcBorders>
                    <w:top w:val="single" w:sz="4" w:space="0" w:color="auto"/>
                    <w:left w:val="single" w:sz="4" w:space="0" w:color="auto"/>
                    <w:bottom w:val="single" w:sz="4" w:space="0" w:color="auto"/>
                    <w:right w:val="single" w:sz="4" w:space="0" w:color="auto"/>
                  </w:tcBorders>
                </w:tcPr>
                <w:p w:rsidR="00494C78" w:rsidRPr="001B12CE" w:rsidRDefault="00494C78" w:rsidP="006855B2">
                  <w:pPr>
                    <w:jc w:val="center"/>
                    <w:rPr>
                      <w:rFonts w:ascii="Arial" w:hAnsi="Arial" w:cs="Arial"/>
                      <w:b/>
                      <w:iCs/>
                      <w:color w:val="000000"/>
                      <w:sz w:val="16"/>
                      <w:szCs w:val="16"/>
                      <w:lang w:val="sr-Latn-CS"/>
                    </w:rPr>
                  </w:pPr>
                  <w:r w:rsidRPr="001B12CE">
                    <w:rPr>
                      <w:rFonts w:ascii="Arial" w:hAnsi="Arial" w:cs="Arial"/>
                      <w:b/>
                      <w:iCs/>
                      <w:color w:val="000000"/>
                      <w:sz w:val="16"/>
                      <w:szCs w:val="16"/>
                      <w:lang w:val="sr-Latn-CS"/>
                    </w:rPr>
                    <w:t>A</w:t>
                  </w:r>
                </w:p>
              </w:tc>
              <w:tc>
                <w:tcPr>
                  <w:tcW w:w="1509" w:type="dxa"/>
                  <w:tcBorders>
                    <w:top w:val="single" w:sz="4" w:space="0" w:color="auto"/>
                    <w:left w:val="single" w:sz="4" w:space="0" w:color="auto"/>
                    <w:bottom w:val="single" w:sz="4" w:space="0" w:color="auto"/>
                    <w:right w:val="single" w:sz="4" w:space="0" w:color="auto"/>
                  </w:tcBorders>
                </w:tcPr>
                <w:p w:rsidR="00494C78" w:rsidRPr="001B12CE" w:rsidRDefault="00494C78" w:rsidP="006855B2">
                  <w:pPr>
                    <w:jc w:val="center"/>
                    <w:rPr>
                      <w:rFonts w:ascii="Arial" w:hAnsi="Arial" w:cs="Arial"/>
                      <w:b/>
                      <w:iCs/>
                      <w:color w:val="000000"/>
                      <w:sz w:val="16"/>
                      <w:szCs w:val="16"/>
                      <w:lang w:val="sr-Latn-CS"/>
                    </w:rPr>
                  </w:pPr>
                  <w:r w:rsidRPr="001B12CE">
                    <w:rPr>
                      <w:rFonts w:ascii="Arial" w:hAnsi="Arial" w:cs="Arial"/>
                      <w:b/>
                      <w:iCs/>
                      <w:color w:val="000000"/>
                      <w:sz w:val="16"/>
                      <w:szCs w:val="16"/>
                      <w:lang w:val="sr-Latn-CS"/>
                    </w:rPr>
                    <w:t>B</w:t>
                  </w:r>
                </w:p>
              </w:tc>
              <w:tc>
                <w:tcPr>
                  <w:tcW w:w="1509" w:type="dxa"/>
                  <w:tcBorders>
                    <w:top w:val="single" w:sz="4" w:space="0" w:color="auto"/>
                    <w:left w:val="single" w:sz="4" w:space="0" w:color="auto"/>
                    <w:bottom w:val="single" w:sz="4" w:space="0" w:color="auto"/>
                    <w:right w:val="single" w:sz="4" w:space="0" w:color="auto"/>
                  </w:tcBorders>
                </w:tcPr>
                <w:p w:rsidR="00494C78" w:rsidRPr="001B12CE" w:rsidRDefault="00494C78" w:rsidP="006855B2">
                  <w:pPr>
                    <w:jc w:val="center"/>
                    <w:rPr>
                      <w:rFonts w:ascii="Arial" w:hAnsi="Arial" w:cs="Arial"/>
                      <w:b/>
                      <w:iCs/>
                      <w:color w:val="000000"/>
                      <w:sz w:val="16"/>
                      <w:szCs w:val="16"/>
                      <w:lang w:val="sr-Latn-CS"/>
                    </w:rPr>
                  </w:pPr>
                  <w:r w:rsidRPr="001B12CE">
                    <w:rPr>
                      <w:rFonts w:ascii="Arial" w:hAnsi="Arial" w:cs="Arial"/>
                      <w:b/>
                      <w:iCs/>
                      <w:color w:val="000000"/>
                      <w:sz w:val="16"/>
                      <w:szCs w:val="16"/>
                      <w:lang w:val="sr-Latn-CS"/>
                    </w:rPr>
                    <w:t>C</w:t>
                  </w:r>
                </w:p>
              </w:tc>
              <w:tc>
                <w:tcPr>
                  <w:tcW w:w="1509" w:type="dxa"/>
                  <w:tcBorders>
                    <w:top w:val="single" w:sz="4" w:space="0" w:color="auto"/>
                    <w:left w:val="single" w:sz="4" w:space="0" w:color="auto"/>
                    <w:bottom w:val="single" w:sz="4" w:space="0" w:color="auto"/>
                    <w:right w:val="single" w:sz="4" w:space="0" w:color="auto"/>
                  </w:tcBorders>
                </w:tcPr>
                <w:p w:rsidR="00494C78" w:rsidRPr="001B12CE" w:rsidRDefault="00494C78" w:rsidP="006855B2">
                  <w:pPr>
                    <w:jc w:val="center"/>
                    <w:rPr>
                      <w:rFonts w:ascii="Arial" w:hAnsi="Arial" w:cs="Arial"/>
                      <w:b/>
                      <w:iCs/>
                      <w:color w:val="000000"/>
                      <w:sz w:val="16"/>
                      <w:szCs w:val="16"/>
                      <w:lang w:val="sr-Latn-CS"/>
                    </w:rPr>
                  </w:pPr>
                  <w:r w:rsidRPr="001B12CE">
                    <w:rPr>
                      <w:rFonts w:ascii="Arial" w:hAnsi="Arial" w:cs="Arial"/>
                      <w:b/>
                      <w:iCs/>
                      <w:color w:val="000000"/>
                      <w:sz w:val="16"/>
                      <w:szCs w:val="16"/>
                      <w:lang w:val="sr-Latn-CS"/>
                    </w:rPr>
                    <w:t>D</w:t>
                  </w:r>
                </w:p>
              </w:tc>
              <w:tc>
                <w:tcPr>
                  <w:tcW w:w="1510" w:type="dxa"/>
                  <w:tcBorders>
                    <w:top w:val="single" w:sz="4" w:space="0" w:color="auto"/>
                    <w:left w:val="single" w:sz="4" w:space="0" w:color="auto"/>
                    <w:bottom w:val="single" w:sz="4" w:space="0" w:color="auto"/>
                    <w:right w:val="single" w:sz="4" w:space="0" w:color="auto"/>
                  </w:tcBorders>
                </w:tcPr>
                <w:p w:rsidR="00494C78" w:rsidRPr="001B12CE" w:rsidRDefault="00494C78" w:rsidP="006855B2">
                  <w:pPr>
                    <w:jc w:val="center"/>
                    <w:rPr>
                      <w:rFonts w:ascii="Arial" w:hAnsi="Arial" w:cs="Arial"/>
                      <w:b/>
                      <w:iCs/>
                      <w:color w:val="000000"/>
                      <w:sz w:val="16"/>
                      <w:szCs w:val="16"/>
                      <w:lang w:val="sr-Latn-CS"/>
                    </w:rPr>
                  </w:pPr>
                  <w:r w:rsidRPr="001B12CE">
                    <w:rPr>
                      <w:rFonts w:ascii="Arial" w:hAnsi="Arial" w:cs="Arial"/>
                      <w:b/>
                      <w:iCs/>
                      <w:color w:val="000000"/>
                      <w:sz w:val="16"/>
                      <w:szCs w:val="16"/>
                      <w:lang w:val="sr-Latn-CS"/>
                    </w:rPr>
                    <w:t>E</w:t>
                  </w:r>
                </w:p>
              </w:tc>
            </w:tr>
          </w:tbl>
          <w:p w:rsidR="00494C78" w:rsidRPr="001B12CE" w:rsidRDefault="00494C78" w:rsidP="006855B2">
            <w:pPr>
              <w:rPr>
                <w:rFonts w:ascii="Arial" w:eastAsia="Calibri" w:hAnsi="Arial" w:cs="Arial"/>
                <w:b/>
                <w:i/>
                <w:iCs/>
                <w:sz w:val="16"/>
                <w:szCs w:val="16"/>
              </w:rPr>
            </w:pPr>
          </w:p>
        </w:tc>
      </w:tr>
      <w:tr w:rsidR="00494C78" w:rsidRPr="001B12CE" w:rsidTr="006855B2">
        <w:trPr>
          <w:trHeight w:val="62"/>
        </w:trPr>
        <w:tc>
          <w:tcPr>
            <w:tcW w:w="10031" w:type="dxa"/>
            <w:gridSpan w:val="7"/>
            <w:shd w:val="clear" w:color="auto" w:fill="auto"/>
          </w:tcPr>
          <w:p w:rsidR="00494C78" w:rsidRPr="001B12CE" w:rsidRDefault="00F01AAA" w:rsidP="006855B2">
            <w:pPr>
              <w:rPr>
                <w:rFonts w:ascii="Arial" w:eastAsia="Calibri" w:hAnsi="Arial" w:cs="Arial"/>
                <w:iCs/>
                <w:sz w:val="16"/>
                <w:szCs w:val="16"/>
              </w:rPr>
            </w:pPr>
            <w:r w:rsidRPr="00F01AAA">
              <w:rPr>
                <w:rFonts w:ascii="Arial" w:eastAsia="Calibri" w:hAnsi="Arial" w:cs="Arial"/>
                <w:b/>
                <w:bCs/>
                <w:i/>
                <w:iCs/>
                <w:sz w:val="16"/>
                <w:szCs w:val="16"/>
              </w:rPr>
              <w:t>Special indication for the subject:</w:t>
            </w:r>
          </w:p>
        </w:tc>
      </w:tr>
      <w:tr w:rsidR="00494C78" w:rsidRPr="001B12CE" w:rsidTr="006855B2">
        <w:trPr>
          <w:trHeight w:val="157"/>
        </w:trPr>
        <w:tc>
          <w:tcPr>
            <w:tcW w:w="10031" w:type="dxa"/>
            <w:gridSpan w:val="7"/>
            <w:shd w:val="clear" w:color="auto" w:fill="auto"/>
          </w:tcPr>
          <w:p w:rsidR="00494C78" w:rsidRPr="001B12CE" w:rsidRDefault="00F01AAA" w:rsidP="006855B2">
            <w:pPr>
              <w:rPr>
                <w:rFonts w:ascii="Arial" w:eastAsia="Calibri" w:hAnsi="Arial" w:cs="Arial"/>
                <w:b/>
                <w:bCs/>
                <w:i/>
                <w:iCs/>
                <w:sz w:val="16"/>
                <w:szCs w:val="16"/>
              </w:rPr>
            </w:pPr>
            <w:r w:rsidRPr="00F01AAA">
              <w:rPr>
                <w:rFonts w:ascii="Arial" w:eastAsia="Calibri" w:hAnsi="Arial" w:cs="Arial"/>
                <w:b/>
                <w:bCs/>
                <w:i/>
                <w:iCs/>
                <w:sz w:val="16"/>
                <w:szCs w:val="16"/>
              </w:rPr>
              <w:t xml:space="preserve">Name and surname of the teacher who prepared the data: Prof. Dr. </w:t>
            </w:r>
            <w:proofErr w:type="spellStart"/>
            <w:r w:rsidRPr="00F01AAA">
              <w:rPr>
                <w:rFonts w:ascii="Arial" w:eastAsia="Calibri" w:hAnsi="Arial" w:cs="Arial"/>
                <w:b/>
                <w:bCs/>
                <w:i/>
                <w:iCs/>
                <w:sz w:val="16"/>
                <w:szCs w:val="16"/>
              </w:rPr>
              <w:t>Dražen</w:t>
            </w:r>
            <w:proofErr w:type="spellEnd"/>
            <w:r w:rsidRPr="00F01AAA">
              <w:rPr>
                <w:rFonts w:ascii="Arial" w:eastAsia="Calibri" w:hAnsi="Arial" w:cs="Arial"/>
                <w:b/>
                <w:bCs/>
                <w:i/>
                <w:iCs/>
                <w:sz w:val="16"/>
                <w:szCs w:val="16"/>
              </w:rPr>
              <w:t xml:space="preserve"> </w:t>
            </w:r>
            <w:proofErr w:type="spellStart"/>
            <w:r w:rsidRPr="00F01AAA">
              <w:rPr>
                <w:rFonts w:ascii="Arial" w:eastAsia="Calibri" w:hAnsi="Arial" w:cs="Arial"/>
                <w:b/>
                <w:bCs/>
                <w:i/>
                <w:iCs/>
                <w:sz w:val="16"/>
                <w:szCs w:val="16"/>
              </w:rPr>
              <w:t>Cerović</w:t>
            </w:r>
            <w:proofErr w:type="spellEnd"/>
          </w:p>
        </w:tc>
      </w:tr>
      <w:tr w:rsidR="00494C78" w:rsidRPr="001B12CE" w:rsidTr="006855B2">
        <w:trPr>
          <w:trHeight w:val="157"/>
        </w:trPr>
        <w:tc>
          <w:tcPr>
            <w:tcW w:w="10031" w:type="dxa"/>
            <w:gridSpan w:val="7"/>
            <w:shd w:val="clear" w:color="auto" w:fill="auto"/>
          </w:tcPr>
          <w:p w:rsidR="00494C78" w:rsidRPr="001B12CE" w:rsidRDefault="00F01AAA" w:rsidP="00F01AAA">
            <w:pPr>
              <w:rPr>
                <w:rFonts w:ascii="Arial" w:eastAsia="Calibri" w:hAnsi="Arial" w:cs="Arial"/>
                <w:b/>
                <w:bCs/>
                <w:i/>
                <w:iCs/>
                <w:sz w:val="16"/>
                <w:szCs w:val="16"/>
                <w:u w:val="single"/>
              </w:rPr>
            </w:pPr>
            <w:r>
              <w:rPr>
                <w:rFonts w:ascii="Arial" w:eastAsia="Calibri" w:hAnsi="Arial" w:cs="Arial"/>
                <w:b/>
                <w:bCs/>
                <w:i/>
                <w:iCs/>
                <w:sz w:val="16"/>
                <w:szCs w:val="16"/>
              </w:rPr>
              <w:t>Note</w:t>
            </w:r>
            <w:r w:rsidR="00494C78" w:rsidRPr="001B12CE">
              <w:rPr>
                <w:rFonts w:ascii="Arial" w:eastAsia="Calibri" w:hAnsi="Arial" w:cs="Arial"/>
                <w:b/>
                <w:bCs/>
                <w:i/>
                <w:iCs/>
                <w:sz w:val="16"/>
                <w:szCs w:val="16"/>
              </w:rPr>
              <w:t xml:space="preserve">:      </w:t>
            </w:r>
            <w:r>
              <w:rPr>
                <w:rFonts w:ascii="Arial" w:eastAsia="Calibri" w:hAnsi="Arial" w:cs="Arial"/>
                <w:b/>
                <w:bCs/>
                <w:i/>
                <w:iCs/>
                <w:sz w:val="16"/>
                <w:szCs w:val="16"/>
              </w:rPr>
              <w:t>Additional information on the Subject on</w:t>
            </w:r>
            <w:r w:rsidR="00494C78" w:rsidRPr="001B12CE">
              <w:rPr>
                <w:rFonts w:ascii="Arial" w:eastAsia="Calibri" w:hAnsi="Arial" w:cs="Arial"/>
                <w:b/>
                <w:bCs/>
                <w:i/>
                <w:iCs/>
                <w:sz w:val="16"/>
                <w:szCs w:val="16"/>
              </w:rPr>
              <w:t xml:space="preserve"> </w:t>
            </w:r>
            <w:hyperlink r:id="rId7" w:history="1">
              <w:r w:rsidR="00E03023" w:rsidRPr="0081588A">
                <w:rPr>
                  <w:rStyle w:val="Hyperlink"/>
                  <w:rFonts w:ascii="Arial" w:eastAsia="Calibri" w:hAnsi="Arial" w:cs="Arial"/>
                  <w:b/>
                  <w:bCs/>
                  <w:i/>
                  <w:iCs/>
                  <w:sz w:val="16"/>
                  <w:szCs w:val="16"/>
                </w:rPr>
                <w:t>www.pravni.ucg.ac.me</w:t>
              </w:r>
            </w:hyperlink>
            <w:r w:rsidR="00E03023">
              <w:rPr>
                <w:rFonts w:ascii="Arial" w:eastAsia="Calibri" w:hAnsi="Arial" w:cs="Arial"/>
                <w:b/>
                <w:bCs/>
                <w:i/>
                <w:iCs/>
                <w:sz w:val="16"/>
                <w:szCs w:val="16"/>
                <w:u w:val="single"/>
              </w:rPr>
              <w:t xml:space="preserve"> </w:t>
            </w:r>
            <w:r>
              <w:rPr>
                <w:rFonts w:ascii="Arial" w:eastAsia="Calibri" w:hAnsi="Arial" w:cs="Arial"/>
                <w:b/>
                <w:bCs/>
                <w:i/>
                <w:iCs/>
                <w:sz w:val="16"/>
                <w:szCs w:val="16"/>
                <w:u w:val="single"/>
              </w:rPr>
              <w:t>and</w:t>
            </w:r>
            <w:r w:rsidR="00494C78" w:rsidRPr="001B12CE">
              <w:rPr>
                <w:rFonts w:ascii="Arial" w:eastAsia="Calibri" w:hAnsi="Arial" w:cs="Arial"/>
                <w:b/>
                <w:bCs/>
                <w:i/>
                <w:iCs/>
                <w:sz w:val="16"/>
                <w:szCs w:val="16"/>
                <w:u w:val="single"/>
              </w:rPr>
              <w:t xml:space="preserve"> </w:t>
            </w:r>
            <w:hyperlink r:id="rId8" w:history="1">
              <w:r w:rsidR="00494C78" w:rsidRPr="001B12CE">
                <w:rPr>
                  <w:rStyle w:val="Hyperlink"/>
                  <w:rFonts w:ascii="Arial" w:eastAsia="Calibri" w:hAnsi="Arial" w:cs="Arial"/>
                  <w:b/>
                  <w:bCs/>
                  <w:i/>
                  <w:iCs/>
                  <w:sz w:val="16"/>
                  <w:szCs w:val="16"/>
                </w:rPr>
                <w:t>www.drazencerovic.me</w:t>
              </w:r>
            </w:hyperlink>
          </w:p>
        </w:tc>
      </w:tr>
    </w:tbl>
    <w:p w:rsidR="00FE448E" w:rsidRDefault="00FE448E"/>
    <w:sectPr w:rsidR="00FE4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2B65"/>
    <w:multiLevelType w:val="hybridMultilevel"/>
    <w:tmpl w:val="169E2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99668B"/>
    <w:multiLevelType w:val="hybridMultilevel"/>
    <w:tmpl w:val="46A2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78"/>
    <w:rsid w:val="00494C78"/>
    <w:rsid w:val="005A3691"/>
    <w:rsid w:val="006C5E9D"/>
    <w:rsid w:val="00A354B8"/>
    <w:rsid w:val="00B36ADE"/>
    <w:rsid w:val="00BC0578"/>
    <w:rsid w:val="00E03023"/>
    <w:rsid w:val="00F01AAA"/>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D2287-5C53-4F03-92A0-9CF8C600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C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94C78"/>
    <w:rPr>
      <w:color w:val="0000FF"/>
      <w:u w:val="single"/>
    </w:rPr>
  </w:style>
  <w:style w:type="paragraph" w:styleId="ListParagraph">
    <w:name w:val="List Paragraph"/>
    <w:basedOn w:val="Normal"/>
    <w:uiPriority w:val="34"/>
    <w:qFormat/>
    <w:rsid w:val="00E03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462566">
      <w:bodyDiv w:val="1"/>
      <w:marLeft w:val="0"/>
      <w:marRight w:val="0"/>
      <w:marTop w:val="0"/>
      <w:marBottom w:val="0"/>
      <w:divBdr>
        <w:top w:val="none" w:sz="0" w:space="0" w:color="auto"/>
        <w:left w:val="none" w:sz="0" w:space="0" w:color="auto"/>
        <w:bottom w:val="none" w:sz="0" w:space="0" w:color="auto"/>
        <w:right w:val="none" w:sz="0" w:space="0" w:color="auto"/>
      </w:divBdr>
      <w:divsChild>
        <w:div w:id="821000097">
          <w:marLeft w:val="0"/>
          <w:marRight w:val="0"/>
          <w:marTop w:val="0"/>
          <w:marBottom w:val="0"/>
          <w:divBdr>
            <w:top w:val="single" w:sz="2" w:space="0" w:color="auto"/>
            <w:left w:val="single" w:sz="2" w:space="0" w:color="auto"/>
            <w:bottom w:val="single" w:sz="6" w:space="0" w:color="auto"/>
            <w:right w:val="single" w:sz="2" w:space="0" w:color="auto"/>
          </w:divBdr>
          <w:divsChild>
            <w:div w:id="1772823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819960366">
                  <w:marLeft w:val="0"/>
                  <w:marRight w:val="0"/>
                  <w:marTop w:val="0"/>
                  <w:marBottom w:val="0"/>
                  <w:divBdr>
                    <w:top w:val="single" w:sz="2" w:space="0" w:color="D9D9E3"/>
                    <w:left w:val="single" w:sz="2" w:space="0" w:color="D9D9E3"/>
                    <w:bottom w:val="single" w:sz="2" w:space="0" w:color="D9D9E3"/>
                    <w:right w:val="single" w:sz="2" w:space="0" w:color="D9D9E3"/>
                  </w:divBdr>
                  <w:divsChild>
                    <w:div w:id="1744988687">
                      <w:marLeft w:val="0"/>
                      <w:marRight w:val="0"/>
                      <w:marTop w:val="0"/>
                      <w:marBottom w:val="0"/>
                      <w:divBdr>
                        <w:top w:val="single" w:sz="2" w:space="0" w:color="D9D9E3"/>
                        <w:left w:val="single" w:sz="2" w:space="0" w:color="D9D9E3"/>
                        <w:bottom w:val="single" w:sz="2" w:space="0" w:color="D9D9E3"/>
                        <w:right w:val="single" w:sz="2" w:space="0" w:color="D9D9E3"/>
                      </w:divBdr>
                      <w:divsChild>
                        <w:div w:id="1707828998">
                          <w:marLeft w:val="0"/>
                          <w:marRight w:val="0"/>
                          <w:marTop w:val="0"/>
                          <w:marBottom w:val="0"/>
                          <w:divBdr>
                            <w:top w:val="single" w:sz="2" w:space="0" w:color="D9D9E3"/>
                            <w:left w:val="single" w:sz="2" w:space="0" w:color="D9D9E3"/>
                            <w:bottom w:val="single" w:sz="2" w:space="0" w:color="D9D9E3"/>
                            <w:right w:val="single" w:sz="2" w:space="0" w:color="D9D9E3"/>
                          </w:divBdr>
                          <w:divsChild>
                            <w:div w:id="1273174694">
                              <w:marLeft w:val="0"/>
                              <w:marRight w:val="0"/>
                              <w:marTop w:val="0"/>
                              <w:marBottom w:val="0"/>
                              <w:divBdr>
                                <w:top w:val="single" w:sz="2" w:space="0" w:color="D9D9E3"/>
                                <w:left w:val="single" w:sz="2" w:space="0" w:color="D9D9E3"/>
                                <w:bottom w:val="single" w:sz="2" w:space="0" w:color="D9D9E3"/>
                                <w:right w:val="single" w:sz="2" w:space="0" w:color="D9D9E3"/>
                              </w:divBdr>
                              <w:divsChild>
                                <w:div w:id="107045023">
                                  <w:marLeft w:val="0"/>
                                  <w:marRight w:val="0"/>
                                  <w:marTop w:val="0"/>
                                  <w:marBottom w:val="0"/>
                                  <w:divBdr>
                                    <w:top w:val="single" w:sz="2" w:space="0" w:color="D9D9E3"/>
                                    <w:left w:val="single" w:sz="2" w:space="0" w:color="D9D9E3"/>
                                    <w:bottom w:val="single" w:sz="2" w:space="0" w:color="D9D9E3"/>
                                    <w:right w:val="single" w:sz="2" w:space="0" w:color="D9D9E3"/>
                                  </w:divBdr>
                                  <w:divsChild>
                                    <w:div w:id="108097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zencerovic.me" TargetMode="External"/><Relationship Id="rId3" Type="http://schemas.openxmlformats.org/officeDocument/2006/relationships/settings" Target="settings.xml"/><Relationship Id="rId7" Type="http://schemas.openxmlformats.org/officeDocument/2006/relationships/hyperlink" Target="http://www.pravni.ucg.ac.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s.bg.ac.rs" TargetMode="External"/><Relationship Id="rId5" Type="http://schemas.openxmlformats.org/officeDocument/2006/relationships/hyperlink" Target="http://www.ii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savom</dc:creator>
  <cp:keywords/>
  <dc:description/>
  <cp:lastModifiedBy>Savo</cp:lastModifiedBy>
  <cp:revision>2</cp:revision>
  <dcterms:created xsi:type="dcterms:W3CDTF">2023-11-12T18:56:00Z</dcterms:created>
  <dcterms:modified xsi:type="dcterms:W3CDTF">2023-11-12T18:56:00Z</dcterms:modified>
</cp:coreProperties>
</file>