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575"/>
        <w:gridCol w:w="666"/>
        <w:gridCol w:w="1334"/>
        <w:gridCol w:w="33"/>
        <w:gridCol w:w="1084"/>
        <w:gridCol w:w="1926"/>
        <w:gridCol w:w="1972"/>
      </w:tblGrid>
      <w:tr w:rsidR="00195FB3" w:rsidRPr="003D5622" w:rsidTr="006F4F3A">
        <w:trPr>
          <w:trHeight w:val="359"/>
          <w:jc w:val="center"/>
        </w:trPr>
        <w:tc>
          <w:tcPr>
            <w:tcW w:w="2090" w:type="pct"/>
            <w:gridSpan w:val="5"/>
            <w:tcBorders>
              <w:left w:val="thinThickSmallGap" w:sz="12" w:space="0" w:color="FF9900"/>
              <w:right w:val="nil"/>
            </w:tcBorders>
            <w:vAlign w:val="center"/>
          </w:tcPr>
          <w:p w:rsidR="00195FB3" w:rsidRPr="00132B88" w:rsidRDefault="00195FB3" w:rsidP="006F4F3A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i/>
                <w:iCs/>
                <w:sz w:val="28"/>
                <w:szCs w:val="28"/>
                <w:vertAlign w:val="subscript"/>
                <w:lang w:val="sr-Latn-CS"/>
              </w:rPr>
              <w:br w:type="page"/>
            </w:r>
            <w:r w:rsidRPr="00132B88"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  <w:lang w:val="sr-Latn-CS"/>
              </w:rPr>
              <w:t>Subject name:</w:t>
            </w:r>
          </w:p>
        </w:tc>
        <w:tc>
          <w:tcPr>
            <w:tcW w:w="2910" w:type="pct"/>
            <w:gridSpan w:val="3"/>
            <w:tcBorders>
              <w:left w:val="nil"/>
              <w:right w:val="thinThickSmallGap" w:sz="12" w:space="0" w:color="FF9900"/>
            </w:tcBorders>
            <w:vAlign w:val="center"/>
          </w:tcPr>
          <w:p w:rsidR="00195FB3" w:rsidRPr="00132B88" w:rsidRDefault="00195FB3" w:rsidP="004E4FE0">
            <w:pPr>
              <w:pStyle w:val="Heading3"/>
              <w:jc w:val="left"/>
              <w:rPr>
                <w:rFonts w:ascii="Garamond" w:hAnsi="Garamond"/>
                <w:b w:val="0"/>
                <w:i w:val="0"/>
                <w:iCs w:val="0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 w:val="0"/>
                <w:i w:val="0"/>
                <w:iCs w:val="0"/>
                <w:sz w:val="28"/>
                <w:szCs w:val="28"/>
                <w:vertAlign w:val="subscript"/>
              </w:rPr>
              <w:t>FAMILY LAW</w:t>
            </w:r>
          </w:p>
        </w:tc>
      </w:tr>
      <w:tr w:rsidR="00195FB3" w:rsidRPr="003D5622" w:rsidTr="006F4F3A">
        <w:trPr>
          <w:trHeight w:val="291"/>
          <w:jc w:val="center"/>
        </w:trPr>
        <w:tc>
          <w:tcPr>
            <w:tcW w:w="567" w:type="pct"/>
            <w:tcBorders>
              <w:top w:val="thinThickSmallGap" w:sz="12" w:space="0" w:color="FF9900"/>
            </w:tcBorders>
            <w:vAlign w:val="center"/>
          </w:tcPr>
          <w:p w:rsidR="00195FB3" w:rsidRPr="00132B88" w:rsidRDefault="00195FB3" w:rsidP="006F4F3A">
            <w:pPr>
              <w:pStyle w:val="BodyText3"/>
              <w:ind w:left="-28" w:right="-30"/>
              <w:jc w:val="center"/>
              <w:rPr>
                <w:rFonts w:ascii="Garamond" w:hAnsi="Garamond"/>
                <w:i/>
                <w:i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</w:rPr>
              <w:t>Subject code</w:t>
            </w:r>
          </w:p>
        </w:tc>
        <w:tc>
          <w:tcPr>
            <w:tcW w:w="1504" w:type="pct"/>
            <w:gridSpan w:val="3"/>
            <w:vAlign w:val="center"/>
          </w:tcPr>
          <w:p w:rsidR="00195FB3" w:rsidRPr="00132B88" w:rsidRDefault="00195FB3" w:rsidP="005729F0">
            <w:pPr>
              <w:pStyle w:val="BodyText3"/>
              <w:ind w:left="-130"/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</w:p>
          <w:p w:rsidR="00195FB3" w:rsidRPr="00132B88" w:rsidRDefault="00195FB3" w:rsidP="005729F0">
            <w:pPr>
              <w:pStyle w:val="BodyText3"/>
              <w:jc w:val="center"/>
              <w:rPr>
                <w:rFonts w:ascii="Garamond" w:hAnsi="Garamond"/>
                <w:i/>
                <w:iCs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  <w:t>Subject status</w:t>
            </w:r>
          </w:p>
          <w:p w:rsidR="00195FB3" w:rsidRPr="00132B88" w:rsidRDefault="00195FB3" w:rsidP="005729F0">
            <w:pPr>
              <w:pStyle w:val="BodyText3"/>
              <w:ind w:left="-130"/>
              <w:rPr>
                <w:rFonts w:ascii="Garamond" w:hAnsi="Garamond"/>
                <w:i/>
                <w:iCs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195FB3" w:rsidRPr="00132B88" w:rsidRDefault="00195FB3" w:rsidP="005729F0">
            <w:pPr>
              <w:pStyle w:val="BodyText3"/>
              <w:ind w:left="-130"/>
              <w:jc w:val="center"/>
              <w:rPr>
                <w:rFonts w:ascii="Garamond" w:hAnsi="Garamond"/>
                <w:i/>
                <w:iCs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  <w:t>Semester</w:t>
            </w:r>
          </w:p>
          <w:p w:rsidR="00195FB3" w:rsidRPr="00132B88" w:rsidRDefault="00195FB3" w:rsidP="006F4F3A">
            <w:pPr>
              <w:pStyle w:val="BodyText3"/>
              <w:ind w:left="-130"/>
              <w:jc w:val="center"/>
              <w:rPr>
                <w:rFonts w:ascii="Garamond" w:hAnsi="Garamond"/>
                <w:i/>
                <w:iCs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125" w:type="pct"/>
            <w:vAlign w:val="center"/>
          </w:tcPr>
          <w:p w:rsidR="00195FB3" w:rsidRPr="00132B88" w:rsidRDefault="00195FB3" w:rsidP="005729F0">
            <w:pPr>
              <w:pStyle w:val="BodyText3"/>
              <w:jc w:val="center"/>
              <w:rPr>
                <w:rFonts w:ascii="Garamond" w:hAnsi="Garamond"/>
                <w:i/>
                <w:iCs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</w:rPr>
              <w:t>Number of ETCS credits</w:t>
            </w:r>
          </w:p>
          <w:p w:rsidR="00195FB3" w:rsidRPr="00132B88" w:rsidRDefault="00195FB3" w:rsidP="006F4F3A">
            <w:pPr>
              <w:pStyle w:val="BodyText3"/>
              <w:jc w:val="center"/>
              <w:rPr>
                <w:rFonts w:ascii="Garamond" w:hAnsi="Garamond"/>
                <w:i/>
                <w:iCs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152" w:type="pct"/>
            <w:tcBorders>
              <w:right w:val="thinThickSmallGap" w:sz="12" w:space="0" w:color="FF9900"/>
            </w:tcBorders>
            <w:vAlign w:val="center"/>
          </w:tcPr>
          <w:p w:rsidR="00195FB3" w:rsidRPr="00132B88" w:rsidRDefault="00195FB3" w:rsidP="005729F0">
            <w:pPr>
              <w:pStyle w:val="BodyText3"/>
              <w:jc w:val="center"/>
              <w:rPr>
                <w:rFonts w:ascii="Garamond" w:hAnsi="Garamond"/>
                <w:i/>
                <w:iCs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  <w:t>Class load</w:t>
            </w:r>
          </w:p>
          <w:p w:rsidR="00195FB3" w:rsidRPr="00132B88" w:rsidRDefault="00195FB3" w:rsidP="006F4F3A">
            <w:pPr>
              <w:pStyle w:val="BodyText3"/>
              <w:jc w:val="center"/>
              <w:rPr>
                <w:rFonts w:ascii="Garamond" w:hAnsi="Garamond"/>
                <w:i/>
                <w:iCs/>
                <w:color w:val="auto"/>
                <w:sz w:val="28"/>
                <w:szCs w:val="28"/>
                <w:vertAlign w:val="subscript"/>
              </w:rPr>
            </w:pPr>
          </w:p>
        </w:tc>
      </w:tr>
      <w:tr w:rsidR="00195FB3" w:rsidRPr="003D5622" w:rsidTr="006F4F3A">
        <w:trPr>
          <w:trHeight w:val="230"/>
          <w:jc w:val="center"/>
        </w:trPr>
        <w:tc>
          <w:tcPr>
            <w:tcW w:w="567" w:type="pct"/>
            <w:vAlign w:val="center"/>
          </w:tcPr>
          <w:p w:rsidR="00195FB3" w:rsidRPr="00132B88" w:rsidRDefault="00195FB3" w:rsidP="006F4F3A">
            <w:pPr>
              <w:pStyle w:val="Heading4"/>
              <w:jc w:val="center"/>
              <w:rPr>
                <w:rFonts w:ascii="Garamond" w:hAnsi="Garamond"/>
                <w:b w:val="0"/>
                <w:sz w:val="28"/>
                <w:szCs w:val="28"/>
                <w:vertAlign w:val="subscript"/>
                <w:lang w:val="sr-Latn-CS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95FB3" w:rsidRPr="00132B88" w:rsidRDefault="00195FB3" w:rsidP="005729F0">
            <w:pPr>
              <w:pStyle w:val="Heading2"/>
              <w:rPr>
                <w:rFonts w:ascii="Garamond" w:hAnsi="Garamond"/>
                <w:b w:val="0"/>
                <w:bCs w:val="0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 w:val="0"/>
                <w:bCs w:val="0"/>
                <w:color w:val="auto"/>
                <w:sz w:val="28"/>
                <w:szCs w:val="28"/>
                <w:vertAlign w:val="subscript"/>
              </w:rPr>
              <w:t>compulsory</w:t>
            </w:r>
          </w:p>
        </w:tc>
        <w:tc>
          <w:tcPr>
            <w:tcW w:w="652" w:type="pct"/>
            <w:gridSpan w:val="2"/>
            <w:vAlign w:val="center"/>
          </w:tcPr>
          <w:p w:rsidR="00195FB3" w:rsidRPr="00132B88" w:rsidRDefault="00195FB3" w:rsidP="006F4F3A">
            <w:pPr>
              <w:pStyle w:val="Heading2"/>
              <w:rPr>
                <w:rFonts w:ascii="Garamond" w:hAnsi="Garamond"/>
                <w:b w:val="0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 w:val="0"/>
                <w:color w:val="auto"/>
                <w:sz w:val="28"/>
                <w:szCs w:val="28"/>
                <w:vertAlign w:val="subscript"/>
              </w:rPr>
              <w:t>III</w:t>
            </w:r>
          </w:p>
        </w:tc>
        <w:tc>
          <w:tcPr>
            <w:tcW w:w="1125" w:type="pct"/>
            <w:vAlign w:val="center"/>
          </w:tcPr>
          <w:p w:rsidR="00195FB3" w:rsidRPr="00132B88" w:rsidRDefault="00195FB3" w:rsidP="006F4F3A">
            <w:pPr>
              <w:ind w:left="12"/>
              <w:jc w:val="center"/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  <w:lang w:val="sr-Latn-CS"/>
              </w:rPr>
              <w:t>6</w:t>
            </w:r>
          </w:p>
        </w:tc>
        <w:tc>
          <w:tcPr>
            <w:tcW w:w="1152" w:type="pct"/>
            <w:tcBorders>
              <w:right w:val="thinThickSmallGap" w:sz="12" w:space="0" w:color="FF9900"/>
            </w:tcBorders>
            <w:vAlign w:val="center"/>
          </w:tcPr>
          <w:p w:rsidR="00195FB3" w:rsidRPr="00132B88" w:rsidRDefault="00195FB3" w:rsidP="006F4F3A">
            <w:pPr>
              <w:pStyle w:val="Heading3"/>
              <w:rPr>
                <w:rFonts w:ascii="Garamond" w:hAnsi="Garamond"/>
                <w:b w:val="0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 w:val="0"/>
                <w:color w:val="auto"/>
                <w:sz w:val="28"/>
                <w:szCs w:val="28"/>
                <w:vertAlign w:val="subscript"/>
              </w:rPr>
              <w:t>4P+1V</w:t>
            </w:r>
          </w:p>
        </w:tc>
      </w:tr>
      <w:tr w:rsidR="00195FB3" w:rsidRPr="003D5622" w:rsidTr="006F4F3A">
        <w:tblPrEx>
          <w:jc w:val="left"/>
        </w:tblPrEx>
        <w:trPr>
          <w:trHeight w:val="352"/>
        </w:trPr>
        <w:tc>
          <w:tcPr>
            <w:tcW w:w="5000" w:type="pct"/>
            <w:gridSpan w:val="8"/>
          </w:tcPr>
          <w:p w:rsidR="00195FB3" w:rsidRPr="00132B88" w:rsidRDefault="00195FB3" w:rsidP="006F4F3A">
            <w:pPr>
              <w:jc w:val="both"/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  <w:lang w:val="sr-Latn-CS"/>
              </w:rPr>
              <w:t xml:space="preserve">Study program is organized: </w:t>
            </w:r>
            <w:r w:rsidRPr="00132B88">
              <w:rPr>
                <w:rFonts w:ascii="Garamond" w:hAnsi="Garamond"/>
                <w:bCs/>
                <w:iCs/>
                <w:sz w:val="28"/>
                <w:szCs w:val="28"/>
                <w:vertAlign w:val="subscript"/>
                <w:lang w:val="sr-Latn-CS"/>
              </w:rPr>
              <w:t>Undergraduate studies Faculty of Law – Academic study program for obtaining a law degree (studies last for 6 semesters, 180 ECTS credits)</w:t>
            </w:r>
          </w:p>
        </w:tc>
      </w:tr>
      <w:tr w:rsidR="00195FB3" w:rsidRPr="003D5622" w:rsidTr="006F4F3A">
        <w:tblPrEx>
          <w:jc w:val="left"/>
        </w:tblPrEx>
        <w:trPr>
          <w:trHeight w:val="266"/>
        </w:trPr>
        <w:tc>
          <w:tcPr>
            <w:tcW w:w="5000" w:type="pct"/>
            <w:gridSpan w:val="8"/>
          </w:tcPr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i/>
                <w:iCs/>
                <w:sz w:val="28"/>
                <w:szCs w:val="28"/>
                <w:vertAlign w:val="subscript"/>
              </w:rPr>
              <w:t>Prerequisites</w:t>
            </w:r>
            <w:r w:rsidRPr="00132B88"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  <w:t>:</w:t>
            </w:r>
            <w:r w:rsidRPr="00132B88">
              <w:rPr>
                <w:rFonts w:ascii="Garamond" w:hAnsi="Garamond" w:cs="Arial"/>
                <w:color w:val="auto"/>
                <w:sz w:val="28"/>
                <w:szCs w:val="28"/>
                <w:vertAlign w:val="subscript"/>
                <w:lang w:val="sl-SI"/>
              </w:rPr>
              <w:t xml:space="preserve"> </w:t>
            </w:r>
            <w:r w:rsidRPr="00132B88"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  <w:t>No</w:t>
            </w:r>
          </w:p>
        </w:tc>
      </w:tr>
      <w:tr w:rsidR="00195FB3" w:rsidRPr="003D5622" w:rsidTr="006F4F3A">
        <w:tblPrEx>
          <w:jc w:val="left"/>
        </w:tblPrEx>
        <w:trPr>
          <w:trHeight w:val="206"/>
        </w:trPr>
        <w:tc>
          <w:tcPr>
            <w:tcW w:w="5000" w:type="pct"/>
            <w:gridSpan w:val="8"/>
          </w:tcPr>
          <w:p w:rsidR="00195FB3" w:rsidRPr="00132B88" w:rsidRDefault="00195FB3" w:rsidP="006F4F3A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auto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color w:val="auto"/>
                <w:sz w:val="28"/>
                <w:szCs w:val="28"/>
                <w:vertAlign w:val="subscript"/>
                <w:lang w:val="sr-Latn-CS"/>
              </w:rPr>
              <w:t>Course goals: Introducing students to the basic concepts and categories of family law</w:t>
            </w:r>
          </w:p>
        </w:tc>
      </w:tr>
      <w:tr w:rsidR="00195FB3" w:rsidRPr="003D5622" w:rsidTr="006F4F3A">
        <w:tblPrEx>
          <w:jc w:val="left"/>
        </w:tblPrEx>
        <w:trPr>
          <w:trHeight w:val="254"/>
        </w:trPr>
        <w:tc>
          <w:tcPr>
            <w:tcW w:w="5000" w:type="pct"/>
            <w:gridSpan w:val="8"/>
          </w:tcPr>
          <w:p w:rsidR="00195FB3" w:rsidRPr="00132B88" w:rsidRDefault="00195FB3" w:rsidP="006F4F3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Cs/>
                <w:iCs/>
                <w:color w:val="auto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color w:val="auto"/>
                <w:sz w:val="28"/>
                <w:szCs w:val="28"/>
                <w:vertAlign w:val="subscript"/>
                <w:lang w:val="sr-Latn-CS"/>
              </w:rPr>
              <w:t>Name and surname of the teacher and the teaching assistant:</w:t>
            </w:r>
            <w:r w:rsidRPr="00132B88">
              <w:rPr>
                <w:rFonts w:ascii="Garamond" w:hAnsi="Garamond" w:cs="Arial"/>
                <w:color w:val="auto"/>
                <w:sz w:val="28"/>
                <w:szCs w:val="28"/>
                <w:vertAlign w:val="subscript"/>
                <w:lang w:val="sr-Latn-CS"/>
              </w:rPr>
              <w:t xml:space="preserve"> Prof. dr Radoje Korać</w:t>
            </w:r>
            <w:r w:rsidRPr="00132B88">
              <w:rPr>
                <w:rFonts w:ascii="Garamond" w:hAnsi="Garamond" w:cs="Arial"/>
                <w:bCs/>
                <w:i/>
                <w:iCs/>
                <w:color w:val="auto"/>
                <w:sz w:val="28"/>
                <w:szCs w:val="28"/>
                <w:vertAlign w:val="subscript"/>
                <w:lang w:val="sr-Latn-CS"/>
              </w:rPr>
              <w:t xml:space="preserve"> </w:t>
            </w:r>
          </w:p>
        </w:tc>
      </w:tr>
      <w:tr w:rsidR="00195FB3" w:rsidRPr="003D5622" w:rsidTr="006F4F3A">
        <w:tblPrEx>
          <w:jc w:val="left"/>
        </w:tblPrEx>
        <w:trPr>
          <w:trHeight w:val="233"/>
        </w:trPr>
        <w:tc>
          <w:tcPr>
            <w:tcW w:w="5000" w:type="pct"/>
            <w:gridSpan w:val="8"/>
          </w:tcPr>
          <w:p w:rsidR="00195FB3" w:rsidRPr="00132B88" w:rsidRDefault="00195FB3" w:rsidP="005729F0">
            <w:pPr>
              <w:pStyle w:val="BodyText3"/>
              <w:jc w:val="both"/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  <w:t>Teaching and learning methods: Lectures, exercises, seminar papers, consultations and debate classes</w:t>
            </w:r>
          </w:p>
        </w:tc>
      </w:tr>
      <w:tr w:rsidR="00195FB3" w:rsidRPr="003D5622" w:rsidTr="006F4F3A">
        <w:tblPrEx>
          <w:jc w:val="left"/>
        </w:tblPrEx>
        <w:trPr>
          <w:cantSplit/>
          <w:trHeight w:val="141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195FB3" w:rsidRPr="00132B88" w:rsidRDefault="00195FB3" w:rsidP="006F4F3A">
            <w:pPr>
              <w:pStyle w:val="Heading3"/>
              <w:jc w:val="left"/>
              <w:rPr>
                <w:rFonts w:ascii="Garamond" w:hAnsi="Garamond" w:cs="Arial"/>
                <w:b w:val="0"/>
                <w:color w:val="auto"/>
                <w:sz w:val="28"/>
                <w:szCs w:val="28"/>
                <w:vertAlign w:val="subscript"/>
                <w:lang w:val="sl-SI"/>
              </w:rPr>
            </w:pPr>
            <w:r w:rsidRPr="00132B88">
              <w:rPr>
                <w:rFonts w:ascii="Garamond" w:hAnsi="Garamond" w:cs="Arial"/>
                <w:b w:val="0"/>
                <w:color w:val="auto"/>
                <w:sz w:val="28"/>
                <w:szCs w:val="28"/>
                <w:vertAlign w:val="subscript"/>
                <w:lang w:val="sl-SI"/>
              </w:rPr>
              <w:t>Course content</w:t>
            </w:r>
          </w:p>
        </w:tc>
      </w:tr>
      <w:tr w:rsidR="00195FB3" w:rsidRPr="003D5622" w:rsidTr="006F4F3A">
        <w:tblPrEx>
          <w:jc w:val="left"/>
        </w:tblPrEx>
        <w:trPr>
          <w:cantSplit/>
          <w:trHeight w:val="3633"/>
        </w:trPr>
        <w:tc>
          <w:tcPr>
            <w:tcW w:w="1292" w:type="pct"/>
            <w:gridSpan w:val="3"/>
            <w:vAlign w:val="center"/>
          </w:tcPr>
          <w:p w:rsidR="00195FB3" w:rsidRPr="00132B88" w:rsidRDefault="00195FB3" w:rsidP="006F4F3A">
            <w:pPr>
              <w:pStyle w:val="BodyTextIndent2"/>
              <w:ind w:left="0" w:right="-91"/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II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III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IV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V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VI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VII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VIII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IX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X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XI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XII week</w:t>
            </w:r>
          </w:p>
          <w:p w:rsidR="00195FB3" w:rsidRPr="00132B88" w:rsidRDefault="00195FB3" w:rsidP="006F4F3A">
            <w:pPr>
              <w:pStyle w:val="BodyTextIndent2"/>
              <w:ind w:left="0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XIII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XIV week</w:t>
            </w:r>
          </w:p>
          <w:p w:rsidR="00195FB3" w:rsidRPr="00132B88" w:rsidRDefault="00195FB3" w:rsidP="006F4F3A">
            <w:pPr>
              <w:pStyle w:val="BodyTextIndent2"/>
              <w:ind w:left="-25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XV week</w:t>
            </w:r>
          </w:p>
          <w:p w:rsidR="00195FB3" w:rsidRPr="00132B88" w:rsidRDefault="00195FB3" w:rsidP="006F4F3A">
            <w:pPr>
              <w:pStyle w:val="BodyTextIndent2"/>
              <w:ind w:left="0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XVII -XX week</w:t>
            </w:r>
          </w:p>
          <w:p w:rsidR="00195FB3" w:rsidRPr="00132B88" w:rsidRDefault="00195FB3" w:rsidP="006F4F3A">
            <w:pPr>
              <w:pStyle w:val="BodyTextIndent2"/>
              <w:ind w:left="0"/>
              <w:rPr>
                <w:rFonts w:ascii="Garamond" w:hAnsi="Garamond"/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3708" w:type="pct"/>
            <w:gridSpan w:val="5"/>
            <w:vAlign w:val="center"/>
          </w:tcPr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Basic concepts of Family law. Systematization of Family law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The family as a legal institution. The right to free parenthood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Marriage, Forms of Marriage.  Prerequisites for valid marriage. Marriage impediment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The legal consequences of marriage. Personal rig</w:t>
            </w:r>
            <w:bookmarkStart w:id="0" w:name="_GoBack"/>
            <w:bookmarkEnd w:id="0"/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hts and duties of spouses.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Annulement of marriage. Cohabitation without marriage.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Divorce. Procedure of divorce. Procedure of annulement of marriage.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Parental Responsibility. Termination of parental rights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I Colloquium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The Rights of the Child. Establishing Maternity and Paternity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Adoption. The adoption procedure.</w:t>
            </w:r>
            <w:r w:rsidRPr="00132B88">
              <w:rPr>
                <w:rFonts w:ascii="Garamond" w:hAnsi="Garamond"/>
                <w:bCs/>
                <w:iCs/>
                <w:color w:val="auto"/>
                <w:sz w:val="28"/>
                <w:szCs w:val="28"/>
                <w:vertAlign w:val="subscript"/>
              </w:rPr>
              <w:t xml:space="preserve">Guardianship. 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Maintenance obligation</w:t>
            </w:r>
            <w:r w:rsidRPr="00132B88">
              <w:rPr>
                <w:rFonts w:ascii="Garamond" w:hAnsi="Garamond"/>
                <w:sz w:val="28"/>
                <w:szCs w:val="28"/>
                <w:vertAlign w:val="subscript"/>
              </w:rPr>
              <w:t xml:space="preserve"> (</w:t>
            </w: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alimony).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>Property rights and obligation of spouses. Dissolution of the acquired matrimonial property.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  <w:t xml:space="preserve">Special pcedure in Family law. Mediation. 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color w:val="auto"/>
                <w:sz w:val="28"/>
                <w:szCs w:val="28"/>
                <w:vertAlign w:val="subscript"/>
                <w:lang w:val="sl-SI"/>
              </w:rPr>
              <w:t xml:space="preserve"> Final exam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  <w:t>Verification of the semester and registration of the grades</w:t>
            </w:r>
          </w:p>
          <w:p w:rsidR="00195FB3" w:rsidRPr="00132B88" w:rsidRDefault="00195FB3" w:rsidP="006F4F3A">
            <w:pPr>
              <w:pStyle w:val="BodyText3"/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/>
                <w:color w:val="auto"/>
                <w:sz w:val="28"/>
                <w:szCs w:val="28"/>
                <w:vertAlign w:val="subscript"/>
              </w:rPr>
              <w:t>Additional classes and makeup exam</w:t>
            </w:r>
          </w:p>
        </w:tc>
      </w:tr>
      <w:tr w:rsidR="00195FB3" w:rsidRPr="003D5622" w:rsidTr="006F4F3A">
        <w:tblPrEx>
          <w:jc w:val="left"/>
        </w:tblPrEx>
        <w:trPr>
          <w:cantSplit/>
          <w:trHeight w:val="17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195FB3" w:rsidRPr="00132B88" w:rsidRDefault="00195FB3" w:rsidP="006F4F3A">
            <w:pPr>
              <w:pStyle w:val="BodyText3"/>
              <w:rPr>
                <w:rFonts w:ascii="Garamond" w:hAnsi="Garamond"/>
                <w:bCs/>
                <w:color w:val="auto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sz w:val="28"/>
                <w:szCs w:val="28"/>
                <w:vertAlign w:val="subscript"/>
                <w:lang w:val="sl-SI"/>
              </w:rPr>
              <w:t xml:space="preserve">Student obligations during classes: </w:t>
            </w:r>
            <w:r w:rsidRPr="00132B88">
              <w:rPr>
                <w:rFonts w:ascii="Garamond" w:hAnsi="Garamond" w:cs="Arial"/>
                <w:bCs/>
                <w:iCs/>
                <w:sz w:val="28"/>
                <w:szCs w:val="28"/>
                <w:vertAlign w:val="subscript"/>
                <w:lang w:val="sl-SI"/>
              </w:rPr>
              <w:t>Students are required to attend lectures and to take qolloquium</w:t>
            </w:r>
          </w:p>
        </w:tc>
      </w:tr>
      <w:tr w:rsidR="00195FB3" w:rsidRPr="003D5622" w:rsidTr="006F4F3A">
        <w:tblPrEx>
          <w:jc w:val="left"/>
        </w:tblPrEx>
        <w:trPr>
          <w:cantSplit/>
          <w:trHeight w:val="177"/>
        </w:trPr>
        <w:tc>
          <w:tcPr>
            <w:tcW w:w="5000" w:type="pct"/>
            <w:gridSpan w:val="8"/>
            <w:vAlign w:val="center"/>
          </w:tcPr>
          <w:p w:rsidR="00195FB3" w:rsidRPr="00132B88" w:rsidRDefault="00195FB3" w:rsidP="006F4F3A">
            <w:pPr>
              <w:rPr>
                <w:rFonts w:ascii="Garamond" w:hAnsi="Garamond" w:cs="Arial"/>
                <w:bCs/>
                <w:i/>
                <w:iCs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sz w:val="28"/>
                <w:szCs w:val="28"/>
                <w:vertAlign w:val="subscript"/>
                <w:lang w:val="sr-Latn-CS"/>
              </w:rPr>
              <w:t xml:space="preserve">Literatura: </w:t>
            </w: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Korać, Radoje, Porodično pravo, Podgorica, 2011 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                       Mladenović, Marko, Porodično pravo – knjiga I i II, Beograd, 1981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                       Ponjavić, Zoran, Porodično pravo, Beograd, 2014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                       Draškić, Marija, Porodično pravo i prava deteta, Beograd, 2014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                       Kovaček-Stanić, Gordana, Uporedno porodično pravo, Novi Sad, 2002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                       Bodiroga-Vukobrat, N. i dr., Europsko obiteljsko pravo,  Zagreb, 2013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  <w:lang w:val="fr-FR"/>
              </w:rPr>
            </w:pP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                       </w:t>
            </w: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fr-FR"/>
              </w:rPr>
              <w:t>Carbinnier, J., Droit civil, Tome 2, La famille, l'enfant, le couple, Paris, 2002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</w:rPr>
            </w:pP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fr-FR"/>
              </w:rPr>
              <w:t xml:space="preserve">                       </w:t>
            </w:r>
            <w:r w:rsidRPr="00132B88">
              <w:rPr>
                <w:rFonts w:ascii="Garamond" w:hAnsi="Garamond" w:cs="Arial"/>
                <w:sz w:val="28"/>
                <w:szCs w:val="28"/>
                <w:vertAlign w:val="subscript"/>
              </w:rPr>
              <w:t>Herring, J., Family Law, Pearson Longman, 2011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</w:rPr>
            </w:pPr>
          </w:p>
        </w:tc>
      </w:tr>
      <w:tr w:rsidR="00195FB3" w:rsidRPr="003D5622" w:rsidTr="006F4F3A">
        <w:tblPrEx>
          <w:jc w:val="left"/>
        </w:tblPrEx>
        <w:trPr>
          <w:cantSplit/>
          <w:trHeight w:val="709"/>
        </w:trPr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:rsidR="00195FB3" w:rsidRPr="00132B88" w:rsidRDefault="00195FB3" w:rsidP="0099780F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  <w:lastRenderedPageBreak/>
              <w:t xml:space="preserve">The forms of knowledge assessment, evaluation and proportion exercises: </w:t>
            </w:r>
          </w:p>
          <w:p w:rsidR="00195FB3" w:rsidRPr="00132B88" w:rsidRDefault="00195FB3" w:rsidP="0099780F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  <w:t>Exercises maximum 5 points</w:t>
            </w:r>
          </w:p>
          <w:p w:rsidR="00195FB3" w:rsidRPr="00132B88" w:rsidRDefault="00195FB3" w:rsidP="0099780F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  <w:t>Seminar maximum 5 points</w:t>
            </w:r>
          </w:p>
          <w:p w:rsidR="00195FB3" w:rsidRPr="00132B88" w:rsidRDefault="00195FB3" w:rsidP="0099780F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  <w:t>Colloquium maximum 40 points</w:t>
            </w:r>
          </w:p>
          <w:p w:rsidR="00195FB3" w:rsidRPr="00132B88" w:rsidRDefault="00195FB3" w:rsidP="0099780F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  <w:t>Final exam maximum 50 points</w:t>
            </w:r>
          </w:p>
          <w:p w:rsidR="00195FB3" w:rsidRPr="00132B88" w:rsidRDefault="00195FB3" w:rsidP="0099780F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  <w:t>Grade depending on the total number of points:</w:t>
            </w:r>
          </w:p>
          <w:p w:rsidR="00195FB3" w:rsidRPr="00132B88" w:rsidRDefault="00195FB3" w:rsidP="0099780F">
            <w:pPr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/>
                <w:sz w:val="28"/>
                <w:szCs w:val="28"/>
                <w:vertAlign w:val="subscript"/>
                <w:lang w:val="sr-Latn-CS"/>
              </w:rPr>
              <w:t>E (50-59), D (60-69), C (70-79), B (80-89), A (90-100)</w:t>
            </w:r>
          </w:p>
          <w:p w:rsidR="00195FB3" w:rsidRPr="00132B88" w:rsidRDefault="00195FB3" w:rsidP="006F4F3A">
            <w:pPr>
              <w:rPr>
                <w:rFonts w:ascii="Garamond" w:hAnsi="Garamond" w:cs="Arial"/>
                <w:bCs/>
                <w:i/>
                <w:iCs/>
                <w:sz w:val="28"/>
                <w:szCs w:val="28"/>
                <w:vertAlign w:val="subscript"/>
                <w:lang w:val="sr-Latn-CS"/>
              </w:rPr>
            </w:pPr>
          </w:p>
        </w:tc>
      </w:tr>
      <w:tr w:rsidR="00195FB3" w:rsidRPr="003D5622" w:rsidTr="006F4F3A">
        <w:tblPrEx>
          <w:jc w:val="left"/>
        </w:tblPrEx>
        <w:trPr>
          <w:trHeight w:val="268"/>
        </w:trPr>
        <w:tc>
          <w:tcPr>
            <w:tcW w:w="5000" w:type="pct"/>
            <w:gridSpan w:val="8"/>
          </w:tcPr>
          <w:p w:rsidR="00195FB3" w:rsidRPr="00132B88" w:rsidRDefault="00195FB3" w:rsidP="006F4F3A">
            <w:pPr>
              <w:rPr>
                <w:rFonts w:ascii="Garamond" w:hAnsi="Garamond" w:cs="Arial"/>
                <w:i/>
                <w:iCs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color w:val="000000"/>
                <w:sz w:val="28"/>
                <w:szCs w:val="28"/>
                <w:vertAlign w:val="subscript"/>
                <w:lang w:val="sr-Latn-CS"/>
              </w:rPr>
              <w:t xml:space="preserve">Special remarks: </w:t>
            </w:r>
            <w:r w:rsidRPr="00132B88">
              <w:rPr>
                <w:rFonts w:ascii="Garamond" w:hAnsi="Garamond" w:cs="Arial"/>
                <w:bCs/>
                <w:iCs/>
                <w:color w:val="000000"/>
                <w:sz w:val="28"/>
                <w:szCs w:val="28"/>
                <w:vertAlign w:val="subscript"/>
                <w:lang w:val="sr-Latn-CS"/>
              </w:rPr>
              <w:t>No</w:t>
            </w:r>
          </w:p>
        </w:tc>
      </w:tr>
      <w:tr w:rsidR="00195FB3" w:rsidRPr="003D5622" w:rsidTr="006F4F3A">
        <w:tblPrEx>
          <w:jc w:val="left"/>
        </w:tblPrEx>
        <w:trPr>
          <w:gridBefore w:val="2"/>
          <w:wBefore w:w="903" w:type="pct"/>
          <w:trHeight w:val="156"/>
        </w:trPr>
        <w:tc>
          <w:tcPr>
            <w:tcW w:w="4097" w:type="pct"/>
            <w:gridSpan w:val="6"/>
          </w:tcPr>
          <w:p w:rsidR="00195FB3" w:rsidRPr="00132B88" w:rsidRDefault="00195FB3" w:rsidP="006F4F3A">
            <w:pPr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color w:val="000000"/>
                <w:sz w:val="28"/>
                <w:szCs w:val="28"/>
                <w:vertAlign w:val="subscript"/>
                <w:lang w:val="sr-Latn-CS"/>
              </w:rPr>
              <w:t>Name and surname of the teacher who prepared the information:</w:t>
            </w:r>
            <w:r w:rsidRPr="00132B88">
              <w:rPr>
                <w:rFonts w:ascii="Garamond" w:hAnsi="Garamond" w:cs="Arial"/>
                <w:color w:val="000000"/>
                <w:sz w:val="28"/>
                <w:szCs w:val="28"/>
                <w:vertAlign w:val="subscript"/>
                <w:lang w:val="sr-Latn-CS"/>
              </w:rPr>
              <w:t xml:space="preserve"> </w:t>
            </w: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>Prof. dr Radoje Korać</w:t>
            </w:r>
          </w:p>
        </w:tc>
      </w:tr>
      <w:tr w:rsidR="00195FB3" w:rsidRPr="003D5622" w:rsidTr="006F4F3A">
        <w:tblPrEx>
          <w:jc w:val="left"/>
        </w:tblPrEx>
        <w:trPr>
          <w:gridBefore w:val="2"/>
          <w:wBefore w:w="903" w:type="pct"/>
          <w:trHeight w:val="156"/>
        </w:trPr>
        <w:tc>
          <w:tcPr>
            <w:tcW w:w="4097" w:type="pct"/>
            <w:gridSpan w:val="6"/>
          </w:tcPr>
          <w:p w:rsidR="00195FB3" w:rsidRPr="00132B88" w:rsidRDefault="00195FB3" w:rsidP="006F4F3A">
            <w:pPr>
              <w:tabs>
                <w:tab w:val="right" w:pos="6982"/>
              </w:tabs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</w:pPr>
            <w:r w:rsidRPr="00132B88">
              <w:rPr>
                <w:rFonts w:ascii="Garamond" w:hAnsi="Garamond" w:cs="Arial"/>
                <w:bCs/>
                <w:i/>
                <w:iCs/>
                <w:sz w:val="28"/>
                <w:szCs w:val="28"/>
                <w:vertAlign w:val="subscript"/>
                <w:lang w:val="sr-Latn-CS"/>
              </w:rPr>
              <w:t>Napomena:</w:t>
            </w: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 xml:space="preserve"> nema</w:t>
            </w:r>
            <w:r w:rsidRPr="00132B88">
              <w:rPr>
                <w:rFonts w:ascii="Garamond" w:hAnsi="Garamond" w:cs="Arial"/>
                <w:bCs/>
                <w:i/>
                <w:iCs/>
                <w:sz w:val="28"/>
                <w:szCs w:val="28"/>
                <w:vertAlign w:val="subscript"/>
                <w:lang w:val="sr-Latn-CS"/>
              </w:rPr>
              <w:t xml:space="preserve">   </w:t>
            </w:r>
            <w:r w:rsidRPr="00132B88">
              <w:rPr>
                <w:rFonts w:ascii="Garamond" w:hAnsi="Garamond" w:cs="Arial"/>
                <w:sz w:val="28"/>
                <w:szCs w:val="28"/>
                <w:vertAlign w:val="subscript"/>
                <w:lang w:val="sr-Latn-CS"/>
              </w:rPr>
              <w:tab/>
            </w:r>
          </w:p>
        </w:tc>
      </w:tr>
    </w:tbl>
    <w:p w:rsidR="00195FB3" w:rsidRPr="003D5622" w:rsidRDefault="00195FB3" w:rsidP="00E57BFA">
      <w:pPr>
        <w:jc w:val="both"/>
        <w:rPr>
          <w:rFonts w:ascii="Garamond" w:hAnsi="Garamond" w:cs="Arial"/>
          <w:vertAlign w:val="subscript"/>
          <w:lang w:val="fr-FR"/>
        </w:rPr>
      </w:pPr>
    </w:p>
    <w:sectPr w:rsidR="00195FB3" w:rsidRPr="003D5622" w:rsidSect="00223946">
      <w:pgSz w:w="12240" w:h="15840"/>
      <w:pgMar w:top="1260" w:right="1800" w:bottom="126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4DD9"/>
    <w:multiLevelType w:val="hybridMultilevel"/>
    <w:tmpl w:val="3B441E20"/>
    <w:lvl w:ilvl="0" w:tplc="61D2370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2930"/>
    <w:multiLevelType w:val="hybridMultilevel"/>
    <w:tmpl w:val="50B2439A"/>
    <w:lvl w:ilvl="0" w:tplc="328EC4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E1B89"/>
    <w:multiLevelType w:val="hybridMultilevel"/>
    <w:tmpl w:val="02DAB0BA"/>
    <w:lvl w:ilvl="0" w:tplc="92BCC4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E60D4"/>
    <w:multiLevelType w:val="hybridMultilevel"/>
    <w:tmpl w:val="E50232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291CD0"/>
    <w:multiLevelType w:val="hybridMultilevel"/>
    <w:tmpl w:val="D6CA939A"/>
    <w:lvl w:ilvl="0" w:tplc="C53AC8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FA"/>
    <w:rsid w:val="0002098D"/>
    <w:rsid w:val="00027B99"/>
    <w:rsid w:val="00050491"/>
    <w:rsid w:val="00065251"/>
    <w:rsid w:val="00091074"/>
    <w:rsid w:val="000F01E4"/>
    <w:rsid w:val="00132B88"/>
    <w:rsid w:val="00160556"/>
    <w:rsid w:val="00195FB3"/>
    <w:rsid w:val="001C5D7C"/>
    <w:rsid w:val="001F5821"/>
    <w:rsid w:val="00223946"/>
    <w:rsid w:val="00227E4B"/>
    <w:rsid w:val="00254FAA"/>
    <w:rsid w:val="002A1F7C"/>
    <w:rsid w:val="002C7F00"/>
    <w:rsid w:val="0035617E"/>
    <w:rsid w:val="003A671C"/>
    <w:rsid w:val="003B4C6A"/>
    <w:rsid w:val="003D5622"/>
    <w:rsid w:val="00403134"/>
    <w:rsid w:val="00431ADC"/>
    <w:rsid w:val="0043328B"/>
    <w:rsid w:val="00440077"/>
    <w:rsid w:val="004B5862"/>
    <w:rsid w:val="004E4FE0"/>
    <w:rsid w:val="004F5000"/>
    <w:rsid w:val="005336A4"/>
    <w:rsid w:val="00551B46"/>
    <w:rsid w:val="0057085B"/>
    <w:rsid w:val="005729F0"/>
    <w:rsid w:val="0057683F"/>
    <w:rsid w:val="00583718"/>
    <w:rsid w:val="005B2684"/>
    <w:rsid w:val="005D391D"/>
    <w:rsid w:val="006A33C9"/>
    <w:rsid w:val="006E147C"/>
    <w:rsid w:val="006F4F3A"/>
    <w:rsid w:val="00740B2B"/>
    <w:rsid w:val="007A3EC6"/>
    <w:rsid w:val="00850F44"/>
    <w:rsid w:val="00870EA5"/>
    <w:rsid w:val="008E750A"/>
    <w:rsid w:val="0095151C"/>
    <w:rsid w:val="00993545"/>
    <w:rsid w:val="0099780F"/>
    <w:rsid w:val="009A4630"/>
    <w:rsid w:val="009C2FA7"/>
    <w:rsid w:val="009D7023"/>
    <w:rsid w:val="00A35D38"/>
    <w:rsid w:val="00BD58BB"/>
    <w:rsid w:val="00C51601"/>
    <w:rsid w:val="00CD052F"/>
    <w:rsid w:val="00D35DEA"/>
    <w:rsid w:val="00D74982"/>
    <w:rsid w:val="00DF5C78"/>
    <w:rsid w:val="00E57BFA"/>
    <w:rsid w:val="00EC130B"/>
    <w:rsid w:val="00EE42E6"/>
    <w:rsid w:val="00F14C57"/>
    <w:rsid w:val="00F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1F632D-17A0-44D6-9BEF-ACCA8C95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FA"/>
    <w:rPr>
      <w:rFonts w:ascii="Times New Roman" w:eastAsia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7BFA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7BFA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7BFA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47C"/>
    <w:rPr>
      <w:rFonts w:ascii="Cambria" w:hAnsi="Cambria" w:cs="Times New Roman"/>
      <w:b/>
      <w:bCs/>
      <w:noProof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7BFA"/>
    <w:rPr>
      <w:rFonts w:ascii="Arial" w:hAnsi="Arial" w:cs="Times New Roman"/>
      <w:b/>
      <w:bCs/>
      <w:i/>
      <w:iCs/>
      <w:color w:val="000000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7BFA"/>
    <w:rPr>
      <w:rFonts w:ascii="Arial" w:hAnsi="Arial" w:cs="Times New Roman"/>
      <w:b/>
      <w:bCs/>
      <w:i/>
      <w:iCs/>
      <w:color w:val="000000"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7BFA"/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E57BFA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57BFA"/>
    <w:rPr>
      <w:rFonts w:ascii="Arial" w:hAnsi="Arial" w:cs="Times New Roman"/>
      <w:color w:val="000000"/>
      <w:sz w:val="24"/>
      <w:szCs w:val="24"/>
      <w:lang w:val="sr-Latn-CS"/>
    </w:rPr>
  </w:style>
  <w:style w:type="paragraph" w:styleId="NormalWeb">
    <w:name w:val="Normal (Web)"/>
    <w:basedOn w:val="Normal"/>
    <w:uiPriority w:val="99"/>
    <w:rsid w:val="00E57BFA"/>
    <w:pPr>
      <w:spacing w:before="100" w:beforeAutospacing="1" w:after="100" w:afterAutospacing="1"/>
    </w:pPr>
    <w:rPr>
      <w:rFonts w:ascii="Arial Unicode MS" w:eastAsia="Calibri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E57BFA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7BFA"/>
    <w:rPr>
      <w:rFonts w:ascii="Arial" w:hAnsi="Arial" w:cs="Arial"/>
      <w:color w:val="000000"/>
      <w:sz w:val="24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9D702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516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51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name:</vt:lpstr>
    </vt:vector>
  </TitlesOfParts>
  <Company>XXX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name:</dc:title>
  <dc:subject/>
  <dc:creator>Windows User</dc:creator>
  <cp:keywords/>
  <dc:description/>
  <cp:lastModifiedBy>sudnica3</cp:lastModifiedBy>
  <cp:revision>3</cp:revision>
  <dcterms:created xsi:type="dcterms:W3CDTF">2021-05-03T19:03:00Z</dcterms:created>
  <dcterms:modified xsi:type="dcterms:W3CDTF">2023-04-26T12:21:00Z</dcterms:modified>
</cp:coreProperties>
</file>