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
        <w:gridCol w:w="816"/>
        <w:gridCol w:w="731"/>
        <w:gridCol w:w="87"/>
        <w:gridCol w:w="1496"/>
        <w:gridCol w:w="1024"/>
        <w:gridCol w:w="1789"/>
        <w:gridCol w:w="3134"/>
        <w:gridCol w:w="53"/>
      </w:tblGrid>
      <w:tr w:rsidR="007245C1" w:rsidRPr="003B76AC" w14:paraId="2F90026D" w14:textId="77777777" w:rsidTr="00C0046A">
        <w:trPr>
          <w:gridBefore w:val="3"/>
          <w:wBefore w:w="884" w:type="pct"/>
          <w:trHeight w:val="359"/>
          <w:jc w:val="center"/>
        </w:trPr>
        <w:tc>
          <w:tcPr>
            <w:tcW w:w="859" w:type="pct"/>
            <w:gridSpan w:val="2"/>
            <w:tcBorders>
              <w:top w:val="single" w:sz="4" w:space="0" w:color="auto"/>
              <w:left w:val="thinThickSmallGap" w:sz="12" w:space="0" w:color="auto"/>
              <w:bottom w:val="single" w:sz="4" w:space="0" w:color="auto"/>
              <w:right w:val="nil"/>
            </w:tcBorders>
            <w:vAlign w:val="center"/>
          </w:tcPr>
          <w:p w14:paraId="63672065" w14:textId="3593DE3B" w:rsidR="007245C1" w:rsidRPr="003B76AC" w:rsidRDefault="007245C1" w:rsidP="003B76AC">
            <w:pPr>
              <w:rPr>
                <w:rFonts w:ascii="Arial" w:hAnsi="Arial" w:cs="Arial"/>
                <w:b/>
                <w:bCs/>
                <w:i/>
                <w:iCs/>
                <w:sz w:val="14"/>
                <w:lang w:val="en-GB"/>
              </w:rPr>
            </w:pPr>
            <w:r w:rsidRPr="003B76AC">
              <w:rPr>
                <w:rFonts w:ascii="Arial" w:hAnsi="Arial" w:cs="Arial"/>
                <w:b/>
                <w:bCs/>
                <w:i/>
                <w:iCs/>
                <w:color w:val="993300"/>
                <w:sz w:val="14"/>
                <w:lang w:val="en-GB"/>
              </w:rPr>
              <w:br w:type="page"/>
              <w:t xml:space="preserve"> </w:t>
            </w:r>
            <w:r w:rsidR="003B76AC" w:rsidRPr="003B76AC">
              <w:rPr>
                <w:rFonts w:ascii="Arial" w:hAnsi="Arial" w:cs="Arial"/>
                <w:b/>
                <w:bCs/>
                <w:i/>
                <w:iCs/>
                <w:sz w:val="14"/>
                <w:lang w:val="en-GB"/>
              </w:rPr>
              <w:t>Subject</w:t>
            </w:r>
            <w:r w:rsidRPr="003B76AC">
              <w:rPr>
                <w:rFonts w:ascii="Arial" w:hAnsi="Arial" w:cs="Arial"/>
                <w:b/>
                <w:bCs/>
                <w:i/>
                <w:iCs/>
                <w:sz w:val="14"/>
                <w:lang w:val="en-GB"/>
              </w:rPr>
              <w:t>:</w:t>
            </w:r>
          </w:p>
        </w:tc>
        <w:tc>
          <w:tcPr>
            <w:tcW w:w="3257" w:type="pct"/>
            <w:gridSpan w:val="4"/>
            <w:tcBorders>
              <w:top w:val="single" w:sz="4" w:space="0" w:color="auto"/>
              <w:left w:val="nil"/>
              <w:bottom w:val="single" w:sz="4" w:space="0" w:color="auto"/>
              <w:right w:val="thinThickSmallGap" w:sz="12" w:space="0" w:color="auto"/>
            </w:tcBorders>
            <w:vAlign w:val="center"/>
          </w:tcPr>
          <w:p w14:paraId="0652BFAD" w14:textId="17F61EEF" w:rsidR="007245C1" w:rsidRPr="003B76AC" w:rsidRDefault="003B76AC" w:rsidP="007245C1">
            <w:pPr>
              <w:pStyle w:val="Heading8"/>
              <w:jc w:val="center"/>
              <w:rPr>
                <w:i w:val="0"/>
                <w:sz w:val="20"/>
                <w:szCs w:val="20"/>
                <w:lang w:val="en-GB"/>
              </w:rPr>
            </w:pPr>
            <w:r w:rsidRPr="003B76AC">
              <w:rPr>
                <w:i w:val="0"/>
                <w:sz w:val="20"/>
                <w:szCs w:val="20"/>
                <w:lang w:val="en-GB"/>
              </w:rPr>
              <w:t>Law of the EU Internal Market</w:t>
            </w:r>
          </w:p>
        </w:tc>
      </w:tr>
      <w:tr w:rsidR="007245C1" w:rsidRPr="003B76AC" w14:paraId="6CBCC9A5" w14:textId="77777777" w:rsidTr="00C0046A">
        <w:trPr>
          <w:gridBefore w:val="1"/>
          <w:wBefore w:w="44" w:type="pct"/>
          <w:trHeight w:val="291"/>
          <w:jc w:val="center"/>
        </w:trPr>
        <w:tc>
          <w:tcPr>
            <w:tcW w:w="840" w:type="pct"/>
            <w:gridSpan w:val="2"/>
            <w:tcBorders>
              <w:top w:val="thinThickSmallGap" w:sz="12" w:space="0" w:color="auto"/>
            </w:tcBorders>
            <w:vAlign w:val="center"/>
          </w:tcPr>
          <w:p w14:paraId="42B9DA60" w14:textId="7BBF3FF0" w:rsidR="007245C1" w:rsidRPr="003B76AC" w:rsidRDefault="00D7252F" w:rsidP="007245C1">
            <w:pPr>
              <w:rPr>
                <w:rFonts w:ascii="Arial" w:hAnsi="Arial" w:cs="Arial"/>
                <w:b/>
                <w:bCs/>
                <w:i/>
                <w:iCs/>
                <w:sz w:val="14"/>
                <w:vertAlign w:val="superscript"/>
                <w:lang w:val="en-GB"/>
              </w:rPr>
            </w:pPr>
            <w:r>
              <w:rPr>
                <w:rFonts w:ascii="Arial" w:hAnsi="Arial" w:cs="Arial"/>
                <w:b/>
                <w:bCs/>
                <w:i/>
                <w:iCs/>
                <w:sz w:val="14"/>
                <w:lang w:val="en-GB"/>
              </w:rPr>
              <w:t>Number of the subject</w:t>
            </w:r>
          </w:p>
        </w:tc>
        <w:tc>
          <w:tcPr>
            <w:tcW w:w="859" w:type="pct"/>
            <w:gridSpan w:val="2"/>
            <w:tcBorders>
              <w:top w:val="single" w:sz="4" w:space="0" w:color="auto"/>
            </w:tcBorders>
            <w:vAlign w:val="center"/>
          </w:tcPr>
          <w:p w14:paraId="6EFB795A" w14:textId="63AFD7B3" w:rsidR="007245C1" w:rsidRPr="003B76AC" w:rsidRDefault="003B76AC" w:rsidP="007245C1">
            <w:pPr>
              <w:jc w:val="center"/>
              <w:rPr>
                <w:rFonts w:ascii="Arial" w:hAnsi="Arial" w:cs="Arial"/>
                <w:b/>
                <w:bCs/>
                <w:i/>
                <w:iCs/>
                <w:sz w:val="14"/>
                <w:lang w:val="en-GB"/>
              </w:rPr>
            </w:pPr>
            <w:r w:rsidRPr="003B76AC">
              <w:rPr>
                <w:rFonts w:ascii="Arial" w:hAnsi="Arial" w:cs="Arial"/>
                <w:b/>
                <w:bCs/>
                <w:i/>
                <w:iCs/>
                <w:sz w:val="14"/>
                <w:lang w:val="en-GB"/>
              </w:rPr>
              <w:t>Status</w:t>
            </w:r>
          </w:p>
        </w:tc>
        <w:tc>
          <w:tcPr>
            <w:tcW w:w="556" w:type="pct"/>
            <w:tcBorders>
              <w:top w:val="single" w:sz="4" w:space="0" w:color="auto"/>
            </w:tcBorders>
            <w:vAlign w:val="center"/>
          </w:tcPr>
          <w:p w14:paraId="406B61CA" w14:textId="092DBA34" w:rsidR="007245C1" w:rsidRPr="003B76AC" w:rsidRDefault="007245C1" w:rsidP="003B76AC">
            <w:pPr>
              <w:jc w:val="center"/>
              <w:rPr>
                <w:rFonts w:ascii="Arial" w:hAnsi="Arial" w:cs="Arial"/>
                <w:b/>
                <w:bCs/>
                <w:i/>
                <w:iCs/>
                <w:sz w:val="14"/>
                <w:lang w:val="en-GB"/>
              </w:rPr>
            </w:pPr>
            <w:r w:rsidRPr="003B76AC">
              <w:rPr>
                <w:rFonts w:ascii="Arial" w:hAnsi="Arial" w:cs="Arial"/>
                <w:b/>
                <w:bCs/>
                <w:i/>
                <w:iCs/>
                <w:sz w:val="14"/>
                <w:lang w:val="en-GB"/>
              </w:rPr>
              <w:t>Semest</w:t>
            </w:r>
            <w:r w:rsidR="003B76AC" w:rsidRPr="003B76AC">
              <w:rPr>
                <w:rFonts w:ascii="Arial" w:hAnsi="Arial" w:cs="Arial"/>
                <w:b/>
                <w:bCs/>
                <w:i/>
                <w:iCs/>
                <w:sz w:val="14"/>
                <w:lang w:val="en-GB"/>
              </w:rPr>
              <w:t>e</w:t>
            </w:r>
            <w:r w:rsidRPr="003B76AC">
              <w:rPr>
                <w:rFonts w:ascii="Arial" w:hAnsi="Arial" w:cs="Arial"/>
                <w:b/>
                <w:bCs/>
                <w:i/>
                <w:iCs/>
                <w:sz w:val="14"/>
                <w:lang w:val="en-GB"/>
              </w:rPr>
              <w:t>r</w:t>
            </w:r>
          </w:p>
        </w:tc>
        <w:tc>
          <w:tcPr>
            <w:tcW w:w="971" w:type="pct"/>
            <w:tcBorders>
              <w:top w:val="single" w:sz="4" w:space="0" w:color="auto"/>
              <w:right w:val="single" w:sz="4" w:space="0" w:color="auto"/>
            </w:tcBorders>
            <w:vAlign w:val="center"/>
          </w:tcPr>
          <w:p w14:paraId="72935207" w14:textId="23152AEB" w:rsidR="007245C1" w:rsidRPr="003B76AC" w:rsidRDefault="007245C1" w:rsidP="003B76AC">
            <w:pPr>
              <w:jc w:val="center"/>
              <w:rPr>
                <w:rFonts w:ascii="Arial" w:hAnsi="Arial" w:cs="Arial"/>
                <w:b/>
                <w:bCs/>
                <w:i/>
                <w:iCs/>
                <w:sz w:val="14"/>
                <w:lang w:val="en-GB"/>
              </w:rPr>
            </w:pPr>
            <w:r w:rsidRPr="003B76AC">
              <w:rPr>
                <w:rFonts w:ascii="Arial" w:hAnsi="Arial" w:cs="Arial"/>
                <w:b/>
                <w:bCs/>
                <w:i/>
                <w:iCs/>
                <w:sz w:val="14"/>
                <w:lang w:val="en-GB"/>
              </w:rPr>
              <w:t xml:space="preserve">ECTS </w:t>
            </w:r>
            <w:r w:rsidR="003B76AC" w:rsidRPr="003B76AC">
              <w:rPr>
                <w:rFonts w:ascii="Arial" w:hAnsi="Arial" w:cs="Arial"/>
                <w:b/>
                <w:bCs/>
                <w:i/>
                <w:iCs/>
                <w:sz w:val="14"/>
                <w:lang w:val="en-GB"/>
              </w:rPr>
              <w:t>credits</w:t>
            </w:r>
          </w:p>
        </w:tc>
        <w:tc>
          <w:tcPr>
            <w:tcW w:w="1730" w:type="pct"/>
            <w:gridSpan w:val="2"/>
            <w:tcBorders>
              <w:top w:val="single" w:sz="4" w:space="0" w:color="auto"/>
              <w:left w:val="single" w:sz="4" w:space="0" w:color="auto"/>
              <w:right w:val="thinThickSmallGap" w:sz="12" w:space="0" w:color="auto"/>
            </w:tcBorders>
            <w:vAlign w:val="center"/>
          </w:tcPr>
          <w:p w14:paraId="18BED9F8" w14:textId="16A5A7C6" w:rsidR="007245C1" w:rsidRPr="003B76AC" w:rsidRDefault="003B76AC" w:rsidP="007245C1">
            <w:pPr>
              <w:jc w:val="center"/>
              <w:rPr>
                <w:rFonts w:ascii="Arial" w:hAnsi="Arial" w:cs="Arial"/>
                <w:b/>
                <w:bCs/>
                <w:i/>
                <w:iCs/>
                <w:sz w:val="14"/>
                <w:lang w:val="en-GB"/>
              </w:rPr>
            </w:pPr>
            <w:r w:rsidRPr="003B76AC">
              <w:rPr>
                <w:rFonts w:ascii="Arial" w:hAnsi="Arial" w:cs="Arial"/>
                <w:b/>
                <w:bCs/>
                <w:i/>
                <w:iCs/>
                <w:sz w:val="14"/>
                <w:lang w:val="en-GB"/>
              </w:rPr>
              <w:t>Weekly (ho</w:t>
            </w:r>
            <w:r w:rsidR="00D7252F">
              <w:rPr>
                <w:rFonts w:ascii="Arial" w:hAnsi="Arial" w:cs="Arial"/>
                <w:b/>
                <w:bCs/>
                <w:i/>
                <w:iCs/>
                <w:sz w:val="14"/>
                <w:lang w:val="en-GB"/>
              </w:rPr>
              <w:t>urs</w:t>
            </w:r>
            <w:r w:rsidRPr="003B76AC">
              <w:rPr>
                <w:rFonts w:ascii="Arial" w:hAnsi="Arial" w:cs="Arial"/>
                <w:b/>
                <w:bCs/>
                <w:i/>
                <w:iCs/>
                <w:sz w:val="14"/>
                <w:lang w:val="en-GB"/>
              </w:rPr>
              <w:t>)</w:t>
            </w:r>
          </w:p>
        </w:tc>
      </w:tr>
      <w:tr w:rsidR="007245C1" w:rsidRPr="003B76AC" w14:paraId="5B69F6D0" w14:textId="77777777" w:rsidTr="00C0046A">
        <w:trPr>
          <w:gridBefore w:val="1"/>
          <w:wBefore w:w="44" w:type="pct"/>
          <w:trHeight w:val="35"/>
          <w:jc w:val="center"/>
        </w:trPr>
        <w:tc>
          <w:tcPr>
            <w:tcW w:w="840" w:type="pct"/>
            <w:gridSpan w:val="2"/>
            <w:vAlign w:val="center"/>
          </w:tcPr>
          <w:p w14:paraId="2190B4E1" w14:textId="77777777" w:rsidR="007245C1" w:rsidRPr="003B76AC" w:rsidRDefault="007245C1" w:rsidP="007245C1">
            <w:pPr>
              <w:rPr>
                <w:b/>
                <w:bCs/>
                <w:i/>
                <w:iCs/>
                <w:sz w:val="20"/>
                <w:lang w:val="en-GB"/>
              </w:rPr>
            </w:pPr>
          </w:p>
        </w:tc>
        <w:tc>
          <w:tcPr>
            <w:tcW w:w="859" w:type="pct"/>
            <w:gridSpan w:val="2"/>
            <w:vAlign w:val="center"/>
          </w:tcPr>
          <w:p w14:paraId="4777F1FB" w14:textId="223FD29D" w:rsidR="007245C1" w:rsidRPr="003B76AC" w:rsidRDefault="003B76AC" w:rsidP="007245C1">
            <w:pPr>
              <w:jc w:val="center"/>
              <w:rPr>
                <w:rFonts w:ascii="Arial" w:hAnsi="Arial" w:cs="Arial"/>
                <w:b/>
                <w:bCs/>
                <w:iCs/>
                <w:sz w:val="14"/>
                <w:u w:val="single"/>
                <w:lang w:val="en-GB"/>
              </w:rPr>
            </w:pPr>
            <w:r w:rsidRPr="003B76AC">
              <w:rPr>
                <w:rFonts w:ascii="Arial" w:hAnsi="Arial" w:cs="Arial"/>
                <w:b/>
                <w:bCs/>
                <w:iCs/>
                <w:sz w:val="14"/>
                <w:u w:val="single"/>
                <w:lang w:val="en-GB"/>
              </w:rPr>
              <w:t>Obligatory</w:t>
            </w:r>
          </w:p>
        </w:tc>
        <w:tc>
          <w:tcPr>
            <w:tcW w:w="556" w:type="pct"/>
            <w:vAlign w:val="center"/>
          </w:tcPr>
          <w:p w14:paraId="5F8B06A5" w14:textId="77777777" w:rsidR="007245C1" w:rsidRPr="003B76AC" w:rsidRDefault="001A722C" w:rsidP="007245C1">
            <w:pPr>
              <w:jc w:val="center"/>
              <w:rPr>
                <w:rFonts w:ascii="Arial" w:hAnsi="Arial" w:cs="Arial"/>
                <w:b/>
                <w:bCs/>
                <w:iCs/>
                <w:sz w:val="14"/>
                <w:lang w:val="en-GB"/>
              </w:rPr>
            </w:pPr>
            <w:r w:rsidRPr="003B76AC">
              <w:rPr>
                <w:rFonts w:ascii="Arial" w:hAnsi="Arial" w:cs="Arial"/>
                <w:b/>
                <w:bCs/>
                <w:iCs/>
                <w:sz w:val="14"/>
                <w:lang w:val="en-GB"/>
              </w:rPr>
              <w:t xml:space="preserve">I </w:t>
            </w:r>
            <w:proofErr w:type="spellStart"/>
            <w:r w:rsidR="00773986" w:rsidRPr="003B76AC">
              <w:rPr>
                <w:rFonts w:ascii="Arial" w:hAnsi="Arial" w:cs="Arial"/>
                <w:b/>
                <w:bCs/>
                <w:iCs/>
                <w:sz w:val="14"/>
                <w:lang w:val="en-GB"/>
              </w:rPr>
              <w:t>I</w:t>
            </w:r>
            <w:proofErr w:type="spellEnd"/>
          </w:p>
        </w:tc>
        <w:tc>
          <w:tcPr>
            <w:tcW w:w="971" w:type="pct"/>
            <w:tcBorders>
              <w:right w:val="single" w:sz="4" w:space="0" w:color="auto"/>
            </w:tcBorders>
            <w:vAlign w:val="center"/>
          </w:tcPr>
          <w:p w14:paraId="738AC753" w14:textId="77777777" w:rsidR="007245C1" w:rsidRPr="003B76AC" w:rsidRDefault="00FC2841" w:rsidP="007245C1">
            <w:pPr>
              <w:jc w:val="center"/>
              <w:rPr>
                <w:rFonts w:ascii="Arial" w:hAnsi="Arial" w:cs="Arial"/>
                <w:b/>
                <w:bCs/>
                <w:iCs/>
                <w:sz w:val="14"/>
                <w:lang w:val="en-GB"/>
              </w:rPr>
            </w:pPr>
            <w:r w:rsidRPr="003B76AC">
              <w:rPr>
                <w:rFonts w:ascii="Arial" w:hAnsi="Arial" w:cs="Arial"/>
                <w:b/>
                <w:bCs/>
                <w:iCs/>
                <w:sz w:val="14"/>
                <w:lang w:val="en-GB"/>
              </w:rPr>
              <w:t>8</w:t>
            </w:r>
          </w:p>
        </w:tc>
        <w:tc>
          <w:tcPr>
            <w:tcW w:w="1730" w:type="pct"/>
            <w:gridSpan w:val="2"/>
            <w:tcBorders>
              <w:left w:val="single" w:sz="4" w:space="0" w:color="auto"/>
              <w:right w:val="thinThickSmallGap" w:sz="12" w:space="0" w:color="auto"/>
            </w:tcBorders>
            <w:vAlign w:val="center"/>
          </w:tcPr>
          <w:p w14:paraId="2E0D9DC2" w14:textId="77777777" w:rsidR="007245C1" w:rsidRPr="003B76AC" w:rsidRDefault="001A722C" w:rsidP="00CA5A28">
            <w:pPr>
              <w:jc w:val="center"/>
              <w:rPr>
                <w:rFonts w:ascii="Arial" w:hAnsi="Arial" w:cs="Arial"/>
                <w:b/>
                <w:bCs/>
                <w:iCs/>
                <w:sz w:val="14"/>
                <w:lang w:val="en-GB"/>
              </w:rPr>
            </w:pPr>
            <w:r w:rsidRPr="003B76AC">
              <w:rPr>
                <w:rFonts w:ascii="Arial" w:hAnsi="Arial" w:cs="Arial"/>
                <w:b/>
                <w:bCs/>
                <w:iCs/>
                <w:sz w:val="14"/>
                <w:lang w:val="en-GB"/>
              </w:rPr>
              <w:t>4</w:t>
            </w:r>
            <w:r w:rsidR="00E43492" w:rsidRPr="003B76AC">
              <w:rPr>
                <w:rFonts w:ascii="Arial" w:hAnsi="Arial" w:cs="Arial"/>
                <w:b/>
                <w:bCs/>
                <w:iCs/>
                <w:sz w:val="14"/>
                <w:lang w:val="en-GB"/>
              </w:rPr>
              <w:t xml:space="preserve">P + </w:t>
            </w:r>
            <w:r w:rsidR="00CA5A28" w:rsidRPr="003B76AC">
              <w:rPr>
                <w:rFonts w:ascii="Arial" w:hAnsi="Arial" w:cs="Arial"/>
                <w:b/>
                <w:bCs/>
                <w:iCs/>
                <w:sz w:val="14"/>
                <w:lang w:val="en-GB"/>
              </w:rPr>
              <w:t>1</w:t>
            </w:r>
            <w:r w:rsidR="00E43492" w:rsidRPr="003B76AC">
              <w:rPr>
                <w:rFonts w:ascii="Arial" w:hAnsi="Arial" w:cs="Arial"/>
                <w:b/>
                <w:bCs/>
                <w:iCs/>
                <w:sz w:val="14"/>
                <w:lang w:val="en-GB"/>
              </w:rPr>
              <w:t>V</w:t>
            </w:r>
          </w:p>
        </w:tc>
      </w:tr>
      <w:tr w:rsidR="007245C1" w:rsidRPr="003B76AC" w14:paraId="52BA0035" w14:textId="77777777" w:rsidTr="00C0046A">
        <w:tblPrEx>
          <w:jc w:val="left"/>
        </w:tblPrEx>
        <w:trPr>
          <w:gridAfter w:val="1"/>
          <w:wAfter w:w="29" w:type="pct"/>
          <w:trHeight w:val="264"/>
        </w:trPr>
        <w:tc>
          <w:tcPr>
            <w:tcW w:w="4971" w:type="pct"/>
            <w:gridSpan w:val="8"/>
            <w:tcBorders>
              <w:bottom w:val="single" w:sz="4" w:space="0" w:color="auto"/>
            </w:tcBorders>
          </w:tcPr>
          <w:p w14:paraId="269F923D" w14:textId="1B439BD0" w:rsidR="007245C1" w:rsidRPr="003B76AC" w:rsidRDefault="003B76AC" w:rsidP="003B76AC">
            <w:pPr>
              <w:rPr>
                <w:rFonts w:ascii="Arial" w:hAnsi="Arial" w:cs="Arial"/>
                <w:b/>
                <w:bCs/>
                <w:i/>
                <w:iCs/>
                <w:color w:val="000000"/>
                <w:sz w:val="14"/>
                <w:szCs w:val="14"/>
                <w:lang w:val="en-GB"/>
              </w:rPr>
            </w:pPr>
            <w:r w:rsidRPr="003B76AC">
              <w:rPr>
                <w:rFonts w:ascii="Arial" w:hAnsi="Arial" w:cs="Arial"/>
                <w:sz w:val="14"/>
                <w:szCs w:val="14"/>
                <w:lang w:val="en-GB"/>
              </w:rPr>
              <w:t xml:space="preserve">Academic Master Studies in Business </w:t>
            </w:r>
            <w:proofErr w:type="gramStart"/>
            <w:r w:rsidRPr="003B76AC">
              <w:rPr>
                <w:rFonts w:ascii="Arial" w:hAnsi="Arial" w:cs="Arial"/>
                <w:sz w:val="14"/>
                <w:szCs w:val="14"/>
                <w:lang w:val="en-GB"/>
              </w:rPr>
              <w:t>Law</w:t>
            </w:r>
            <w:r w:rsidR="007245C1" w:rsidRPr="003B76AC">
              <w:rPr>
                <w:rFonts w:ascii="Arial" w:hAnsi="Arial" w:cs="Arial"/>
                <w:sz w:val="14"/>
                <w:szCs w:val="14"/>
                <w:lang w:val="en-GB"/>
              </w:rPr>
              <w:t xml:space="preserve">  </w:t>
            </w:r>
            <w:r w:rsidRPr="003B76AC">
              <w:rPr>
                <w:rFonts w:ascii="Arial" w:hAnsi="Arial" w:cs="Arial"/>
                <w:sz w:val="14"/>
                <w:szCs w:val="14"/>
                <w:lang w:val="en-GB"/>
              </w:rPr>
              <w:t>(</w:t>
            </w:r>
            <w:proofErr w:type="gramEnd"/>
            <w:r w:rsidRPr="003B76AC">
              <w:rPr>
                <w:rFonts w:ascii="Arial" w:hAnsi="Arial" w:cs="Arial"/>
                <w:sz w:val="14"/>
                <w:szCs w:val="14"/>
                <w:lang w:val="en-GB"/>
              </w:rPr>
              <w:t>UoM Faculty of Law</w:t>
            </w:r>
            <w:r w:rsidR="007245C1" w:rsidRPr="003B76AC">
              <w:rPr>
                <w:rFonts w:ascii="Arial" w:hAnsi="Arial" w:cs="Arial"/>
                <w:sz w:val="14"/>
                <w:szCs w:val="14"/>
                <w:lang w:val="en-GB"/>
              </w:rPr>
              <w:t xml:space="preserve"> (</w:t>
            </w:r>
            <w:r w:rsidR="001A722C" w:rsidRPr="003B76AC">
              <w:rPr>
                <w:rFonts w:ascii="Arial" w:hAnsi="Arial" w:cs="Arial"/>
                <w:sz w:val="14"/>
                <w:szCs w:val="14"/>
                <w:lang w:val="en-GB"/>
              </w:rPr>
              <w:t>4</w:t>
            </w:r>
            <w:r w:rsidR="007245C1" w:rsidRPr="003B76AC">
              <w:rPr>
                <w:rFonts w:ascii="Arial" w:hAnsi="Arial" w:cs="Arial"/>
                <w:sz w:val="14"/>
                <w:szCs w:val="14"/>
                <w:lang w:val="en-GB"/>
              </w:rPr>
              <w:t xml:space="preserve"> semes</w:t>
            </w:r>
            <w:r w:rsidRPr="003B76AC">
              <w:rPr>
                <w:rFonts w:ascii="Arial" w:hAnsi="Arial" w:cs="Arial"/>
                <w:sz w:val="14"/>
                <w:szCs w:val="14"/>
                <w:lang w:val="en-GB"/>
              </w:rPr>
              <w:t>ters</w:t>
            </w:r>
            <w:r w:rsidR="007245C1" w:rsidRPr="003B76AC">
              <w:rPr>
                <w:rFonts w:ascii="Arial" w:hAnsi="Arial" w:cs="Arial"/>
                <w:sz w:val="14"/>
                <w:szCs w:val="14"/>
                <w:lang w:val="en-GB"/>
              </w:rPr>
              <w:t xml:space="preserve">, </w:t>
            </w:r>
            <w:r w:rsidR="001A722C" w:rsidRPr="003B76AC">
              <w:rPr>
                <w:rFonts w:ascii="Arial" w:hAnsi="Arial" w:cs="Arial"/>
                <w:sz w:val="14"/>
                <w:szCs w:val="14"/>
                <w:lang w:val="en-GB"/>
              </w:rPr>
              <w:t>240</w:t>
            </w:r>
            <w:r w:rsidR="007245C1" w:rsidRPr="003B76AC">
              <w:rPr>
                <w:rFonts w:ascii="Arial" w:hAnsi="Arial" w:cs="Arial"/>
                <w:sz w:val="14"/>
                <w:szCs w:val="14"/>
                <w:lang w:val="en-GB"/>
              </w:rPr>
              <w:t xml:space="preserve"> ECTS </w:t>
            </w:r>
            <w:r w:rsidRPr="003B76AC">
              <w:rPr>
                <w:rFonts w:ascii="Arial" w:hAnsi="Arial" w:cs="Arial"/>
                <w:sz w:val="14"/>
                <w:szCs w:val="14"/>
                <w:lang w:val="en-GB"/>
              </w:rPr>
              <w:t>credits</w:t>
            </w:r>
            <w:r w:rsidR="007245C1" w:rsidRPr="003B76AC">
              <w:rPr>
                <w:rFonts w:ascii="Arial" w:hAnsi="Arial" w:cs="Arial"/>
                <w:sz w:val="14"/>
                <w:szCs w:val="14"/>
                <w:lang w:val="en-GB"/>
              </w:rPr>
              <w:t>).</w:t>
            </w:r>
          </w:p>
        </w:tc>
      </w:tr>
      <w:tr w:rsidR="007245C1" w:rsidRPr="003B76AC" w14:paraId="4D31D03F" w14:textId="77777777" w:rsidTr="00C0046A">
        <w:tblPrEx>
          <w:jc w:val="left"/>
        </w:tblPrEx>
        <w:trPr>
          <w:gridAfter w:val="1"/>
          <w:wAfter w:w="29" w:type="pct"/>
          <w:trHeight w:val="266"/>
        </w:trPr>
        <w:tc>
          <w:tcPr>
            <w:tcW w:w="4971" w:type="pct"/>
            <w:gridSpan w:val="8"/>
            <w:tcBorders>
              <w:bottom w:val="single" w:sz="4" w:space="0" w:color="auto"/>
            </w:tcBorders>
          </w:tcPr>
          <w:p w14:paraId="44A6C71F" w14:textId="70FC9B9F" w:rsidR="007245C1" w:rsidRPr="003B76AC" w:rsidRDefault="003B76AC" w:rsidP="003B76AC">
            <w:pPr>
              <w:pStyle w:val="BodyText3"/>
              <w:rPr>
                <w:rFonts w:cs="Arial"/>
                <w:b/>
                <w:bCs/>
                <w:i/>
                <w:iCs/>
                <w:sz w:val="16"/>
                <w:lang w:val="en-GB"/>
              </w:rPr>
            </w:pPr>
            <w:r w:rsidRPr="003B76AC">
              <w:rPr>
                <w:rFonts w:cs="Arial"/>
                <w:b/>
                <w:bCs/>
                <w:i/>
                <w:iCs/>
                <w:sz w:val="16"/>
                <w:lang w:val="en-GB"/>
              </w:rPr>
              <w:t>Conditions (other courses passed)</w:t>
            </w:r>
            <w:r w:rsidR="007245C1" w:rsidRPr="003B76AC">
              <w:rPr>
                <w:rFonts w:cs="Arial"/>
                <w:b/>
                <w:bCs/>
                <w:i/>
                <w:iCs/>
                <w:lang w:val="en-GB"/>
              </w:rPr>
              <w:t>:</w:t>
            </w:r>
            <w:r w:rsidR="007245C1" w:rsidRPr="003B76AC">
              <w:rPr>
                <w:rFonts w:cs="Arial"/>
                <w:sz w:val="14"/>
                <w:lang w:val="en-GB"/>
              </w:rPr>
              <w:t xml:space="preserve"> </w:t>
            </w:r>
            <w:r w:rsidRPr="003B76AC">
              <w:rPr>
                <w:rFonts w:cs="Arial"/>
                <w:color w:val="auto"/>
                <w:sz w:val="14"/>
                <w:szCs w:val="14"/>
                <w:lang w:val="en-GB"/>
              </w:rPr>
              <w:t>No</w:t>
            </w:r>
          </w:p>
        </w:tc>
      </w:tr>
      <w:tr w:rsidR="007245C1" w:rsidRPr="003B76AC" w14:paraId="17EA2EBD" w14:textId="77777777" w:rsidTr="00C0046A">
        <w:tblPrEx>
          <w:jc w:val="left"/>
        </w:tblPrEx>
        <w:trPr>
          <w:gridAfter w:val="1"/>
          <w:wAfter w:w="29" w:type="pct"/>
          <w:trHeight w:val="565"/>
        </w:trPr>
        <w:tc>
          <w:tcPr>
            <w:tcW w:w="4971" w:type="pct"/>
            <w:gridSpan w:val="8"/>
            <w:tcBorders>
              <w:bottom w:val="single" w:sz="4" w:space="0" w:color="auto"/>
            </w:tcBorders>
          </w:tcPr>
          <w:p w14:paraId="52155852" w14:textId="2B28E650" w:rsidR="00904D37" w:rsidRPr="003B76AC" w:rsidRDefault="003B76AC" w:rsidP="00E01818">
            <w:pPr>
              <w:jc w:val="both"/>
              <w:rPr>
                <w:rFonts w:ascii="Arial" w:hAnsi="Arial" w:cs="Arial"/>
                <w:b/>
                <w:bCs/>
                <w:i/>
                <w:iCs/>
                <w:sz w:val="16"/>
                <w:szCs w:val="16"/>
                <w:lang w:val="en-GB"/>
              </w:rPr>
            </w:pPr>
            <w:r w:rsidRPr="003B76AC">
              <w:rPr>
                <w:rFonts w:ascii="Arial" w:hAnsi="Arial" w:cs="Arial"/>
                <w:b/>
                <w:bCs/>
                <w:i/>
                <w:iCs/>
                <w:sz w:val="16"/>
                <w:szCs w:val="16"/>
                <w:lang w:val="en-GB"/>
              </w:rPr>
              <w:t xml:space="preserve">Objectives: By the end of the course, student should be capable of understanding </w:t>
            </w:r>
            <w:r>
              <w:rPr>
                <w:rFonts w:ascii="Arial" w:hAnsi="Arial" w:cs="Arial"/>
                <w:b/>
                <w:bCs/>
                <w:i/>
                <w:iCs/>
                <w:sz w:val="16"/>
                <w:szCs w:val="16"/>
                <w:lang w:val="en-GB"/>
              </w:rPr>
              <w:t xml:space="preserve">key principles of economic integration of the EU member states, as well as unique regulatory framework of the EU Internal Market, which includes TFEU, secondary EU legislation and the CJEU made law. Student should be able to understand and apply in concrete examples (hypothetical and real) of cases trailed before national </w:t>
            </w:r>
            <w:proofErr w:type="gramStart"/>
            <w:r>
              <w:rPr>
                <w:rFonts w:ascii="Arial" w:hAnsi="Arial" w:cs="Arial"/>
                <w:b/>
                <w:bCs/>
                <w:i/>
                <w:iCs/>
                <w:sz w:val="16"/>
                <w:szCs w:val="16"/>
                <w:lang w:val="en-GB"/>
              </w:rPr>
              <w:t>courts  key</w:t>
            </w:r>
            <w:proofErr w:type="gramEnd"/>
            <w:r>
              <w:rPr>
                <w:rFonts w:ascii="Arial" w:hAnsi="Arial" w:cs="Arial"/>
                <w:b/>
                <w:bCs/>
                <w:i/>
                <w:iCs/>
                <w:sz w:val="16"/>
                <w:szCs w:val="16"/>
                <w:lang w:val="en-GB"/>
              </w:rPr>
              <w:t xml:space="preserve"> legal standards and principles underlining current EU Internal Market Law. </w:t>
            </w:r>
          </w:p>
        </w:tc>
      </w:tr>
      <w:tr w:rsidR="00493707" w:rsidRPr="003B76AC" w14:paraId="0D4C9568" w14:textId="77777777" w:rsidTr="00C0046A">
        <w:tblPrEx>
          <w:jc w:val="left"/>
        </w:tblPrEx>
        <w:trPr>
          <w:gridAfter w:val="1"/>
          <w:wAfter w:w="29" w:type="pct"/>
          <w:trHeight w:val="80"/>
        </w:trPr>
        <w:tc>
          <w:tcPr>
            <w:tcW w:w="4971" w:type="pct"/>
            <w:gridSpan w:val="8"/>
            <w:tcBorders>
              <w:bottom w:val="nil"/>
            </w:tcBorders>
          </w:tcPr>
          <w:p w14:paraId="0E0FC02F" w14:textId="77777777" w:rsidR="00493707" w:rsidRPr="003B76AC" w:rsidRDefault="00493707" w:rsidP="007B5E20">
            <w:pPr>
              <w:jc w:val="both"/>
              <w:rPr>
                <w:rFonts w:ascii="Arial" w:hAnsi="Arial" w:cs="Arial"/>
                <w:b/>
                <w:bCs/>
                <w:i/>
                <w:iCs/>
                <w:sz w:val="16"/>
                <w:szCs w:val="16"/>
                <w:lang w:val="en-GB"/>
              </w:rPr>
            </w:pPr>
          </w:p>
        </w:tc>
      </w:tr>
      <w:tr w:rsidR="007245C1" w:rsidRPr="003B76AC" w14:paraId="4E692B3C" w14:textId="77777777" w:rsidTr="00C0046A">
        <w:tblPrEx>
          <w:jc w:val="left"/>
        </w:tblPrEx>
        <w:trPr>
          <w:gridAfter w:val="1"/>
          <w:wAfter w:w="29" w:type="pct"/>
          <w:trHeight w:val="45"/>
        </w:trPr>
        <w:tc>
          <w:tcPr>
            <w:tcW w:w="4971" w:type="pct"/>
            <w:gridSpan w:val="8"/>
            <w:tcBorders>
              <w:top w:val="nil"/>
              <w:left w:val="nil"/>
              <w:bottom w:val="single" w:sz="4" w:space="0" w:color="auto"/>
              <w:right w:val="nil"/>
            </w:tcBorders>
          </w:tcPr>
          <w:p w14:paraId="4E0C7173" w14:textId="6FD8FAD4" w:rsidR="007245C1" w:rsidRPr="003B76AC" w:rsidRDefault="00153A68" w:rsidP="002B1E1C">
            <w:pPr>
              <w:rPr>
                <w:rFonts w:ascii="Arial" w:hAnsi="Arial" w:cs="Arial"/>
                <w:b/>
                <w:bCs/>
                <w:i/>
                <w:iCs/>
                <w:sz w:val="16"/>
                <w:szCs w:val="16"/>
                <w:lang w:val="en-GB"/>
              </w:rPr>
            </w:pPr>
            <w:r w:rsidRPr="003B76AC">
              <w:rPr>
                <w:rFonts w:ascii="Arial" w:hAnsi="Arial" w:cs="Arial"/>
                <w:b/>
                <w:bCs/>
                <w:i/>
                <w:iCs/>
                <w:color w:val="000000"/>
                <w:sz w:val="16"/>
                <w:szCs w:val="16"/>
                <w:lang w:val="en-GB"/>
              </w:rPr>
              <w:t>Prof</w:t>
            </w:r>
            <w:r w:rsidR="002B1E1C">
              <w:rPr>
                <w:rFonts w:ascii="Arial" w:hAnsi="Arial" w:cs="Arial"/>
                <w:b/>
                <w:bCs/>
                <w:i/>
                <w:iCs/>
                <w:color w:val="000000"/>
                <w:sz w:val="16"/>
                <w:szCs w:val="16"/>
                <w:lang w:val="en-GB"/>
              </w:rPr>
              <w:t>essor</w:t>
            </w:r>
            <w:r w:rsidR="00CA5A28" w:rsidRPr="003B76AC">
              <w:rPr>
                <w:rFonts w:ascii="Arial" w:hAnsi="Arial" w:cs="Arial"/>
                <w:b/>
                <w:bCs/>
                <w:i/>
                <w:iCs/>
                <w:color w:val="000000"/>
                <w:sz w:val="16"/>
                <w:szCs w:val="16"/>
                <w:lang w:val="en-GB"/>
              </w:rPr>
              <w:t xml:space="preserve"> Vladimir </w:t>
            </w:r>
            <w:proofErr w:type="spellStart"/>
            <w:r w:rsidR="00CA5A28" w:rsidRPr="003B76AC">
              <w:rPr>
                <w:rFonts w:ascii="Arial" w:hAnsi="Arial" w:cs="Arial"/>
                <w:b/>
                <w:bCs/>
                <w:i/>
                <w:iCs/>
                <w:color w:val="000000"/>
                <w:sz w:val="16"/>
                <w:szCs w:val="16"/>
                <w:lang w:val="en-GB"/>
              </w:rPr>
              <w:t>Savković</w:t>
            </w:r>
            <w:proofErr w:type="spellEnd"/>
            <w:r w:rsidR="002B1E1C">
              <w:rPr>
                <w:rFonts w:ascii="Arial" w:hAnsi="Arial" w:cs="Arial"/>
                <w:sz w:val="16"/>
                <w:szCs w:val="16"/>
                <w:lang w:val="en-GB"/>
              </w:rPr>
              <w:t xml:space="preserve">, </w:t>
            </w:r>
            <w:r w:rsidR="002B1E1C" w:rsidRPr="002B1E1C">
              <w:rPr>
                <w:rFonts w:ascii="Arial" w:hAnsi="Arial" w:cs="Arial"/>
                <w:b/>
                <w:sz w:val="16"/>
                <w:szCs w:val="16"/>
                <w:lang w:val="en-GB"/>
              </w:rPr>
              <w:t>PhD (teacher)</w:t>
            </w:r>
          </w:p>
        </w:tc>
      </w:tr>
      <w:tr w:rsidR="00493707" w:rsidRPr="003B76AC" w14:paraId="7872F25A" w14:textId="77777777" w:rsidTr="00C0046A">
        <w:tblPrEx>
          <w:jc w:val="left"/>
        </w:tblPrEx>
        <w:trPr>
          <w:gridAfter w:val="1"/>
          <w:wAfter w:w="29" w:type="pct"/>
          <w:trHeight w:val="62"/>
        </w:trPr>
        <w:tc>
          <w:tcPr>
            <w:tcW w:w="4971" w:type="pct"/>
            <w:gridSpan w:val="8"/>
            <w:tcBorders>
              <w:top w:val="single" w:sz="4" w:space="0" w:color="auto"/>
              <w:left w:val="nil"/>
              <w:bottom w:val="nil"/>
              <w:right w:val="nil"/>
            </w:tcBorders>
          </w:tcPr>
          <w:p w14:paraId="33AC6A33" w14:textId="77777777" w:rsidR="00493707" w:rsidRPr="003B76AC" w:rsidRDefault="00493707" w:rsidP="00153A68">
            <w:pPr>
              <w:rPr>
                <w:rFonts w:ascii="Arial" w:hAnsi="Arial" w:cs="Arial"/>
                <w:b/>
                <w:bCs/>
                <w:i/>
                <w:iCs/>
                <w:sz w:val="2"/>
                <w:szCs w:val="2"/>
                <w:lang w:val="en-GB"/>
              </w:rPr>
            </w:pPr>
          </w:p>
        </w:tc>
      </w:tr>
      <w:tr w:rsidR="007245C1" w:rsidRPr="003B76AC" w14:paraId="5E17E333" w14:textId="77777777" w:rsidTr="00C0046A">
        <w:tblPrEx>
          <w:jc w:val="left"/>
        </w:tblPrEx>
        <w:trPr>
          <w:gridAfter w:val="1"/>
          <w:wAfter w:w="29" w:type="pct"/>
          <w:trHeight w:val="328"/>
        </w:trPr>
        <w:tc>
          <w:tcPr>
            <w:tcW w:w="4971" w:type="pct"/>
            <w:gridSpan w:val="8"/>
            <w:tcBorders>
              <w:top w:val="nil"/>
              <w:bottom w:val="single" w:sz="4" w:space="0" w:color="auto"/>
            </w:tcBorders>
          </w:tcPr>
          <w:p w14:paraId="6CC86000" w14:textId="58F4479F" w:rsidR="007245C1" w:rsidRPr="003B76AC" w:rsidRDefault="002B1E1C" w:rsidP="002B1E1C">
            <w:pPr>
              <w:rPr>
                <w:rFonts w:ascii="Arial" w:hAnsi="Arial" w:cs="Arial"/>
                <w:b/>
                <w:bCs/>
                <w:i/>
                <w:iCs/>
                <w:sz w:val="12"/>
                <w:lang w:val="en-GB"/>
              </w:rPr>
            </w:pPr>
            <w:r>
              <w:rPr>
                <w:rFonts w:ascii="Arial" w:hAnsi="Arial" w:cs="Arial"/>
                <w:b/>
                <w:bCs/>
                <w:i/>
                <w:iCs/>
                <w:sz w:val="16"/>
                <w:lang w:val="en-GB"/>
              </w:rPr>
              <w:t xml:space="preserve">Methods: Lectures; Guests lectures; Discussion on hypothetical and real cases/decisions; Case study and seminars. </w:t>
            </w:r>
          </w:p>
        </w:tc>
      </w:tr>
      <w:tr w:rsidR="007245C1" w:rsidRPr="003B76AC" w14:paraId="5CE96533" w14:textId="77777777" w:rsidTr="00C0046A">
        <w:tblPrEx>
          <w:jc w:val="left"/>
        </w:tblPrEx>
        <w:trPr>
          <w:gridAfter w:val="1"/>
          <w:wAfter w:w="29" w:type="pct"/>
          <w:cantSplit/>
          <w:trHeight w:val="267"/>
        </w:trPr>
        <w:tc>
          <w:tcPr>
            <w:tcW w:w="4971" w:type="pct"/>
            <w:gridSpan w:val="8"/>
            <w:tcBorders>
              <w:top w:val="single" w:sz="4" w:space="0" w:color="auto"/>
              <w:left w:val="single" w:sz="4" w:space="0" w:color="auto"/>
              <w:bottom w:val="single" w:sz="4" w:space="0" w:color="auto"/>
            </w:tcBorders>
            <w:vAlign w:val="center"/>
          </w:tcPr>
          <w:p w14:paraId="5573F777" w14:textId="681A3B64" w:rsidR="007245C1" w:rsidRPr="003B76AC" w:rsidRDefault="002B1E1C" w:rsidP="007245C1">
            <w:pPr>
              <w:pStyle w:val="Heading3"/>
              <w:jc w:val="left"/>
              <w:rPr>
                <w:rFonts w:cs="Arial"/>
                <w:sz w:val="16"/>
                <w:szCs w:val="16"/>
                <w:lang w:val="en-GB"/>
              </w:rPr>
            </w:pPr>
            <w:r>
              <w:rPr>
                <w:rFonts w:cs="Arial"/>
                <w:sz w:val="16"/>
                <w:szCs w:val="16"/>
                <w:lang w:val="en-GB"/>
              </w:rPr>
              <w:t>Activities (by week)</w:t>
            </w:r>
            <w:r w:rsidR="007245C1" w:rsidRPr="003B76AC">
              <w:rPr>
                <w:rFonts w:cs="Arial"/>
                <w:sz w:val="16"/>
                <w:szCs w:val="16"/>
                <w:lang w:val="en-GB"/>
              </w:rPr>
              <w:t>:</w:t>
            </w:r>
            <w:r w:rsidR="007245C1" w:rsidRPr="003B76AC">
              <w:rPr>
                <w:sz w:val="16"/>
                <w:lang w:val="en-GB"/>
              </w:rPr>
              <w:t xml:space="preserve"> </w:t>
            </w:r>
          </w:p>
        </w:tc>
      </w:tr>
      <w:tr w:rsidR="007245C1" w:rsidRPr="003B76AC" w14:paraId="66F1623F" w14:textId="77777777" w:rsidTr="00C0046A">
        <w:tblPrEx>
          <w:jc w:val="left"/>
        </w:tblPrEx>
        <w:trPr>
          <w:gridAfter w:val="1"/>
          <w:wAfter w:w="29" w:type="pct"/>
          <w:cantSplit/>
          <w:trHeight w:val="582"/>
        </w:trPr>
        <w:tc>
          <w:tcPr>
            <w:tcW w:w="931" w:type="pct"/>
            <w:gridSpan w:val="4"/>
            <w:tcBorders>
              <w:top w:val="single" w:sz="4" w:space="0" w:color="auto"/>
              <w:bottom w:val="single" w:sz="4" w:space="0" w:color="auto"/>
            </w:tcBorders>
            <w:vAlign w:val="center"/>
          </w:tcPr>
          <w:p w14:paraId="341ABC43" w14:textId="2D5907FC" w:rsidR="00A96D75" w:rsidRPr="003B76AC" w:rsidRDefault="007245C1" w:rsidP="002B1E1C">
            <w:pPr>
              <w:rPr>
                <w:rFonts w:ascii="Arial" w:hAnsi="Arial" w:cs="Arial"/>
                <w:sz w:val="12"/>
                <w:lang w:val="en-GB"/>
              </w:rPr>
            </w:pPr>
            <w:r w:rsidRPr="003B76AC">
              <w:rPr>
                <w:rFonts w:ascii="Arial" w:hAnsi="Arial" w:cs="Arial"/>
                <w:sz w:val="12"/>
                <w:u w:val="single"/>
                <w:lang w:val="en-GB"/>
              </w:rPr>
              <w:t xml:space="preserve"> </w:t>
            </w:r>
            <w:r w:rsidR="002B1E1C">
              <w:rPr>
                <w:rFonts w:ascii="Arial" w:hAnsi="Arial" w:cs="Arial"/>
                <w:sz w:val="12"/>
                <w:u w:val="single"/>
                <w:lang w:val="en-GB"/>
              </w:rPr>
              <w:t>I week</w:t>
            </w:r>
          </w:p>
        </w:tc>
        <w:tc>
          <w:tcPr>
            <w:tcW w:w="4040" w:type="pct"/>
            <w:gridSpan w:val="4"/>
            <w:tcBorders>
              <w:top w:val="single" w:sz="4" w:space="0" w:color="auto"/>
              <w:bottom w:val="single" w:sz="4" w:space="0" w:color="auto"/>
            </w:tcBorders>
            <w:vAlign w:val="center"/>
          </w:tcPr>
          <w:p w14:paraId="6D04A9C2" w14:textId="3F6C80A6" w:rsidR="005101A7" w:rsidRPr="00C91A03" w:rsidRDefault="002B1E1C" w:rsidP="002B1E1C">
            <w:pPr>
              <w:jc w:val="both"/>
              <w:rPr>
                <w:rFonts w:ascii="Arial" w:hAnsi="Arial" w:cs="Arial"/>
                <w:b/>
                <w:sz w:val="13"/>
                <w:szCs w:val="13"/>
                <w:lang w:val="en-GB"/>
              </w:rPr>
            </w:pPr>
            <w:r w:rsidRPr="00C91A03">
              <w:rPr>
                <w:rFonts w:ascii="Arial" w:hAnsi="Arial" w:cs="Arial"/>
                <w:b/>
                <w:sz w:val="13"/>
                <w:szCs w:val="13"/>
                <w:lang w:val="en-GB"/>
              </w:rPr>
              <w:t xml:space="preserve">Introduction; Common expectations in students / professor relation; Notion and sources of EU Internal Market Law; Basic principles of EU Law in the context of Internal Market (Direct effect; Supremacy; Proportionality, etc.) </w:t>
            </w:r>
          </w:p>
        </w:tc>
      </w:tr>
      <w:tr w:rsidR="007A67B9" w:rsidRPr="003B76AC" w14:paraId="26A10808" w14:textId="77777777" w:rsidTr="00C0046A">
        <w:tblPrEx>
          <w:jc w:val="left"/>
        </w:tblPrEx>
        <w:trPr>
          <w:gridAfter w:val="1"/>
          <w:wAfter w:w="29" w:type="pct"/>
          <w:cantSplit/>
          <w:trHeight w:val="423"/>
        </w:trPr>
        <w:tc>
          <w:tcPr>
            <w:tcW w:w="931" w:type="pct"/>
            <w:gridSpan w:val="4"/>
            <w:tcBorders>
              <w:top w:val="single" w:sz="4" w:space="0" w:color="auto"/>
              <w:bottom w:val="single" w:sz="4" w:space="0" w:color="auto"/>
            </w:tcBorders>
            <w:vAlign w:val="center"/>
          </w:tcPr>
          <w:p w14:paraId="1A75A8F4" w14:textId="77777777" w:rsidR="007A67B9" w:rsidRPr="003B76AC" w:rsidRDefault="007A67B9" w:rsidP="007A67B9">
            <w:pPr>
              <w:rPr>
                <w:rFonts w:ascii="Arial" w:hAnsi="Arial" w:cs="Arial"/>
                <w:sz w:val="12"/>
                <w:lang w:val="en-GB"/>
              </w:rPr>
            </w:pPr>
          </w:p>
          <w:p w14:paraId="3ECDC6EF" w14:textId="6AA99746" w:rsidR="007A67B9" w:rsidRPr="003B76AC" w:rsidRDefault="002B1E1C" w:rsidP="002B5C5A">
            <w:pPr>
              <w:rPr>
                <w:rFonts w:ascii="Arial" w:hAnsi="Arial" w:cs="Arial"/>
                <w:sz w:val="12"/>
                <w:u w:val="single"/>
                <w:lang w:val="en-GB"/>
              </w:rPr>
            </w:pPr>
            <w:r>
              <w:rPr>
                <w:rFonts w:ascii="Arial" w:hAnsi="Arial" w:cs="Arial"/>
                <w:sz w:val="12"/>
                <w:u w:val="single"/>
                <w:lang w:val="en-GB"/>
              </w:rPr>
              <w:t>II week</w:t>
            </w:r>
          </w:p>
        </w:tc>
        <w:tc>
          <w:tcPr>
            <w:tcW w:w="4040" w:type="pct"/>
            <w:gridSpan w:val="4"/>
            <w:tcBorders>
              <w:top w:val="single" w:sz="4" w:space="0" w:color="auto"/>
              <w:bottom w:val="single" w:sz="4" w:space="0" w:color="auto"/>
            </w:tcBorders>
            <w:vAlign w:val="center"/>
          </w:tcPr>
          <w:p w14:paraId="77558375" w14:textId="0C7585DC" w:rsidR="007A67B9" w:rsidRPr="003B76AC" w:rsidRDefault="002B1E1C" w:rsidP="00C91A03">
            <w:pPr>
              <w:rPr>
                <w:rFonts w:ascii="Arial" w:hAnsi="Arial" w:cs="Arial"/>
                <w:sz w:val="13"/>
                <w:szCs w:val="13"/>
                <w:lang w:val="en-GB"/>
              </w:rPr>
            </w:pPr>
            <w:r>
              <w:rPr>
                <w:rFonts w:ascii="Arial" w:hAnsi="Arial" w:cs="Arial"/>
                <w:b/>
                <w:sz w:val="13"/>
                <w:szCs w:val="13"/>
                <w:lang w:val="en-GB"/>
              </w:rPr>
              <w:t>The beginnings of the EU and of its internal market; Har</w:t>
            </w:r>
            <w:r w:rsidR="00C91A03">
              <w:rPr>
                <w:rFonts w:ascii="Arial" w:hAnsi="Arial" w:cs="Arial"/>
                <w:b/>
                <w:sz w:val="13"/>
                <w:szCs w:val="13"/>
                <w:lang w:val="en-GB"/>
              </w:rPr>
              <w:t>monization; Union citizenship and its interaction with four freedoms of the EU Internal Market.</w:t>
            </w:r>
          </w:p>
        </w:tc>
      </w:tr>
      <w:tr w:rsidR="007A67B9" w:rsidRPr="003B76AC" w14:paraId="2A26459B" w14:textId="77777777" w:rsidTr="00C0046A">
        <w:tblPrEx>
          <w:jc w:val="left"/>
        </w:tblPrEx>
        <w:trPr>
          <w:gridAfter w:val="1"/>
          <w:wAfter w:w="29" w:type="pct"/>
          <w:cantSplit/>
          <w:trHeight w:val="482"/>
        </w:trPr>
        <w:tc>
          <w:tcPr>
            <w:tcW w:w="931" w:type="pct"/>
            <w:gridSpan w:val="4"/>
            <w:tcBorders>
              <w:top w:val="single" w:sz="4" w:space="0" w:color="auto"/>
              <w:bottom w:val="single" w:sz="4" w:space="0" w:color="auto"/>
            </w:tcBorders>
            <w:vAlign w:val="center"/>
          </w:tcPr>
          <w:p w14:paraId="7EF79F94" w14:textId="77777777" w:rsidR="007A67B9" w:rsidRPr="003B76AC" w:rsidRDefault="007A67B9" w:rsidP="007A67B9">
            <w:pPr>
              <w:rPr>
                <w:rFonts w:ascii="Arial" w:hAnsi="Arial" w:cs="Arial"/>
                <w:sz w:val="12"/>
                <w:u w:val="single"/>
                <w:lang w:val="en-GB"/>
              </w:rPr>
            </w:pPr>
          </w:p>
          <w:p w14:paraId="4F3745B5" w14:textId="0A4BA2A2" w:rsidR="007A67B9" w:rsidRPr="003B76AC" w:rsidRDefault="007A67B9" w:rsidP="007A67B9">
            <w:pPr>
              <w:rPr>
                <w:rFonts w:ascii="Arial" w:hAnsi="Arial" w:cs="Arial"/>
                <w:sz w:val="12"/>
                <w:u w:val="single"/>
                <w:lang w:val="en-GB"/>
              </w:rPr>
            </w:pPr>
            <w:proofErr w:type="gramStart"/>
            <w:r w:rsidRPr="003B76AC">
              <w:rPr>
                <w:rFonts w:ascii="Arial" w:hAnsi="Arial" w:cs="Arial"/>
                <w:sz w:val="12"/>
                <w:u w:val="single"/>
                <w:lang w:val="en-GB"/>
              </w:rPr>
              <w:t xml:space="preserve">III  </w:t>
            </w:r>
            <w:r w:rsidR="002B1E1C">
              <w:rPr>
                <w:rFonts w:ascii="Arial" w:hAnsi="Arial" w:cs="Arial"/>
                <w:sz w:val="12"/>
                <w:u w:val="single"/>
                <w:lang w:val="en-GB"/>
              </w:rPr>
              <w:t>week</w:t>
            </w:r>
            <w:proofErr w:type="gramEnd"/>
            <w:r w:rsidRPr="003B76AC">
              <w:rPr>
                <w:rFonts w:ascii="Arial" w:hAnsi="Arial" w:cs="Arial"/>
                <w:sz w:val="12"/>
                <w:u w:val="single"/>
                <w:lang w:val="en-GB"/>
              </w:rPr>
              <w:t>.</w:t>
            </w:r>
          </w:p>
          <w:p w14:paraId="08951180" w14:textId="77777777" w:rsidR="007A67B9" w:rsidRPr="003B76AC" w:rsidRDefault="007A67B9" w:rsidP="002B5C5A">
            <w:pPr>
              <w:rPr>
                <w:rFonts w:ascii="Arial" w:hAnsi="Arial" w:cs="Arial"/>
                <w:sz w:val="12"/>
                <w:lang w:val="en-GB"/>
              </w:rPr>
            </w:pPr>
          </w:p>
        </w:tc>
        <w:tc>
          <w:tcPr>
            <w:tcW w:w="4040" w:type="pct"/>
            <w:gridSpan w:val="4"/>
            <w:tcBorders>
              <w:top w:val="single" w:sz="4" w:space="0" w:color="auto"/>
              <w:bottom w:val="single" w:sz="4" w:space="0" w:color="auto"/>
            </w:tcBorders>
            <w:vAlign w:val="center"/>
          </w:tcPr>
          <w:p w14:paraId="13E551B1" w14:textId="1BFE2123" w:rsidR="00C91A03" w:rsidRDefault="00C91A03" w:rsidP="00014CA1">
            <w:pPr>
              <w:jc w:val="both"/>
              <w:rPr>
                <w:rFonts w:ascii="Arial" w:hAnsi="Arial" w:cs="Arial"/>
                <w:b/>
                <w:sz w:val="13"/>
                <w:szCs w:val="13"/>
                <w:lang w:val="en-GB"/>
              </w:rPr>
            </w:pPr>
            <w:r>
              <w:rPr>
                <w:rFonts w:ascii="Arial" w:hAnsi="Arial" w:cs="Arial"/>
                <w:b/>
                <w:sz w:val="13"/>
                <w:szCs w:val="13"/>
                <w:lang w:val="en-GB"/>
              </w:rPr>
              <w:t xml:space="preserve">Internal Market – Positive and negative integration; Common regulatory framework for the four freedoms. </w:t>
            </w:r>
          </w:p>
          <w:p w14:paraId="59CD0ADA" w14:textId="56030D0D" w:rsidR="007A67B9" w:rsidRPr="003B76AC" w:rsidRDefault="007A67B9" w:rsidP="00014CA1">
            <w:pPr>
              <w:jc w:val="both"/>
              <w:rPr>
                <w:rFonts w:ascii="Arial" w:hAnsi="Arial" w:cs="Arial"/>
                <w:sz w:val="13"/>
                <w:szCs w:val="13"/>
                <w:lang w:val="en-GB"/>
              </w:rPr>
            </w:pPr>
          </w:p>
        </w:tc>
      </w:tr>
      <w:tr w:rsidR="007A67B9" w:rsidRPr="003B76AC" w14:paraId="20D9870C" w14:textId="77777777" w:rsidTr="00C0046A">
        <w:tblPrEx>
          <w:jc w:val="left"/>
        </w:tblPrEx>
        <w:trPr>
          <w:gridAfter w:val="1"/>
          <w:wAfter w:w="29" w:type="pct"/>
          <w:cantSplit/>
          <w:trHeight w:val="411"/>
        </w:trPr>
        <w:tc>
          <w:tcPr>
            <w:tcW w:w="931" w:type="pct"/>
            <w:gridSpan w:val="4"/>
            <w:tcBorders>
              <w:top w:val="single" w:sz="4" w:space="0" w:color="auto"/>
              <w:bottom w:val="single" w:sz="4" w:space="0" w:color="auto"/>
            </w:tcBorders>
            <w:vAlign w:val="center"/>
          </w:tcPr>
          <w:p w14:paraId="1CD9D2A7" w14:textId="5F7B9F48" w:rsidR="007A67B9" w:rsidRPr="003B76AC" w:rsidRDefault="007A67B9" w:rsidP="007A67B9">
            <w:pPr>
              <w:rPr>
                <w:rFonts w:ascii="Arial" w:hAnsi="Arial" w:cs="Arial"/>
                <w:sz w:val="12"/>
                <w:szCs w:val="12"/>
                <w:u w:val="single"/>
                <w:lang w:val="en-GB"/>
              </w:rPr>
            </w:pPr>
          </w:p>
          <w:p w14:paraId="456528A8" w14:textId="7E5292B1" w:rsidR="007A67B9" w:rsidRPr="003B76AC" w:rsidRDefault="007A67B9" w:rsidP="002B5C5A">
            <w:pPr>
              <w:rPr>
                <w:rFonts w:ascii="Arial" w:hAnsi="Arial" w:cs="Arial"/>
                <w:sz w:val="13"/>
                <w:szCs w:val="13"/>
                <w:u w:val="single"/>
                <w:lang w:val="en-GB"/>
              </w:rPr>
            </w:pPr>
            <w:r w:rsidRPr="003B76AC">
              <w:rPr>
                <w:rFonts w:ascii="Arial" w:hAnsi="Arial" w:cs="Arial"/>
                <w:sz w:val="13"/>
                <w:szCs w:val="13"/>
                <w:u w:val="single"/>
                <w:lang w:val="en-GB"/>
              </w:rPr>
              <w:t xml:space="preserve">IV  </w:t>
            </w:r>
            <w:r w:rsidR="00D7252F">
              <w:rPr>
                <w:rFonts w:ascii="Arial" w:hAnsi="Arial" w:cs="Arial"/>
                <w:sz w:val="12"/>
                <w:u w:val="single"/>
                <w:lang w:val="en-GB"/>
              </w:rPr>
              <w:t>week</w:t>
            </w:r>
            <w:r w:rsidR="00D7252F" w:rsidRPr="003B76AC">
              <w:rPr>
                <w:rFonts w:ascii="Arial" w:hAnsi="Arial" w:cs="Arial"/>
                <w:sz w:val="12"/>
                <w:u w:val="single"/>
                <w:lang w:val="en-GB"/>
              </w:rPr>
              <w:t xml:space="preserve"> </w:t>
            </w:r>
          </w:p>
        </w:tc>
        <w:tc>
          <w:tcPr>
            <w:tcW w:w="4040" w:type="pct"/>
            <w:gridSpan w:val="4"/>
            <w:tcBorders>
              <w:top w:val="single" w:sz="4" w:space="0" w:color="auto"/>
              <w:bottom w:val="single" w:sz="4" w:space="0" w:color="auto"/>
            </w:tcBorders>
            <w:vAlign w:val="center"/>
          </w:tcPr>
          <w:p w14:paraId="54D5959D" w14:textId="494AD0E5" w:rsidR="007A67B9" w:rsidRPr="00C91A03" w:rsidRDefault="00C91A03" w:rsidP="00014CA1">
            <w:pPr>
              <w:jc w:val="both"/>
              <w:rPr>
                <w:rFonts w:ascii="Arial" w:hAnsi="Arial" w:cs="Arial"/>
                <w:b/>
                <w:sz w:val="13"/>
                <w:szCs w:val="13"/>
                <w:lang w:val="en-GB"/>
              </w:rPr>
            </w:pPr>
            <w:r>
              <w:rPr>
                <w:rFonts w:ascii="Arial" w:hAnsi="Arial" w:cs="Arial"/>
                <w:b/>
                <w:sz w:val="13"/>
                <w:szCs w:val="13"/>
                <w:lang w:val="en-GB"/>
              </w:rPr>
              <w:t>Free movement of goods in the internal market.</w:t>
            </w:r>
          </w:p>
        </w:tc>
      </w:tr>
      <w:tr w:rsidR="007A67B9" w:rsidRPr="003B76AC" w14:paraId="2DF3CE0B" w14:textId="77777777" w:rsidTr="00C0046A">
        <w:tblPrEx>
          <w:jc w:val="left"/>
        </w:tblPrEx>
        <w:trPr>
          <w:gridAfter w:val="1"/>
          <w:wAfter w:w="29" w:type="pct"/>
          <w:cantSplit/>
          <w:trHeight w:val="425"/>
        </w:trPr>
        <w:tc>
          <w:tcPr>
            <w:tcW w:w="931" w:type="pct"/>
            <w:gridSpan w:val="4"/>
            <w:tcBorders>
              <w:top w:val="single" w:sz="4" w:space="0" w:color="auto"/>
              <w:bottom w:val="single" w:sz="4" w:space="0" w:color="auto"/>
            </w:tcBorders>
            <w:vAlign w:val="center"/>
          </w:tcPr>
          <w:p w14:paraId="6315786A" w14:textId="77777777" w:rsidR="007A67B9" w:rsidRPr="003B76AC" w:rsidRDefault="007A67B9" w:rsidP="007A67B9">
            <w:pPr>
              <w:rPr>
                <w:rFonts w:ascii="Arial" w:hAnsi="Arial" w:cs="Arial"/>
                <w:sz w:val="13"/>
                <w:szCs w:val="13"/>
                <w:u w:val="single"/>
                <w:lang w:val="en-GB"/>
              </w:rPr>
            </w:pPr>
          </w:p>
          <w:p w14:paraId="49B97012" w14:textId="1E7F3E6D" w:rsidR="007A67B9" w:rsidRPr="003B76AC" w:rsidRDefault="007A67B9" w:rsidP="007A67B9">
            <w:pPr>
              <w:rPr>
                <w:rFonts w:ascii="Arial" w:hAnsi="Arial" w:cs="Arial"/>
                <w:sz w:val="12"/>
                <w:u w:val="single"/>
                <w:lang w:val="en-GB"/>
              </w:rPr>
            </w:pPr>
            <w:r w:rsidRPr="003B76AC">
              <w:rPr>
                <w:rFonts w:ascii="Arial" w:hAnsi="Arial" w:cs="Arial"/>
                <w:b/>
                <w:sz w:val="13"/>
                <w:szCs w:val="13"/>
                <w:u w:val="single"/>
                <w:lang w:val="en-GB"/>
              </w:rPr>
              <w:t xml:space="preserve">V   </w:t>
            </w:r>
            <w:r w:rsidR="00D7252F">
              <w:rPr>
                <w:rFonts w:ascii="Arial" w:hAnsi="Arial" w:cs="Arial"/>
                <w:sz w:val="12"/>
                <w:u w:val="single"/>
                <w:lang w:val="en-GB"/>
              </w:rPr>
              <w:t>week</w:t>
            </w:r>
            <w:r w:rsidR="00D7252F" w:rsidRPr="003B76AC">
              <w:rPr>
                <w:rFonts w:ascii="Arial" w:hAnsi="Arial" w:cs="Arial"/>
                <w:b/>
                <w:sz w:val="13"/>
                <w:szCs w:val="13"/>
                <w:u w:val="single"/>
                <w:lang w:val="en-GB"/>
              </w:rPr>
              <w:t xml:space="preserve"> </w:t>
            </w:r>
          </w:p>
          <w:p w14:paraId="4A0D441E" w14:textId="77777777" w:rsidR="007A67B9" w:rsidRPr="003B76AC" w:rsidRDefault="007A67B9" w:rsidP="002B5C5A">
            <w:pPr>
              <w:rPr>
                <w:rFonts w:ascii="Arial" w:hAnsi="Arial" w:cs="Arial"/>
                <w:sz w:val="12"/>
                <w:szCs w:val="12"/>
                <w:u w:val="single"/>
                <w:lang w:val="en-GB"/>
              </w:rPr>
            </w:pPr>
          </w:p>
        </w:tc>
        <w:tc>
          <w:tcPr>
            <w:tcW w:w="4040" w:type="pct"/>
            <w:gridSpan w:val="4"/>
            <w:tcBorders>
              <w:top w:val="single" w:sz="4" w:space="0" w:color="auto"/>
              <w:bottom w:val="single" w:sz="4" w:space="0" w:color="auto"/>
            </w:tcBorders>
            <w:vAlign w:val="center"/>
          </w:tcPr>
          <w:p w14:paraId="79FB04CB" w14:textId="1CDC5798" w:rsidR="007A67B9" w:rsidRPr="003B76AC" w:rsidRDefault="00C91A03" w:rsidP="00C91A03">
            <w:pPr>
              <w:rPr>
                <w:rFonts w:ascii="Arial" w:hAnsi="Arial" w:cs="Arial"/>
                <w:b/>
                <w:sz w:val="13"/>
                <w:szCs w:val="13"/>
                <w:lang w:val="en-GB"/>
              </w:rPr>
            </w:pPr>
            <w:r>
              <w:rPr>
                <w:rFonts w:ascii="Lucida Bright" w:hAnsi="Lucida Bright" w:cs="Arial"/>
                <w:b/>
                <w:sz w:val="13"/>
                <w:szCs w:val="13"/>
                <w:lang w:val="en-GB"/>
              </w:rPr>
              <w:t xml:space="preserve">I Colloquium </w:t>
            </w:r>
            <w:r w:rsidR="007A67B9" w:rsidRPr="003B76AC">
              <w:rPr>
                <w:rFonts w:ascii="Arial" w:hAnsi="Arial" w:cs="Arial"/>
                <w:b/>
                <w:sz w:val="13"/>
                <w:szCs w:val="13"/>
                <w:lang w:val="en-GB"/>
              </w:rPr>
              <w:t xml:space="preserve"> </w:t>
            </w:r>
            <w:r>
              <w:rPr>
                <w:rFonts w:ascii="Arial" w:hAnsi="Arial" w:cs="Arial"/>
                <w:b/>
                <w:sz w:val="13"/>
                <w:szCs w:val="13"/>
                <w:lang w:val="en-GB"/>
              </w:rPr>
              <w:t xml:space="preserve">(Weeks: </w:t>
            </w:r>
            <w:r w:rsidR="007A67B9" w:rsidRPr="003B76AC">
              <w:rPr>
                <w:rFonts w:ascii="Arial" w:hAnsi="Arial" w:cs="Arial"/>
                <w:b/>
                <w:sz w:val="13"/>
                <w:szCs w:val="13"/>
                <w:lang w:val="en-GB"/>
              </w:rPr>
              <w:t xml:space="preserve">I  </w:t>
            </w:r>
            <w:r>
              <w:rPr>
                <w:rFonts w:ascii="Arial" w:hAnsi="Arial" w:cs="Arial"/>
                <w:b/>
                <w:sz w:val="13"/>
                <w:szCs w:val="13"/>
                <w:lang w:val="en-GB"/>
              </w:rPr>
              <w:t xml:space="preserve">II, III &amp; IV) </w:t>
            </w:r>
          </w:p>
        </w:tc>
      </w:tr>
      <w:tr w:rsidR="007A67B9" w:rsidRPr="003B76AC" w14:paraId="113B05D2" w14:textId="77777777" w:rsidTr="00C0046A">
        <w:tblPrEx>
          <w:jc w:val="left"/>
        </w:tblPrEx>
        <w:trPr>
          <w:gridAfter w:val="1"/>
          <w:wAfter w:w="29" w:type="pct"/>
          <w:cantSplit/>
          <w:trHeight w:val="485"/>
        </w:trPr>
        <w:tc>
          <w:tcPr>
            <w:tcW w:w="931" w:type="pct"/>
            <w:gridSpan w:val="4"/>
            <w:tcBorders>
              <w:top w:val="single" w:sz="4" w:space="0" w:color="auto"/>
              <w:bottom w:val="single" w:sz="4" w:space="0" w:color="auto"/>
            </w:tcBorders>
            <w:vAlign w:val="center"/>
          </w:tcPr>
          <w:p w14:paraId="2CEA3A48" w14:textId="77777777" w:rsidR="007A67B9" w:rsidRPr="003B76AC" w:rsidRDefault="007A67B9" w:rsidP="007A67B9">
            <w:pPr>
              <w:rPr>
                <w:rFonts w:ascii="Arial" w:hAnsi="Arial" w:cs="Arial"/>
                <w:sz w:val="13"/>
                <w:szCs w:val="13"/>
                <w:u w:val="single"/>
                <w:lang w:val="en-GB"/>
              </w:rPr>
            </w:pPr>
          </w:p>
          <w:p w14:paraId="21C05D8E" w14:textId="128AB092" w:rsidR="007A67B9" w:rsidRPr="003B76AC" w:rsidRDefault="007A67B9" w:rsidP="007A67B9">
            <w:pPr>
              <w:rPr>
                <w:rFonts w:ascii="Arial" w:hAnsi="Arial" w:cs="Arial"/>
                <w:sz w:val="13"/>
                <w:szCs w:val="13"/>
                <w:u w:val="single"/>
                <w:lang w:val="en-GB"/>
              </w:rPr>
            </w:pPr>
            <w:r w:rsidRPr="003B76AC">
              <w:rPr>
                <w:rFonts w:ascii="Arial" w:hAnsi="Arial" w:cs="Arial"/>
                <w:sz w:val="13"/>
                <w:szCs w:val="13"/>
                <w:u w:val="single"/>
                <w:lang w:val="en-GB"/>
              </w:rPr>
              <w:t xml:space="preserve">VI  </w:t>
            </w:r>
            <w:r w:rsidR="00D7252F">
              <w:rPr>
                <w:rFonts w:ascii="Arial" w:hAnsi="Arial" w:cs="Arial"/>
                <w:sz w:val="12"/>
                <w:u w:val="single"/>
                <w:lang w:val="en-GB"/>
              </w:rPr>
              <w:t>week</w:t>
            </w:r>
            <w:r w:rsidR="00D7252F" w:rsidRPr="003B76AC">
              <w:rPr>
                <w:rFonts w:ascii="Arial" w:hAnsi="Arial" w:cs="Arial"/>
                <w:sz w:val="13"/>
                <w:szCs w:val="13"/>
                <w:u w:val="single"/>
                <w:lang w:val="en-GB"/>
              </w:rPr>
              <w:t xml:space="preserve"> </w:t>
            </w:r>
          </w:p>
          <w:p w14:paraId="30CAC800" w14:textId="77777777" w:rsidR="007A67B9" w:rsidRPr="003B76AC" w:rsidRDefault="007A67B9" w:rsidP="002B5C5A">
            <w:pPr>
              <w:rPr>
                <w:rFonts w:ascii="Arial" w:hAnsi="Arial" w:cs="Arial"/>
                <w:sz w:val="13"/>
                <w:szCs w:val="13"/>
                <w:u w:val="single"/>
                <w:lang w:val="en-GB"/>
              </w:rPr>
            </w:pPr>
          </w:p>
        </w:tc>
        <w:tc>
          <w:tcPr>
            <w:tcW w:w="4040" w:type="pct"/>
            <w:gridSpan w:val="4"/>
            <w:tcBorders>
              <w:top w:val="single" w:sz="4" w:space="0" w:color="auto"/>
              <w:bottom w:val="single" w:sz="4" w:space="0" w:color="auto"/>
            </w:tcBorders>
            <w:vAlign w:val="center"/>
          </w:tcPr>
          <w:p w14:paraId="6E676FDB" w14:textId="563CBE2D" w:rsidR="007A67B9" w:rsidRPr="003B76AC" w:rsidRDefault="00C91A03" w:rsidP="000554C4">
            <w:pPr>
              <w:jc w:val="both"/>
              <w:rPr>
                <w:rFonts w:ascii="Arial" w:hAnsi="Arial" w:cs="Arial"/>
                <w:sz w:val="13"/>
                <w:szCs w:val="13"/>
                <w:lang w:val="en-GB"/>
              </w:rPr>
            </w:pPr>
            <w:r>
              <w:rPr>
                <w:rFonts w:ascii="Arial" w:hAnsi="Arial" w:cs="Arial"/>
                <w:b/>
                <w:sz w:val="13"/>
                <w:szCs w:val="13"/>
                <w:lang w:val="en-GB"/>
              </w:rPr>
              <w:t>Free movement of workers in the internal market.</w:t>
            </w:r>
          </w:p>
        </w:tc>
      </w:tr>
      <w:tr w:rsidR="007A67B9" w:rsidRPr="003B76AC" w14:paraId="4AB8AB82" w14:textId="77777777" w:rsidTr="00C0046A">
        <w:tblPrEx>
          <w:jc w:val="left"/>
        </w:tblPrEx>
        <w:trPr>
          <w:gridAfter w:val="1"/>
          <w:wAfter w:w="29" w:type="pct"/>
          <w:cantSplit/>
          <w:trHeight w:val="462"/>
        </w:trPr>
        <w:tc>
          <w:tcPr>
            <w:tcW w:w="931" w:type="pct"/>
            <w:gridSpan w:val="4"/>
            <w:tcBorders>
              <w:top w:val="single" w:sz="4" w:space="0" w:color="auto"/>
              <w:bottom w:val="single" w:sz="4" w:space="0" w:color="auto"/>
            </w:tcBorders>
            <w:vAlign w:val="center"/>
          </w:tcPr>
          <w:p w14:paraId="5B19A340" w14:textId="0591E99D" w:rsidR="007A67B9" w:rsidRPr="003B76AC" w:rsidRDefault="007A67B9" w:rsidP="007A67B9">
            <w:pPr>
              <w:rPr>
                <w:rFonts w:ascii="Arial" w:hAnsi="Arial" w:cs="Arial"/>
                <w:b/>
                <w:sz w:val="13"/>
                <w:szCs w:val="13"/>
                <w:u w:val="single"/>
                <w:lang w:val="en-GB"/>
              </w:rPr>
            </w:pPr>
            <w:r w:rsidRPr="003B76AC">
              <w:rPr>
                <w:rFonts w:ascii="Arial" w:hAnsi="Arial" w:cs="Arial"/>
                <w:sz w:val="13"/>
                <w:szCs w:val="13"/>
                <w:u w:val="single"/>
                <w:lang w:val="en-GB"/>
              </w:rPr>
              <w:t>VII</w:t>
            </w:r>
            <w:r w:rsidRPr="003B76AC">
              <w:rPr>
                <w:rFonts w:ascii="Arial" w:hAnsi="Arial" w:cs="Arial"/>
                <w:b/>
                <w:sz w:val="13"/>
                <w:szCs w:val="13"/>
                <w:u w:val="single"/>
                <w:lang w:val="en-GB"/>
              </w:rPr>
              <w:t xml:space="preserve">  </w:t>
            </w:r>
            <w:r w:rsidR="00D7252F">
              <w:rPr>
                <w:rFonts w:ascii="Arial" w:hAnsi="Arial" w:cs="Arial"/>
                <w:sz w:val="12"/>
                <w:u w:val="single"/>
                <w:lang w:val="en-GB"/>
              </w:rPr>
              <w:t>week</w:t>
            </w:r>
          </w:p>
          <w:p w14:paraId="180342DD" w14:textId="77777777" w:rsidR="007A67B9" w:rsidRPr="003B76AC" w:rsidRDefault="007A67B9" w:rsidP="002B5C5A">
            <w:pPr>
              <w:rPr>
                <w:rFonts w:ascii="Arial" w:hAnsi="Arial" w:cs="Arial"/>
                <w:sz w:val="13"/>
                <w:szCs w:val="13"/>
                <w:u w:val="single"/>
                <w:lang w:val="en-GB"/>
              </w:rPr>
            </w:pPr>
          </w:p>
        </w:tc>
        <w:tc>
          <w:tcPr>
            <w:tcW w:w="4040" w:type="pct"/>
            <w:gridSpan w:val="4"/>
            <w:tcBorders>
              <w:top w:val="single" w:sz="4" w:space="0" w:color="auto"/>
              <w:bottom w:val="single" w:sz="4" w:space="0" w:color="auto"/>
            </w:tcBorders>
            <w:vAlign w:val="center"/>
          </w:tcPr>
          <w:p w14:paraId="07DAEB18" w14:textId="7358AE25" w:rsidR="007A67B9" w:rsidRPr="003B76AC" w:rsidRDefault="00C91A03" w:rsidP="00C91A03">
            <w:pPr>
              <w:rPr>
                <w:rFonts w:ascii="Arial" w:hAnsi="Arial" w:cs="Arial"/>
                <w:b/>
                <w:sz w:val="13"/>
                <w:szCs w:val="13"/>
                <w:lang w:val="en-GB"/>
              </w:rPr>
            </w:pPr>
            <w:r>
              <w:rPr>
                <w:rFonts w:ascii="Arial" w:hAnsi="Arial" w:cs="Arial"/>
                <w:b/>
                <w:sz w:val="13"/>
                <w:szCs w:val="13"/>
                <w:lang w:val="en-GB"/>
              </w:rPr>
              <w:t>Right of establishment and freedom to provide services.</w:t>
            </w:r>
          </w:p>
        </w:tc>
      </w:tr>
      <w:tr w:rsidR="007A67B9" w:rsidRPr="003B76AC" w14:paraId="3E287974" w14:textId="77777777" w:rsidTr="00C0046A">
        <w:tblPrEx>
          <w:jc w:val="left"/>
        </w:tblPrEx>
        <w:trPr>
          <w:gridAfter w:val="1"/>
          <w:wAfter w:w="29" w:type="pct"/>
          <w:cantSplit/>
          <w:trHeight w:val="412"/>
        </w:trPr>
        <w:tc>
          <w:tcPr>
            <w:tcW w:w="931" w:type="pct"/>
            <w:gridSpan w:val="4"/>
            <w:tcBorders>
              <w:top w:val="single" w:sz="4" w:space="0" w:color="auto"/>
              <w:bottom w:val="single" w:sz="4" w:space="0" w:color="auto"/>
            </w:tcBorders>
            <w:vAlign w:val="center"/>
          </w:tcPr>
          <w:p w14:paraId="005899D2" w14:textId="452D30C6" w:rsidR="007A67B9" w:rsidRPr="003B76AC" w:rsidRDefault="007A67B9" w:rsidP="007A67B9">
            <w:pPr>
              <w:rPr>
                <w:rFonts w:ascii="Arial" w:hAnsi="Arial" w:cs="Arial"/>
                <w:sz w:val="13"/>
                <w:szCs w:val="13"/>
                <w:u w:val="single"/>
                <w:lang w:val="en-GB"/>
              </w:rPr>
            </w:pPr>
            <w:r w:rsidRPr="003B76AC">
              <w:rPr>
                <w:rFonts w:ascii="Arial" w:hAnsi="Arial" w:cs="Arial"/>
                <w:b/>
                <w:sz w:val="13"/>
                <w:szCs w:val="13"/>
                <w:u w:val="single"/>
                <w:lang w:val="en-GB"/>
              </w:rPr>
              <w:t xml:space="preserve">VIII </w:t>
            </w:r>
            <w:r w:rsidR="00D7252F">
              <w:rPr>
                <w:rFonts w:ascii="Arial" w:hAnsi="Arial" w:cs="Arial"/>
                <w:sz w:val="12"/>
                <w:u w:val="single"/>
                <w:lang w:val="en-GB"/>
              </w:rPr>
              <w:t>week</w:t>
            </w:r>
            <w:r w:rsidR="00D7252F" w:rsidRPr="003B76AC">
              <w:rPr>
                <w:rFonts w:ascii="Arial" w:hAnsi="Arial" w:cs="Arial"/>
                <w:b/>
                <w:sz w:val="13"/>
                <w:szCs w:val="13"/>
                <w:u w:val="single"/>
                <w:lang w:val="en-GB"/>
              </w:rPr>
              <w:t xml:space="preserve"> </w:t>
            </w:r>
          </w:p>
          <w:p w14:paraId="08CBAF73" w14:textId="77777777" w:rsidR="007A67B9" w:rsidRPr="003B76AC" w:rsidRDefault="007A67B9" w:rsidP="002B5C5A">
            <w:pPr>
              <w:rPr>
                <w:rFonts w:ascii="Arial" w:hAnsi="Arial" w:cs="Arial"/>
                <w:b/>
                <w:sz w:val="13"/>
                <w:szCs w:val="13"/>
                <w:u w:val="single"/>
                <w:lang w:val="en-GB"/>
              </w:rPr>
            </w:pPr>
          </w:p>
        </w:tc>
        <w:tc>
          <w:tcPr>
            <w:tcW w:w="4040" w:type="pct"/>
            <w:gridSpan w:val="4"/>
            <w:tcBorders>
              <w:top w:val="single" w:sz="4" w:space="0" w:color="auto"/>
              <w:bottom w:val="single" w:sz="4" w:space="0" w:color="auto"/>
            </w:tcBorders>
            <w:vAlign w:val="center"/>
          </w:tcPr>
          <w:p w14:paraId="091678E4" w14:textId="78C12693" w:rsidR="007A67B9" w:rsidRPr="003B76AC" w:rsidRDefault="00C91A03" w:rsidP="00C91A03">
            <w:pPr>
              <w:rPr>
                <w:rFonts w:ascii="Arial" w:hAnsi="Arial" w:cs="Arial"/>
                <w:b/>
                <w:sz w:val="13"/>
                <w:szCs w:val="13"/>
                <w:lang w:val="en-GB"/>
              </w:rPr>
            </w:pPr>
            <w:r>
              <w:rPr>
                <w:rFonts w:ascii="Lucida Bright" w:hAnsi="Lucida Bright" w:cs="Arial"/>
                <w:b/>
                <w:sz w:val="13"/>
                <w:szCs w:val="13"/>
                <w:lang w:val="en-GB"/>
              </w:rPr>
              <w:t xml:space="preserve">I Colloquium </w:t>
            </w:r>
            <w:r w:rsidRPr="003B76AC">
              <w:rPr>
                <w:rFonts w:ascii="Arial" w:hAnsi="Arial" w:cs="Arial"/>
                <w:b/>
                <w:sz w:val="13"/>
                <w:szCs w:val="13"/>
                <w:lang w:val="en-GB"/>
              </w:rPr>
              <w:t xml:space="preserve"> </w:t>
            </w:r>
            <w:r>
              <w:rPr>
                <w:rFonts w:ascii="Arial" w:hAnsi="Arial" w:cs="Arial"/>
                <w:b/>
                <w:sz w:val="13"/>
                <w:szCs w:val="13"/>
                <w:lang w:val="en-GB"/>
              </w:rPr>
              <w:t>(VI &amp; VII week)</w:t>
            </w:r>
          </w:p>
        </w:tc>
      </w:tr>
      <w:tr w:rsidR="007A67B9" w:rsidRPr="003B76AC" w14:paraId="6B1917B6" w14:textId="77777777" w:rsidTr="00C0046A">
        <w:tblPrEx>
          <w:jc w:val="left"/>
        </w:tblPrEx>
        <w:trPr>
          <w:gridAfter w:val="1"/>
          <w:wAfter w:w="29" w:type="pct"/>
          <w:cantSplit/>
          <w:trHeight w:val="292"/>
        </w:trPr>
        <w:tc>
          <w:tcPr>
            <w:tcW w:w="931" w:type="pct"/>
            <w:gridSpan w:val="4"/>
            <w:tcBorders>
              <w:top w:val="single" w:sz="4" w:space="0" w:color="auto"/>
              <w:bottom w:val="single" w:sz="4" w:space="0" w:color="auto"/>
            </w:tcBorders>
            <w:vAlign w:val="center"/>
          </w:tcPr>
          <w:p w14:paraId="2E64C071" w14:textId="4653B797" w:rsidR="007A67B9" w:rsidRPr="003B76AC" w:rsidRDefault="007A67B9" w:rsidP="007A67B9">
            <w:pPr>
              <w:rPr>
                <w:rFonts w:ascii="Arial" w:hAnsi="Arial" w:cs="Arial"/>
                <w:sz w:val="13"/>
                <w:szCs w:val="13"/>
                <w:u w:val="single"/>
                <w:lang w:val="en-GB"/>
              </w:rPr>
            </w:pPr>
            <w:r w:rsidRPr="003B76AC">
              <w:rPr>
                <w:rFonts w:ascii="Arial" w:hAnsi="Arial" w:cs="Arial"/>
                <w:sz w:val="13"/>
                <w:szCs w:val="13"/>
                <w:u w:val="single"/>
                <w:lang w:val="en-GB"/>
              </w:rPr>
              <w:t xml:space="preserve">IX </w:t>
            </w:r>
            <w:r w:rsidR="00D7252F">
              <w:rPr>
                <w:rFonts w:ascii="Arial" w:hAnsi="Arial" w:cs="Arial"/>
                <w:sz w:val="12"/>
                <w:u w:val="single"/>
                <w:lang w:val="en-GB"/>
              </w:rPr>
              <w:t>week</w:t>
            </w:r>
            <w:r w:rsidR="00D7252F" w:rsidRPr="003B76AC">
              <w:rPr>
                <w:rFonts w:ascii="Arial" w:hAnsi="Arial" w:cs="Arial"/>
                <w:sz w:val="13"/>
                <w:szCs w:val="13"/>
                <w:u w:val="single"/>
                <w:lang w:val="en-GB"/>
              </w:rPr>
              <w:t xml:space="preserve"> </w:t>
            </w:r>
          </w:p>
        </w:tc>
        <w:tc>
          <w:tcPr>
            <w:tcW w:w="4040" w:type="pct"/>
            <w:gridSpan w:val="4"/>
            <w:tcBorders>
              <w:top w:val="single" w:sz="4" w:space="0" w:color="auto"/>
              <w:bottom w:val="single" w:sz="4" w:space="0" w:color="auto"/>
            </w:tcBorders>
            <w:vAlign w:val="center"/>
          </w:tcPr>
          <w:p w14:paraId="6A376B37" w14:textId="49C8A970" w:rsidR="007A67B9" w:rsidRPr="003B76AC" w:rsidRDefault="00C91A03" w:rsidP="000554C4">
            <w:pPr>
              <w:jc w:val="both"/>
              <w:rPr>
                <w:rFonts w:ascii="Arial" w:hAnsi="Arial" w:cs="Arial"/>
                <w:sz w:val="13"/>
                <w:szCs w:val="13"/>
                <w:lang w:val="en-GB"/>
              </w:rPr>
            </w:pPr>
            <w:r>
              <w:rPr>
                <w:rFonts w:ascii="Arial" w:hAnsi="Arial" w:cs="Arial"/>
                <w:b/>
                <w:sz w:val="13"/>
                <w:szCs w:val="13"/>
                <w:lang w:val="en-GB"/>
              </w:rPr>
              <w:t>Horizontal direct effect of the free movement of workers, right of establishment and freedom to provide services; Horizontal direct effect for the free movement of goods?</w:t>
            </w:r>
          </w:p>
        </w:tc>
      </w:tr>
      <w:tr w:rsidR="007A67B9" w:rsidRPr="003B76AC" w14:paraId="022668CB" w14:textId="77777777" w:rsidTr="00C0046A">
        <w:tblPrEx>
          <w:jc w:val="left"/>
        </w:tblPrEx>
        <w:trPr>
          <w:gridAfter w:val="1"/>
          <w:wAfter w:w="29" w:type="pct"/>
          <w:cantSplit/>
          <w:trHeight w:val="454"/>
        </w:trPr>
        <w:tc>
          <w:tcPr>
            <w:tcW w:w="931" w:type="pct"/>
            <w:gridSpan w:val="4"/>
            <w:tcBorders>
              <w:top w:val="single" w:sz="4" w:space="0" w:color="auto"/>
              <w:bottom w:val="single" w:sz="4" w:space="0" w:color="auto"/>
            </w:tcBorders>
            <w:vAlign w:val="center"/>
          </w:tcPr>
          <w:p w14:paraId="69CC8596" w14:textId="4C976155" w:rsidR="007A67B9" w:rsidRPr="003B76AC" w:rsidRDefault="007A67B9" w:rsidP="007A67B9">
            <w:pPr>
              <w:rPr>
                <w:rFonts w:ascii="Arial" w:hAnsi="Arial" w:cs="Arial"/>
                <w:sz w:val="13"/>
                <w:szCs w:val="13"/>
                <w:u w:val="single"/>
                <w:lang w:val="en-GB"/>
              </w:rPr>
            </w:pPr>
            <w:r w:rsidRPr="003B76AC">
              <w:rPr>
                <w:rFonts w:ascii="Arial" w:hAnsi="Arial" w:cs="Arial"/>
                <w:b/>
                <w:sz w:val="13"/>
                <w:szCs w:val="13"/>
                <w:u w:val="single"/>
                <w:lang w:val="en-GB"/>
              </w:rPr>
              <w:t xml:space="preserve">X </w:t>
            </w:r>
            <w:r w:rsidR="00D7252F">
              <w:rPr>
                <w:rFonts w:ascii="Arial" w:hAnsi="Arial" w:cs="Arial"/>
                <w:sz w:val="12"/>
                <w:u w:val="single"/>
                <w:lang w:val="en-GB"/>
              </w:rPr>
              <w:t>week</w:t>
            </w:r>
            <w:r w:rsidR="00D7252F" w:rsidRPr="003B76AC">
              <w:rPr>
                <w:rFonts w:ascii="Arial" w:hAnsi="Arial" w:cs="Arial"/>
                <w:b/>
                <w:sz w:val="13"/>
                <w:szCs w:val="13"/>
                <w:u w:val="single"/>
                <w:lang w:val="en-GB"/>
              </w:rPr>
              <w:t xml:space="preserve"> </w:t>
            </w:r>
          </w:p>
        </w:tc>
        <w:tc>
          <w:tcPr>
            <w:tcW w:w="4040" w:type="pct"/>
            <w:gridSpan w:val="4"/>
            <w:tcBorders>
              <w:top w:val="single" w:sz="4" w:space="0" w:color="auto"/>
              <w:bottom w:val="single" w:sz="4" w:space="0" w:color="auto"/>
            </w:tcBorders>
            <w:vAlign w:val="center"/>
          </w:tcPr>
          <w:p w14:paraId="662DB284" w14:textId="372BEDA1" w:rsidR="007A67B9" w:rsidRPr="003B76AC" w:rsidRDefault="00C91A03" w:rsidP="001C7BD6">
            <w:pPr>
              <w:rPr>
                <w:lang w:val="en-GB"/>
              </w:rPr>
            </w:pPr>
            <w:r>
              <w:rPr>
                <w:rFonts w:ascii="Arial" w:hAnsi="Arial" w:cs="Arial"/>
                <w:b/>
                <w:sz w:val="13"/>
                <w:szCs w:val="13"/>
                <w:lang w:val="en-GB"/>
              </w:rPr>
              <w:t>Free movement of capital and freedom of payment</w:t>
            </w:r>
            <w:r w:rsidR="001C7BD6" w:rsidRPr="003B76AC">
              <w:rPr>
                <w:rFonts w:ascii="Arial" w:hAnsi="Arial" w:cs="Arial"/>
                <w:sz w:val="13"/>
                <w:szCs w:val="13"/>
                <w:lang w:val="en-GB"/>
              </w:rPr>
              <w:t xml:space="preserve"> </w:t>
            </w:r>
          </w:p>
        </w:tc>
      </w:tr>
      <w:tr w:rsidR="00AB0230" w:rsidRPr="003B76AC" w14:paraId="18A74CF8" w14:textId="77777777" w:rsidTr="00C0046A">
        <w:tblPrEx>
          <w:jc w:val="left"/>
        </w:tblPrEx>
        <w:trPr>
          <w:gridAfter w:val="1"/>
          <w:wAfter w:w="29" w:type="pct"/>
          <w:cantSplit/>
          <w:trHeight w:val="314"/>
        </w:trPr>
        <w:tc>
          <w:tcPr>
            <w:tcW w:w="931" w:type="pct"/>
            <w:gridSpan w:val="4"/>
            <w:tcBorders>
              <w:top w:val="single" w:sz="4" w:space="0" w:color="auto"/>
              <w:bottom w:val="single" w:sz="4" w:space="0" w:color="auto"/>
            </w:tcBorders>
            <w:vAlign w:val="center"/>
          </w:tcPr>
          <w:p w14:paraId="70420E6A" w14:textId="0491C71F" w:rsidR="00AB0230" w:rsidRPr="003B76AC" w:rsidRDefault="00AB0230" w:rsidP="00AB0230">
            <w:pPr>
              <w:rPr>
                <w:rFonts w:ascii="Arial" w:hAnsi="Arial" w:cs="Arial"/>
                <w:sz w:val="12"/>
                <w:u w:val="single"/>
                <w:lang w:val="en-GB"/>
              </w:rPr>
            </w:pPr>
            <w:r w:rsidRPr="003B76AC">
              <w:rPr>
                <w:rFonts w:ascii="Arial" w:hAnsi="Arial" w:cs="Arial"/>
                <w:sz w:val="13"/>
                <w:szCs w:val="13"/>
                <w:u w:val="single"/>
                <w:lang w:val="en-GB"/>
              </w:rPr>
              <w:t xml:space="preserve">XI </w:t>
            </w:r>
            <w:r w:rsidR="00D7252F">
              <w:rPr>
                <w:rFonts w:ascii="Arial" w:hAnsi="Arial" w:cs="Arial"/>
                <w:sz w:val="12"/>
                <w:u w:val="single"/>
                <w:lang w:val="en-GB"/>
              </w:rPr>
              <w:t>week</w:t>
            </w:r>
            <w:r w:rsidR="00D7252F" w:rsidRPr="003B76AC">
              <w:rPr>
                <w:rFonts w:ascii="Arial" w:hAnsi="Arial" w:cs="Arial"/>
                <w:sz w:val="13"/>
                <w:szCs w:val="13"/>
                <w:u w:val="single"/>
                <w:lang w:val="en-GB"/>
              </w:rPr>
              <w:t xml:space="preserve"> </w:t>
            </w:r>
          </w:p>
        </w:tc>
        <w:tc>
          <w:tcPr>
            <w:tcW w:w="4040" w:type="pct"/>
            <w:gridSpan w:val="4"/>
            <w:tcBorders>
              <w:top w:val="single" w:sz="4" w:space="0" w:color="auto"/>
              <w:bottom w:val="single" w:sz="4" w:space="0" w:color="auto"/>
            </w:tcBorders>
            <w:vAlign w:val="center"/>
          </w:tcPr>
          <w:p w14:paraId="312FFA6F" w14:textId="0D5B7ADC" w:rsidR="00AB0230" w:rsidRPr="003B76AC" w:rsidRDefault="00AB0230" w:rsidP="00AB0230">
            <w:pPr>
              <w:rPr>
                <w:rFonts w:ascii="Arial" w:hAnsi="Arial" w:cs="Arial"/>
                <w:sz w:val="18"/>
                <w:szCs w:val="18"/>
                <w:lang w:val="en-GB"/>
              </w:rPr>
            </w:pPr>
            <w:r w:rsidRPr="003B76AC">
              <w:rPr>
                <w:rFonts w:ascii="Arial" w:hAnsi="Arial" w:cs="Arial"/>
                <w:sz w:val="18"/>
                <w:szCs w:val="18"/>
                <w:lang w:val="en-GB"/>
              </w:rPr>
              <w:t>/</w:t>
            </w:r>
          </w:p>
        </w:tc>
      </w:tr>
      <w:tr w:rsidR="00AB0230" w:rsidRPr="003B76AC" w14:paraId="370B1098" w14:textId="77777777" w:rsidTr="00C0046A">
        <w:tblPrEx>
          <w:jc w:val="left"/>
        </w:tblPrEx>
        <w:trPr>
          <w:gridAfter w:val="1"/>
          <w:wAfter w:w="29" w:type="pct"/>
          <w:cantSplit/>
          <w:trHeight w:val="486"/>
        </w:trPr>
        <w:tc>
          <w:tcPr>
            <w:tcW w:w="931" w:type="pct"/>
            <w:gridSpan w:val="4"/>
            <w:tcBorders>
              <w:top w:val="single" w:sz="4" w:space="0" w:color="auto"/>
              <w:bottom w:val="single" w:sz="4" w:space="0" w:color="auto"/>
            </w:tcBorders>
            <w:vAlign w:val="center"/>
          </w:tcPr>
          <w:p w14:paraId="0B8D3E58" w14:textId="77777777" w:rsidR="00AB0230" w:rsidRPr="003B76AC" w:rsidRDefault="00AB0230" w:rsidP="00AB0230">
            <w:pPr>
              <w:rPr>
                <w:rFonts w:ascii="Arial" w:hAnsi="Arial" w:cs="Arial"/>
                <w:sz w:val="13"/>
                <w:szCs w:val="13"/>
                <w:u w:val="single"/>
                <w:lang w:val="en-GB"/>
              </w:rPr>
            </w:pPr>
          </w:p>
          <w:p w14:paraId="449D731C" w14:textId="77777777" w:rsidR="00AB0230" w:rsidRPr="003B76AC" w:rsidRDefault="00AB0230" w:rsidP="00AB0230">
            <w:pPr>
              <w:rPr>
                <w:rFonts w:ascii="Arial" w:hAnsi="Arial" w:cs="Arial"/>
                <w:sz w:val="13"/>
                <w:szCs w:val="13"/>
                <w:u w:val="single"/>
                <w:lang w:val="en-GB"/>
              </w:rPr>
            </w:pPr>
          </w:p>
          <w:p w14:paraId="66685507" w14:textId="34D4C517" w:rsidR="00AB0230" w:rsidRPr="003B76AC" w:rsidRDefault="00AB0230" w:rsidP="00AB0230">
            <w:pPr>
              <w:rPr>
                <w:rFonts w:ascii="Arial" w:hAnsi="Arial" w:cs="Arial"/>
                <w:sz w:val="12"/>
                <w:u w:val="single"/>
                <w:lang w:val="en-GB"/>
              </w:rPr>
            </w:pPr>
            <w:r w:rsidRPr="003B76AC">
              <w:rPr>
                <w:rFonts w:ascii="Arial" w:hAnsi="Arial" w:cs="Arial"/>
                <w:sz w:val="13"/>
                <w:szCs w:val="13"/>
                <w:u w:val="single"/>
                <w:lang w:val="en-GB"/>
              </w:rPr>
              <w:t xml:space="preserve">XII  </w:t>
            </w:r>
            <w:r w:rsidR="00D7252F">
              <w:rPr>
                <w:rFonts w:ascii="Arial" w:hAnsi="Arial" w:cs="Arial"/>
                <w:sz w:val="12"/>
                <w:u w:val="single"/>
                <w:lang w:val="en-GB"/>
              </w:rPr>
              <w:t>week</w:t>
            </w:r>
            <w:r w:rsidR="00D7252F" w:rsidRPr="003B76AC">
              <w:rPr>
                <w:rFonts w:ascii="Arial" w:hAnsi="Arial" w:cs="Arial"/>
                <w:sz w:val="13"/>
                <w:szCs w:val="13"/>
                <w:u w:val="single"/>
                <w:lang w:val="en-GB"/>
              </w:rPr>
              <w:t xml:space="preserve"> </w:t>
            </w:r>
          </w:p>
          <w:p w14:paraId="027F141F" w14:textId="644FD9ED" w:rsidR="00AB0230" w:rsidRPr="003B76AC" w:rsidRDefault="00AB0230" w:rsidP="00AB0230">
            <w:pPr>
              <w:rPr>
                <w:rFonts w:ascii="Arial" w:hAnsi="Arial" w:cs="Arial"/>
                <w:sz w:val="13"/>
                <w:szCs w:val="13"/>
                <w:u w:val="single"/>
                <w:lang w:val="en-GB"/>
              </w:rPr>
            </w:pPr>
          </w:p>
        </w:tc>
        <w:tc>
          <w:tcPr>
            <w:tcW w:w="4040" w:type="pct"/>
            <w:gridSpan w:val="4"/>
            <w:tcBorders>
              <w:top w:val="single" w:sz="4" w:space="0" w:color="auto"/>
              <w:bottom w:val="single" w:sz="4" w:space="0" w:color="auto"/>
            </w:tcBorders>
            <w:vAlign w:val="center"/>
          </w:tcPr>
          <w:p w14:paraId="60339C96" w14:textId="375545BC" w:rsidR="00AB0230" w:rsidRPr="00C91A03" w:rsidRDefault="00C91A03" w:rsidP="005A6F8C">
            <w:pPr>
              <w:rPr>
                <w:rFonts w:ascii="Lucida Bright" w:hAnsi="Lucida Bright" w:cs="Arial"/>
                <w:b/>
                <w:sz w:val="13"/>
                <w:szCs w:val="13"/>
                <w:lang w:val="en-GB"/>
              </w:rPr>
            </w:pPr>
            <w:r w:rsidRPr="00C91A03">
              <w:rPr>
                <w:rFonts w:ascii="Lucida Bright" w:hAnsi="Lucida Bright" w:cs="Arial"/>
                <w:b/>
                <w:sz w:val="13"/>
                <w:szCs w:val="13"/>
                <w:lang w:val="en-GB"/>
              </w:rPr>
              <w:t xml:space="preserve">Corrective </w:t>
            </w:r>
            <w:r w:rsidR="001C7BD6" w:rsidRPr="00C91A03">
              <w:rPr>
                <w:rFonts w:ascii="Lucida Bright" w:hAnsi="Lucida Bright" w:cs="Arial"/>
                <w:b/>
                <w:sz w:val="13"/>
                <w:szCs w:val="13"/>
                <w:lang w:val="en-GB"/>
              </w:rPr>
              <w:t xml:space="preserve"> </w:t>
            </w:r>
            <w:r w:rsidRPr="00C91A03">
              <w:rPr>
                <w:rFonts w:ascii="Lucida Bright" w:hAnsi="Lucida Bright" w:cs="Arial"/>
                <w:b/>
                <w:sz w:val="13"/>
                <w:szCs w:val="13"/>
                <w:lang w:val="en-GB"/>
              </w:rPr>
              <w:t>I &amp; II Colloquium</w:t>
            </w:r>
          </w:p>
        </w:tc>
      </w:tr>
      <w:tr w:rsidR="00AB0230" w:rsidRPr="003B76AC" w14:paraId="0FB1EB2F" w14:textId="77777777" w:rsidTr="00C0046A">
        <w:tblPrEx>
          <w:jc w:val="left"/>
        </w:tblPrEx>
        <w:trPr>
          <w:gridAfter w:val="1"/>
          <w:wAfter w:w="29" w:type="pct"/>
          <w:cantSplit/>
          <w:trHeight w:val="296"/>
        </w:trPr>
        <w:tc>
          <w:tcPr>
            <w:tcW w:w="931" w:type="pct"/>
            <w:gridSpan w:val="4"/>
            <w:tcBorders>
              <w:top w:val="single" w:sz="4" w:space="0" w:color="auto"/>
              <w:bottom w:val="single" w:sz="4" w:space="0" w:color="auto"/>
            </w:tcBorders>
            <w:vAlign w:val="center"/>
          </w:tcPr>
          <w:p w14:paraId="6F3CC3EA" w14:textId="77777777" w:rsidR="00AB0230" w:rsidRPr="003B76AC" w:rsidRDefault="00AB0230" w:rsidP="00AB0230">
            <w:pPr>
              <w:rPr>
                <w:rFonts w:ascii="Arial" w:hAnsi="Arial" w:cs="Arial"/>
                <w:sz w:val="12"/>
                <w:u w:val="single"/>
                <w:lang w:val="en-GB"/>
              </w:rPr>
            </w:pPr>
          </w:p>
          <w:p w14:paraId="0934D46F" w14:textId="63F8F92A" w:rsidR="00AB0230" w:rsidRPr="003B76AC" w:rsidRDefault="00AB0230" w:rsidP="00AB0230">
            <w:pPr>
              <w:rPr>
                <w:rFonts w:ascii="Arial" w:hAnsi="Arial" w:cs="Arial"/>
                <w:sz w:val="12"/>
                <w:u w:val="single"/>
                <w:lang w:val="en-GB"/>
              </w:rPr>
            </w:pPr>
            <w:r w:rsidRPr="003B76AC">
              <w:rPr>
                <w:rFonts w:ascii="Arial" w:hAnsi="Arial" w:cs="Arial"/>
                <w:sz w:val="13"/>
                <w:szCs w:val="13"/>
                <w:u w:val="single"/>
                <w:lang w:val="en-GB"/>
              </w:rPr>
              <w:t xml:space="preserve">XIII  </w:t>
            </w:r>
            <w:r w:rsidR="00D7252F">
              <w:rPr>
                <w:rFonts w:ascii="Arial" w:hAnsi="Arial" w:cs="Arial"/>
                <w:sz w:val="12"/>
                <w:u w:val="single"/>
                <w:lang w:val="en-GB"/>
              </w:rPr>
              <w:t>week</w:t>
            </w:r>
            <w:r w:rsidR="00D7252F" w:rsidRPr="003B76AC">
              <w:rPr>
                <w:rFonts w:ascii="Arial" w:hAnsi="Arial" w:cs="Arial"/>
                <w:sz w:val="13"/>
                <w:szCs w:val="13"/>
                <w:u w:val="single"/>
                <w:lang w:val="en-GB"/>
              </w:rPr>
              <w:t xml:space="preserve"> </w:t>
            </w:r>
          </w:p>
          <w:p w14:paraId="02931F58" w14:textId="14470BED" w:rsidR="00AB0230" w:rsidRPr="003B76AC" w:rsidRDefault="00AB0230" w:rsidP="00AB0230">
            <w:pPr>
              <w:rPr>
                <w:rFonts w:ascii="Arial" w:hAnsi="Arial" w:cs="Arial"/>
                <w:sz w:val="13"/>
                <w:szCs w:val="13"/>
                <w:u w:val="single"/>
                <w:lang w:val="en-GB"/>
              </w:rPr>
            </w:pPr>
          </w:p>
        </w:tc>
        <w:tc>
          <w:tcPr>
            <w:tcW w:w="4040" w:type="pct"/>
            <w:gridSpan w:val="4"/>
            <w:tcBorders>
              <w:top w:val="single" w:sz="4" w:space="0" w:color="auto"/>
              <w:bottom w:val="single" w:sz="4" w:space="0" w:color="auto"/>
            </w:tcBorders>
            <w:vAlign w:val="center"/>
          </w:tcPr>
          <w:p w14:paraId="16BFA060" w14:textId="778A6104" w:rsidR="00AB0230" w:rsidRPr="003B76AC" w:rsidRDefault="00C91A03" w:rsidP="009502BE">
            <w:pPr>
              <w:rPr>
                <w:rFonts w:ascii="Arial" w:hAnsi="Arial" w:cs="Arial"/>
                <w:sz w:val="13"/>
                <w:szCs w:val="13"/>
                <w:lang w:val="en-GB"/>
              </w:rPr>
            </w:pPr>
            <w:r>
              <w:rPr>
                <w:rFonts w:ascii="Arial" w:hAnsi="Arial" w:cs="Arial"/>
                <w:sz w:val="13"/>
                <w:szCs w:val="13"/>
                <w:lang w:val="en-GB"/>
              </w:rPr>
              <w:t xml:space="preserve">Case study presentations; Discussions. </w:t>
            </w:r>
          </w:p>
        </w:tc>
      </w:tr>
      <w:tr w:rsidR="00AB0230" w:rsidRPr="003B76AC" w14:paraId="1019A58E" w14:textId="77777777" w:rsidTr="00C0046A">
        <w:tblPrEx>
          <w:jc w:val="left"/>
        </w:tblPrEx>
        <w:trPr>
          <w:gridAfter w:val="1"/>
          <w:wAfter w:w="29" w:type="pct"/>
          <w:cantSplit/>
          <w:trHeight w:val="203"/>
        </w:trPr>
        <w:tc>
          <w:tcPr>
            <w:tcW w:w="931" w:type="pct"/>
            <w:gridSpan w:val="4"/>
            <w:tcBorders>
              <w:top w:val="single" w:sz="4" w:space="0" w:color="auto"/>
              <w:bottom w:val="single" w:sz="4" w:space="0" w:color="auto"/>
            </w:tcBorders>
            <w:vAlign w:val="center"/>
          </w:tcPr>
          <w:p w14:paraId="17C9A026" w14:textId="77777777" w:rsidR="00AB0230" w:rsidRPr="003B76AC" w:rsidRDefault="00AB0230" w:rsidP="00AB0230">
            <w:pPr>
              <w:rPr>
                <w:rFonts w:ascii="Arial" w:hAnsi="Arial" w:cs="Arial"/>
                <w:sz w:val="12"/>
                <w:u w:val="single"/>
                <w:lang w:val="en-GB"/>
              </w:rPr>
            </w:pPr>
          </w:p>
          <w:p w14:paraId="655D6ECC" w14:textId="2D1EB045" w:rsidR="00AB0230" w:rsidRPr="003B76AC" w:rsidRDefault="00AB0230" w:rsidP="00AB0230">
            <w:pPr>
              <w:rPr>
                <w:rFonts w:ascii="Arial" w:hAnsi="Arial" w:cs="Arial"/>
                <w:sz w:val="12"/>
                <w:u w:val="single"/>
                <w:lang w:val="en-GB"/>
              </w:rPr>
            </w:pPr>
            <w:r w:rsidRPr="003B76AC">
              <w:rPr>
                <w:rFonts w:ascii="Arial" w:hAnsi="Arial" w:cs="Arial"/>
                <w:sz w:val="13"/>
                <w:szCs w:val="13"/>
                <w:u w:val="single"/>
                <w:lang w:val="en-GB"/>
              </w:rPr>
              <w:t xml:space="preserve">XIV  </w:t>
            </w:r>
            <w:r w:rsidR="00D7252F">
              <w:rPr>
                <w:rFonts w:ascii="Arial" w:hAnsi="Arial" w:cs="Arial"/>
                <w:sz w:val="12"/>
                <w:u w:val="single"/>
                <w:lang w:val="en-GB"/>
              </w:rPr>
              <w:t>week</w:t>
            </w:r>
            <w:r w:rsidR="00D7252F" w:rsidRPr="003B76AC">
              <w:rPr>
                <w:rFonts w:ascii="Arial" w:hAnsi="Arial" w:cs="Arial"/>
                <w:sz w:val="13"/>
                <w:szCs w:val="13"/>
                <w:u w:val="single"/>
                <w:lang w:val="en-GB"/>
              </w:rPr>
              <w:t xml:space="preserve"> </w:t>
            </w:r>
          </w:p>
        </w:tc>
        <w:tc>
          <w:tcPr>
            <w:tcW w:w="4040" w:type="pct"/>
            <w:gridSpan w:val="4"/>
            <w:tcBorders>
              <w:top w:val="single" w:sz="4" w:space="0" w:color="auto"/>
              <w:bottom w:val="single" w:sz="4" w:space="0" w:color="auto"/>
            </w:tcBorders>
            <w:vAlign w:val="center"/>
          </w:tcPr>
          <w:p w14:paraId="4C706D30" w14:textId="731C8845" w:rsidR="00AB0230" w:rsidRPr="003B76AC" w:rsidRDefault="00AB0230" w:rsidP="00AB0230">
            <w:pPr>
              <w:rPr>
                <w:rFonts w:ascii="Arial" w:hAnsi="Arial" w:cs="Arial"/>
                <w:sz w:val="18"/>
                <w:szCs w:val="18"/>
                <w:lang w:val="en-GB"/>
              </w:rPr>
            </w:pPr>
            <w:r w:rsidRPr="003B76AC">
              <w:rPr>
                <w:rFonts w:ascii="Arial" w:hAnsi="Arial" w:cs="Arial"/>
                <w:sz w:val="18"/>
                <w:szCs w:val="18"/>
                <w:lang w:val="en-GB"/>
              </w:rPr>
              <w:t>/</w:t>
            </w:r>
          </w:p>
        </w:tc>
      </w:tr>
      <w:tr w:rsidR="00AB0230" w:rsidRPr="003B76AC" w14:paraId="24FFE276" w14:textId="77777777" w:rsidTr="00C0046A">
        <w:tblPrEx>
          <w:jc w:val="left"/>
        </w:tblPrEx>
        <w:trPr>
          <w:gridAfter w:val="1"/>
          <w:wAfter w:w="29" w:type="pct"/>
          <w:cantSplit/>
          <w:trHeight w:val="394"/>
        </w:trPr>
        <w:tc>
          <w:tcPr>
            <w:tcW w:w="931" w:type="pct"/>
            <w:gridSpan w:val="4"/>
            <w:tcBorders>
              <w:top w:val="single" w:sz="4" w:space="0" w:color="auto"/>
              <w:bottom w:val="single" w:sz="4" w:space="0" w:color="auto"/>
            </w:tcBorders>
            <w:vAlign w:val="center"/>
          </w:tcPr>
          <w:p w14:paraId="3F8238E0" w14:textId="48489B84" w:rsidR="00AB0230" w:rsidRPr="003B76AC" w:rsidRDefault="00AB0230" w:rsidP="00AB0230">
            <w:pPr>
              <w:rPr>
                <w:rFonts w:ascii="Arial" w:hAnsi="Arial" w:cs="Arial"/>
                <w:b/>
                <w:sz w:val="12"/>
                <w:u w:val="single"/>
                <w:lang w:val="en-GB"/>
              </w:rPr>
            </w:pPr>
            <w:r w:rsidRPr="003B76AC">
              <w:rPr>
                <w:rFonts w:ascii="Arial" w:hAnsi="Arial" w:cs="Arial"/>
                <w:b/>
                <w:sz w:val="13"/>
                <w:szCs w:val="13"/>
                <w:u w:val="single"/>
                <w:lang w:val="en-GB"/>
              </w:rPr>
              <w:t xml:space="preserve">XV </w:t>
            </w:r>
            <w:r w:rsidR="00D7252F">
              <w:rPr>
                <w:rFonts w:ascii="Arial" w:hAnsi="Arial" w:cs="Arial"/>
                <w:sz w:val="12"/>
                <w:u w:val="single"/>
                <w:lang w:val="en-GB"/>
              </w:rPr>
              <w:t>week</w:t>
            </w:r>
            <w:r w:rsidR="00D7252F" w:rsidRPr="003B76AC">
              <w:rPr>
                <w:rFonts w:ascii="Arial" w:hAnsi="Arial" w:cs="Arial"/>
                <w:b/>
                <w:sz w:val="13"/>
                <w:szCs w:val="13"/>
                <w:u w:val="single"/>
                <w:lang w:val="en-GB"/>
              </w:rPr>
              <w:t xml:space="preserve"> </w:t>
            </w:r>
            <w:bookmarkStart w:id="0" w:name="_GoBack"/>
            <w:bookmarkEnd w:id="0"/>
          </w:p>
        </w:tc>
        <w:tc>
          <w:tcPr>
            <w:tcW w:w="4040" w:type="pct"/>
            <w:gridSpan w:val="4"/>
            <w:tcBorders>
              <w:top w:val="single" w:sz="4" w:space="0" w:color="auto"/>
              <w:bottom w:val="single" w:sz="4" w:space="0" w:color="auto"/>
            </w:tcBorders>
            <w:vAlign w:val="center"/>
          </w:tcPr>
          <w:p w14:paraId="53495162" w14:textId="6D1565DA" w:rsidR="00AB0230" w:rsidRPr="003B76AC" w:rsidRDefault="00C91A03" w:rsidP="00C91A03">
            <w:pPr>
              <w:rPr>
                <w:rFonts w:ascii="Arial" w:hAnsi="Arial" w:cs="Arial"/>
                <w:b/>
                <w:sz w:val="13"/>
                <w:szCs w:val="13"/>
                <w:lang w:val="en-GB"/>
              </w:rPr>
            </w:pPr>
            <w:r>
              <w:rPr>
                <w:rFonts w:ascii="Arial" w:hAnsi="Arial" w:cs="Arial"/>
                <w:b/>
                <w:sz w:val="13"/>
                <w:szCs w:val="13"/>
                <w:lang w:val="en-GB"/>
              </w:rPr>
              <w:t xml:space="preserve">Final exam (Weeks </w:t>
            </w:r>
            <w:r w:rsidR="00AB0230" w:rsidRPr="003B76AC">
              <w:rPr>
                <w:rFonts w:ascii="Arial" w:hAnsi="Arial" w:cs="Arial"/>
                <w:b/>
                <w:sz w:val="13"/>
                <w:szCs w:val="13"/>
                <w:lang w:val="en-GB"/>
              </w:rPr>
              <w:t>IX i X</w:t>
            </w:r>
            <w:r>
              <w:rPr>
                <w:rFonts w:ascii="Arial" w:hAnsi="Arial" w:cs="Arial"/>
                <w:b/>
                <w:sz w:val="13"/>
                <w:szCs w:val="13"/>
                <w:lang w:val="en-GB"/>
              </w:rPr>
              <w:t xml:space="preserve">) </w:t>
            </w:r>
          </w:p>
        </w:tc>
      </w:tr>
      <w:tr w:rsidR="00AB0230" w:rsidRPr="003B76AC" w14:paraId="6C820221" w14:textId="77777777" w:rsidTr="00C0046A">
        <w:tblPrEx>
          <w:jc w:val="left"/>
        </w:tblPrEx>
        <w:trPr>
          <w:gridAfter w:val="1"/>
          <w:wAfter w:w="29" w:type="pct"/>
          <w:cantSplit/>
          <w:trHeight w:val="281"/>
        </w:trPr>
        <w:tc>
          <w:tcPr>
            <w:tcW w:w="931" w:type="pct"/>
            <w:gridSpan w:val="4"/>
            <w:tcBorders>
              <w:top w:val="single" w:sz="4" w:space="0" w:color="auto"/>
              <w:bottom w:val="nil"/>
            </w:tcBorders>
            <w:vAlign w:val="center"/>
          </w:tcPr>
          <w:p w14:paraId="44C928D2" w14:textId="77777777" w:rsidR="00AB0230" w:rsidRPr="003B76AC" w:rsidRDefault="00AB0230" w:rsidP="00AB0230">
            <w:pPr>
              <w:rPr>
                <w:rFonts w:ascii="Arial" w:hAnsi="Arial" w:cs="Arial"/>
                <w:sz w:val="12"/>
                <w:u w:val="single"/>
                <w:lang w:val="en-GB"/>
              </w:rPr>
            </w:pPr>
          </w:p>
        </w:tc>
        <w:tc>
          <w:tcPr>
            <w:tcW w:w="4040" w:type="pct"/>
            <w:gridSpan w:val="4"/>
            <w:tcBorders>
              <w:top w:val="single" w:sz="4" w:space="0" w:color="auto"/>
              <w:bottom w:val="single" w:sz="4" w:space="0" w:color="auto"/>
            </w:tcBorders>
            <w:vAlign w:val="center"/>
          </w:tcPr>
          <w:p w14:paraId="742FE570" w14:textId="171AE470" w:rsidR="00AB0230" w:rsidRPr="003B76AC" w:rsidRDefault="00D7252F" w:rsidP="00AB0230">
            <w:pPr>
              <w:rPr>
                <w:rFonts w:ascii="Arial" w:hAnsi="Arial" w:cs="Arial"/>
                <w:b/>
                <w:sz w:val="13"/>
                <w:szCs w:val="13"/>
                <w:lang w:val="en-GB"/>
              </w:rPr>
            </w:pPr>
            <w:r w:rsidRPr="00C91A03">
              <w:rPr>
                <w:rFonts w:ascii="Lucida Bright" w:hAnsi="Lucida Bright" w:cs="Arial"/>
                <w:b/>
                <w:sz w:val="13"/>
                <w:szCs w:val="13"/>
                <w:lang w:val="en-GB"/>
              </w:rPr>
              <w:t>Corrective</w:t>
            </w:r>
            <w:r>
              <w:rPr>
                <w:rFonts w:ascii="Lucida Bright" w:hAnsi="Lucida Bright" w:cs="Arial"/>
                <w:b/>
                <w:sz w:val="13"/>
                <w:szCs w:val="13"/>
                <w:lang w:val="en-GB"/>
              </w:rPr>
              <w:t xml:space="preserve"> Exam</w:t>
            </w:r>
          </w:p>
        </w:tc>
      </w:tr>
      <w:tr w:rsidR="00AB0230" w:rsidRPr="003B76AC" w14:paraId="1C39B1EF" w14:textId="77777777" w:rsidTr="00C0046A">
        <w:tblPrEx>
          <w:jc w:val="left"/>
        </w:tblPrEx>
        <w:trPr>
          <w:gridAfter w:val="1"/>
          <w:wAfter w:w="29" w:type="pct"/>
          <w:cantSplit/>
          <w:trHeight w:val="507"/>
        </w:trPr>
        <w:tc>
          <w:tcPr>
            <w:tcW w:w="4971" w:type="pct"/>
            <w:gridSpan w:val="8"/>
            <w:tcBorders>
              <w:top w:val="single" w:sz="4" w:space="0" w:color="auto"/>
              <w:bottom w:val="single" w:sz="4" w:space="0" w:color="auto"/>
            </w:tcBorders>
            <w:vAlign w:val="center"/>
          </w:tcPr>
          <w:p w14:paraId="194236B6" w14:textId="043551C6" w:rsidR="00AB0230" w:rsidRPr="003B76AC" w:rsidRDefault="00C91A03" w:rsidP="00AB0230">
            <w:pPr>
              <w:rPr>
                <w:rFonts w:ascii="Arial" w:hAnsi="Arial" w:cs="Arial"/>
                <w:b/>
                <w:sz w:val="14"/>
                <w:szCs w:val="14"/>
                <w:lang w:val="en-GB"/>
              </w:rPr>
            </w:pPr>
            <w:r>
              <w:rPr>
                <w:rFonts w:ascii="Arial" w:hAnsi="Arial" w:cs="Arial"/>
                <w:b/>
                <w:sz w:val="14"/>
                <w:szCs w:val="14"/>
                <w:lang w:val="en-GB"/>
              </w:rPr>
              <w:t>Students are obliged to attend classes, prepare case studies and participate in the debates.</w:t>
            </w:r>
          </w:p>
        </w:tc>
      </w:tr>
      <w:tr w:rsidR="00AB0230" w:rsidRPr="003B76AC" w14:paraId="792376CF" w14:textId="77777777" w:rsidTr="00C0046A">
        <w:tblPrEx>
          <w:jc w:val="left"/>
        </w:tblPrEx>
        <w:trPr>
          <w:gridAfter w:val="1"/>
          <w:wAfter w:w="29" w:type="pct"/>
          <w:cantSplit/>
          <w:trHeight w:val="507"/>
        </w:trPr>
        <w:tc>
          <w:tcPr>
            <w:tcW w:w="4971" w:type="pct"/>
            <w:gridSpan w:val="8"/>
            <w:tcBorders>
              <w:bottom w:val="single" w:sz="4" w:space="0" w:color="auto"/>
            </w:tcBorders>
          </w:tcPr>
          <w:p w14:paraId="6C6BD66E" w14:textId="4029BCA9" w:rsidR="00AB0230" w:rsidRDefault="00C91A03" w:rsidP="007F47D0">
            <w:pPr>
              <w:spacing w:line="276" w:lineRule="auto"/>
              <w:rPr>
                <w:rFonts w:ascii="Arial" w:hAnsi="Arial" w:cs="Arial"/>
                <w:bCs/>
                <w:i/>
                <w:iCs/>
                <w:color w:val="000000"/>
                <w:sz w:val="16"/>
                <w:u w:val="single"/>
                <w:lang w:val="en-GB"/>
              </w:rPr>
            </w:pPr>
            <w:r>
              <w:rPr>
                <w:rFonts w:ascii="Arial" w:hAnsi="Arial" w:cs="Arial"/>
                <w:bCs/>
                <w:i/>
                <w:iCs/>
                <w:color w:val="000000"/>
                <w:sz w:val="16"/>
                <w:u w:val="single"/>
                <w:lang w:val="en-GB"/>
              </w:rPr>
              <w:t>Literature</w:t>
            </w:r>
            <w:r w:rsidR="00AB0230" w:rsidRPr="003B76AC">
              <w:rPr>
                <w:rFonts w:ascii="Arial" w:hAnsi="Arial" w:cs="Arial"/>
                <w:bCs/>
                <w:i/>
                <w:iCs/>
                <w:color w:val="000000"/>
                <w:sz w:val="16"/>
                <w:u w:val="single"/>
                <w:lang w:val="en-GB"/>
              </w:rPr>
              <w:t xml:space="preserve">: </w:t>
            </w:r>
          </w:p>
          <w:p w14:paraId="2B3B4D69" w14:textId="2E174D3A" w:rsidR="00C91A03" w:rsidRPr="00C0046A" w:rsidRDefault="00C91A03" w:rsidP="007F47D0">
            <w:pPr>
              <w:spacing w:line="276" w:lineRule="auto"/>
              <w:rPr>
                <w:rFonts w:ascii="Arial" w:hAnsi="Arial" w:cs="Arial"/>
                <w:b/>
                <w:bCs/>
                <w:i/>
                <w:iCs/>
                <w:color w:val="000000"/>
                <w:sz w:val="16"/>
                <w:u w:val="single"/>
                <w:lang w:val="en-GB"/>
              </w:rPr>
            </w:pPr>
            <w:r w:rsidRPr="00C0046A">
              <w:rPr>
                <w:rFonts w:ascii="Arial" w:hAnsi="Arial" w:cs="Arial"/>
                <w:b/>
                <w:bCs/>
                <w:i/>
                <w:iCs/>
                <w:color w:val="000000"/>
                <w:sz w:val="16"/>
                <w:lang w:val="en-GB"/>
              </w:rPr>
              <w:t>Weiss &amp; Kaupa,</w:t>
            </w:r>
            <w:r w:rsidRPr="00C0046A">
              <w:rPr>
                <w:rFonts w:ascii="Arial" w:hAnsi="Arial" w:cs="Arial"/>
                <w:b/>
                <w:bCs/>
                <w:i/>
                <w:iCs/>
                <w:color w:val="000000"/>
                <w:sz w:val="16"/>
                <w:u w:val="single"/>
                <w:lang w:val="en-GB"/>
              </w:rPr>
              <w:t xml:space="preserve"> </w:t>
            </w:r>
            <w:r w:rsidRPr="00C0046A">
              <w:rPr>
                <w:rFonts w:ascii="Arial" w:hAnsi="Arial" w:cs="Arial"/>
                <w:bCs/>
                <w:i/>
                <w:iCs/>
                <w:color w:val="000000"/>
                <w:sz w:val="16"/>
                <w:u w:val="single"/>
                <w:lang w:val="en-GB"/>
              </w:rPr>
              <w:t>European Union Internal Market</w:t>
            </w:r>
            <w:r w:rsidR="00C0046A" w:rsidRPr="00C0046A">
              <w:rPr>
                <w:rFonts w:ascii="Arial" w:hAnsi="Arial" w:cs="Arial"/>
                <w:bCs/>
                <w:i/>
                <w:iCs/>
                <w:color w:val="000000"/>
                <w:sz w:val="16"/>
                <w:u w:val="single"/>
                <w:lang w:val="en-GB"/>
              </w:rPr>
              <w:t>, Cambridge University Press, 2014.</w:t>
            </w:r>
            <w:r w:rsidR="00C0046A" w:rsidRPr="00C0046A">
              <w:rPr>
                <w:rFonts w:ascii="Arial" w:hAnsi="Arial" w:cs="Arial"/>
                <w:b/>
                <w:bCs/>
                <w:i/>
                <w:iCs/>
                <w:color w:val="000000"/>
                <w:sz w:val="16"/>
                <w:u w:val="single"/>
                <w:lang w:val="en-GB"/>
              </w:rPr>
              <w:t xml:space="preserve"> </w:t>
            </w:r>
          </w:p>
          <w:p w14:paraId="45F8EEA5" w14:textId="7C03387F" w:rsidR="00C91A03" w:rsidRDefault="00AB0230" w:rsidP="00C91A03">
            <w:pPr>
              <w:jc w:val="both"/>
              <w:rPr>
                <w:rFonts w:ascii="Arial" w:hAnsi="Arial" w:cs="Arial"/>
                <w:sz w:val="14"/>
                <w:lang w:val="en-GB"/>
              </w:rPr>
            </w:pPr>
            <w:proofErr w:type="spellStart"/>
            <w:r w:rsidRPr="003B76AC">
              <w:rPr>
                <w:rFonts w:ascii="Arial" w:hAnsi="Arial" w:cs="Arial"/>
                <w:b/>
                <w:sz w:val="14"/>
                <w:lang w:val="en-GB"/>
              </w:rPr>
              <w:t>Savković</w:t>
            </w:r>
            <w:proofErr w:type="spellEnd"/>
            <w:r w:rsidRPr="003B76AC">
              <w:rPr>
                <w:rFonts w:ascii="Arial" w:hAnsi="Arial" w:cs="Arial"/>
                <w:b/>
                <w:sz w:val="14"/>
                <w:lang w:val="en-GB"/>
              </w:rPr>
              <w:t xml:space="preserve"> Vladimir</w:t>
            </w:r>
            <w:r w:rsidR="00C91A03">
              <w:rPr>
                <w:rFonts w:ascii="Arial" w:hAnsi="Arial" w:cs="Arial"/>
                <w:sz w:val="14"/>
                <w:lang w:val="en-GB"/>
              </w:rPr>
              <w:t xml:space="preserve">, </w:t>
            </w:r>
            <w:r w:rsidR="00C91A03" w:rsidRPr="00C91A03">
              <w:rPr>
                <w:rFonts w:ascii="Arial" w:hAnsi="Arial" w:cs="Arial"/>
                <w:sz w:val="14"/>
                <w:lang w:val="en-GB"/>
              </w:rPr>
              <w:t>Do TFEU Provisions on Free Movement of Goods Apply to Private Parties: Expanded Vertical or Horizontal Direct Effect?” (single author, in English language), 66(4) Annals of the Faculty of Law in Belgrade (international issue), 2018, Belgrade (Publisher: University of Belgrade Faculty of Law), p. 84 – 102</w:t>
            </w:r>
          </w:p>
          <w:p w14:paraId="011EB359" w14:textId="6390474D" w:rsidR="00C0046A" w:rsidRDefault="00C0046A" w:rsidP="00C91A03">
            <w:pPr>
              <w:jc w:val="both"/>
              <w:rPr>
                <w:rFonts w:ascii="Arial" w:hAnsi="Arial" w:cs="Arial"/>
                <w:sz w:val="14"/>
                <w:lang w:val="en-GB"/>
              </w:rPr>
            </w:pPr>
            <w:proofErr w:type="spellStart"/>
            <w:r w:rsidRPr="00C0046A">
              <w:rPr>
                <w:rFonts w:ascii="Arial" w:hAnsi="Arial" w:cs="Arial"/>
                <w:b/>
                <w:sz w:val="14"/>
                <w:lang w:val="en-GB"/>
              </w:rPr>
              <w:t>Savkovic</w:t>
            </w:r>
            <w:proofErr w:type="spellEnd"/>
            <w:r w:rsidRPr="00C0046A">
              <w:rPr>
                <w:rFonts w:ascii="Arial" w:hAnsi="Arial" w:cs="Arial"/>
                <w:b/>
                <w:sz w:val="14"/>
                <w:lang w:val="en-GB"/>
              </w:rPr>
              <w:t xml:space="preserve"> Vladimir</w:t>
            </w:r>
            <w:r>
              <w:rPr>
                <w:rFonts w:ascii="Arial" w:hAnsi="Arial" w:cs="Arial"/>
                <w:sz w:val="14"/>
                <w:lang w:val="en-GB"/>
              </w:rPr>
              <w:t xml:space="preserve">, </w:t>
            </w:r>
            <w:r w:rsidRPr="00C0046A">
              <w:rPr>
                <w:rFonts w:ascii="Arial" w:hAnsi="Arial" w:cs="Arial"/>
                <w:sz w:val="14"/>
                <w:lang w:val="en-GB"/>
              </w:rPr>
              <w:t>“The Fundamental Freedoms of the Single Market on the Path Towards Horizontal Direct Effect: The Free Movement of Capital – Lex Lata and Lex Ferenda“, 7(2) Juridical Tribune, Bucharest, 2017; (Publisher: Bucharest Academy of Economic Studies and ADJURIS - Society of Juridical and Administrative Sciences), p. 208 – 223</w:t>
            </w:r>
            <w:r>
              <w:rPr>
                <w:rFonts w:ascii="Arial" w:hAnsi="Arial" w:cs="Arial"/>
                <w:sz w:val="14"/>
                <w:lang w:val="en-GB"/>
              </w:rPr>
              <w:t xml:space="preserve">; </w:t>
            </w:r>
          </w:p>
          <w:p w14:paraId="310C4E6F" w14:textId="5C9FA506" w:rsidR="00C0046A" w:rsidRDefault="00C0046A" w:rsidP="00C91A03">
            <w:pPr>
              <w:jc w:val="both"/>
              <w:rPr>
                <w:rFonts w:ascii="Arial" w:hAnsi="Arial" w:cs="Arial"/>
                <w:sz w:val="14"/>
                <w:lang w:val="en-GB"/>
              </w:rPr>
            </w:pPr>
            <w:proofErr w:type="spellStart"/>
            <w:r w:rsidRPr="00C0046A">
              <w:rPr>
                <w:rFonts w:ascii="Arial" w:hAnsi="Arial" w:cs="Arial"/>
                <w:b/>
                <w:sz w:val="14"/>
                <w:lang w:val="en-GB"/>
              </w:rPr>
              <w:t>Savkovic</w:t>
            </w:r>
            <w:proofErr w:type="spellEnd"/>
            <w:r w:rsidRPr="00C0046A">
              <w:rPr>
                <w:rFonts w:ascii="Arial" w:hAnsi="Arial" w:cs="Arial"/>
                <w:b/>
                <w:sz w:val="14"/>
                <w:lang w:val="en-GB"/>
              </w:rPr>
              <w:t xml:space="preserve"> Vladimir</w:t>
            </w:r>
            <w:r>
              <w:rPr>
                <w:rFonts w:ascii="Arial" w:hAnsi="Arial" w:cs="Arial"/>
                <w:sz w:val="14"/>
                <w:lang w:val="en-GB"/>
              </w:rPr>
              <w:t xml:space="preserve">, </w:t>
            </w:r>
            <w:r>
              <w:t xml:space="preserve"> </w:t>
            </w:r>
            <w:r w:rsidRPr="00C0046A">
              <w:rPr>
                <w:rFonts w:ascii="Arial" w:hAnsi="Arial" w:cs="Arial"/>
                <w:sz w:val="14"/>
                <w:lang w:val="en-GB"/>
              </w:rPr>
              <w:t xml:space="preserve">“The Alleged Case of Golden Shares in Montenegro: A Candidate Country’s Experience as an Incentive for Including </w:t>
            </w:r>
            <w:proofErr w:type="spellStart"/>
            <w:r w:rsidRPr="00C0046A">
              <w:rPr>
                <w:rFonts w:ascii="Arial" w:hAnsi="Arial" w:cs="Arial"/>
                <w:sz w:val="14"/>
                <w:lang w:val="en-GB"/>
              </w:rPr>
              <w:t>Acta</w:t>
            </w:r>
            <w:proofErr w:type="spellEnd"/>
            <w:r w:rsidRPr="00C0046A">
              <w:rPr>
                <w:rFonts w:ascii="Arial" w:hAnsi="Arial" w:cs="Arial"/>
                <w:sz w:val="14"/>
                <w:lang w:val="en-GB"/>
              </w:rPr>
              <w:t xml:space="preserve"> Jure </w:t>
            </w:r>
            <w:proofErr w:type="spellStart"/>
            <w:r w:rsidRPr="00C0046A">
              <w:rPr>
                <w:rFonts w:ascii="Arial" w:hAnsi="Arial" w:cs="Arial"/>
                <w:sz w:val="14"/>
                <w:lang w:val="en-GB"/>
              </w:rPr>
              <w:t>Gestionis</w:t>
            </w:r>
            <w:proofErr w:type="spellEnd"/>
            <w:r w:rsidRPr="00C0046A">
              <w:rPr>
                <w:rFonts w:ascii="Arial" w:hAnsi="Arial" w:cs="Arial"/>
                <w:sz w:val="14"/>
                <w:lang w:val="en-GB"/>
              </w:rPr>
              <w:t xml:space="preserve"> within the Range of Restrictions on Free Movement of Capital, 41(2) Review of Central and East European Law, Leiden; Publisher: Brill Academic Publishers, p. 117 – 156 </w:t>
            </w:r>
          </w:p>
          <w:p w14:paraId="358398BE" w14:textId="60E779DF" w:rsidR="00AB0230" w:rsidRPr="003B76AC" w:rsidRDefault="00C91A03" w:rsidP="00C91A03">
            <w:pPr>
              <w:jc w:val="both"/>
              <w:rPr>
                <w:rFonts w:ascii="Arial" w:hAnsi="Arial" w:cs="Arial"/>
                <w:sz w:val="14"/>
                <w:lang w:val="en-GB"/>
              </w:rPr>
            </w:pPr>
            <w:r>
              <w:rPr>
                <w:rFonts w:ascii="Arial" w:hAnsi="Arial" w:cs="Arial"/>
                <w:sz w:val="14"/>
                <w:lang w:val="en-GB"/>
              </w:rPr>
              <w:t>TFEU</w:t>
            </w:r>
            <w:r w:rsidR="00AB0230" w:rsidRPr="003B76AC">
              <w:rPr>
                <w:rFonts w:ascii="Arial" w:hAnsi="Arial" w:cs="Arial"/>
                <w:b/>
                <w:sz w:val="14"/>
                <w:lang w:val="en-GB"/>
              </w:rPr>
              <w:t xml:space="preserve"> </w:t>
            </w:r>
            <w:r w:rsidR="00AB0230" w:rsidRPr="003B76AC">
              <w:rPr>
                <w:rFonts w:ascii="Arial" w:hAnsi="Arial" w:cs="Arial"/>
                <w:sz w:val="14"/>
                <w:lang w:val="en-GB"/>
              </w:rPr>
              <w:t>(</w:t>
            </w:r>
            <w:r>
              <w:rPr>
                <w:rFonts w:ascii="Arial" w:hAnsi="Arial" w:cs="Arial"/>
                <w:sz w:val="14"/>
                <w:lang w:val="en-GB"/>
              </w:rPr>
              <w:t>primarily: Art.</w:t>
            </w:r>
            <w:r w:rsidR="00AB0230" w:rsidRPr="003B76AC">
              <w:rPr>
                <w:rFonts w:ascii="Arial" w:hAnsi="Arial" w:cs="Arial"/>
                <w:sz w:val="14"/>
                <w:lang w:val="en-GB"/>
              </w:rPr>
              <w:t xml:space="preserve"> 28 – 66). </w:t>
            </w:r>
          </w:p>
          <w:p w14:paraId="70333FCC" w14:textId="0EF5ECE1" w:rsidR="00AB0230" w:rsidRPr="003B76AC" w:rsidRDefault="00C0046A" w:rsidP="00C0046A">
            <w:pPr>
              <w:rPr>
                <w:rFonts w:ascii="Arial" w:hAnsi="Arial" w:cs="Arial"/>
                <w:sz w:val="14"/>
                <w:lang w:val="en-GB"/>
              </w:rPr>
            </w:pPr>
            <w:r>
              <w:rPr>
                <w:rFonts w:ascii="Arial" w:hAnsi="Arial" w:cs="Arial"/>
                <w:b/>
                <w:sz w:val="14"/>
                <w:u w:val="single"/>
                <w:lang w:val="en-GB"/>
              </w:rPr>
              <w:t xml:space="preserve">Lectures/presentations available at: </w:t>
            </w:r>
            <w:r w:rsidR="00AB0230" w:rsidRPr="003B76AC">
              <w:rPr>
                <w:rFonts w:ascii="Arial" w:hAnsi="Arial" w:cs="Arial"/>
                <w:sz w:val="14"/>
                <w:lang w:val="en-GB"/>
              </w:rPr>
              <w:t xml:space="preserve"> https://www.mleuim.ucg.ac.me)</w:t>
            </w:r>
          </w:p>
        </w:tc>
      </w:tr>
      <w:tr w:rsidR="00AB0230" w:rsidRPr="003B76AC" w14:paraId="53C1027E" w14:textId="77777777" w:rsidTr="00C0046A">
        <w:tblPrEx>
          <w:jc w:val="left"/>
        </w:tblPrEx>
        <w:trPr>
          <w:gridAfter w:val="1"/>
          <w:wAfter w:w="29" w:type="pct"/>
          <w:trHeight w:val="940"/>
        </w:trPr>
        <w:tc>
          <w:tcPr>
            <w:tcW w:w="4971" w:type="pct"/>
            <w:gridSpan w:val="8"/>
            <w:tcBorders>
              <w:bottom w:val="single" w:sz="4" w:space="0" w:color="auto"/>
            </w:tcBorders>
          </w:tcPr>
          <w:p w14:paraId="6091CD39" w14:textId="7F5EC984" w:rsidR="00AB0230" w:rsidRPr="003B76AC" w:rsidRDefault="00C0046A" w:rsidP="00AB0230">
            <w:pPr>
              <w:rPr>
                <w:rFonts w:ascii="Arial" w:hAnsi="Arial" w:cs="Arial"/>
                <w:color w:val="000000"/>
                <w:sz w:val="16"/>
                <w:lang w:val="en-GB"/>
              </w:rPr>
            </w:pPr>
            <w:r>
              <w:rPr>
                <w:rFonts w:ascii="Arial" w:hAnsi="Arial" w:cs="Arial"/>
                <w:b/>
                <w:bCs/>
                <w:i/>
                <w:iCs/>
                <w:color w:val="000000"/>
                <w:sz w:val="16"/>
                <w:lang w:val="en-GB"/>
              </w:rPr>
              <w:t>Methods of examination and potential points awarded</w:t>
            </w:r>
            <w:r w:rsidR="00AB0230" w:rsidRPr="003B76AC">
              <w:rPr>
                <w:rFonts w:ascii="Arial" w:hAnsi="Arial" w:cs="Arial"/>
                <w:b/>
                <w:bCs/>
                <w:i/>
                <w:iCs/>
                <w:color w:val="000000"/>
                <w:sz w:val="16"/>
                <w:lang w:val="en-GB"/>
              </w:rPr>
              <w:t>:</w:t>
            </w:r>
            <w:r w:rsidR="00AB0230" w:rsidRPr="003B76AC">
              <w:rPr>
                <w:rFonts w:ascii="Arial" w:hAnsi="Arial" w:cs="Arial"/>
                <w:color w:val="000000"/>
                <w:sz w:val="16"/>
                <w:lang w:val="en-GB"/>
              </w:rPr>
              <w:t xml:space="preserve"> </w:t>
            </w:r>
          </w:p>
          <w:p w14:paraId="08B493FC" w14:textId="4ED52EE1" w:rsidR="00AB0230" w:rsidRPr="003B76AC" w:rsidRDefault="00AB0230" w:rsidP="00AB0230">
            <w:pPr>
              <w:rPr>
                <w:rFonts w:ascii="Arial" w:hAnsi="Arial" w:cs="Arial"/>
                <w:b/>
                <w:sz w:val="13"/>
                <w:szCs w:val="13"/>
                <w:lang w:val="en-GB"/>
              </w:rPr>
            </w:pPr>
            <w:r w:rsidRPr="003B76AC">
              <w:rPr>
                <w:rFonts w:ascii="Arial" w:hAnsi="Arial" w:cs="Arial"/>
                <w:b/>
                <w:sz w:val="13"/>
                <w:szCs w:val="13"/>
                <w:lang w:val="en-GB"/>
              </w:rPr>
              <w:t xml:space="preserve">- </w:t>
            </w:r>
            <w:r w:rsidR="00C0046A">
              <w:rPr>
                <w:rFonts w:ascii="Arial" w:hAnsi="Arial" w:cs="Arial"/>
                <w:b/>
                <w:sz w:val="13"/>
                <w:szCs w:val="13"/>
                <w:lang w:val="en-GB"/>
              </w:rPr>
              <w:t>I colloquium</w:t>
            </w:r>
            <w:r w:rsidRPr="003B76AC">
              <w:rPr>
                <w:rFonts w:ascii="Arial" w:hAnsi="Arial" w:cs="Arial"/>
                <w:b/>
                <w:sz w:val="13"/>
                <w:szCs w:val="13"/>
                <w:lang w:val="en-GB"/>
              </w:rPr>
              <w:t xml:space="preserve"> -  </w:t>
            </w:r>
            <w:r w:rsidR="00C0046A">
              <w:rPr>
                <w:rFonts w:ascii="Arial" w:hAnsi="Arial" w:cs="Arial"/>
                <w:b/>
                <w:sz w:val="13"/>
                <w:szCs w:val="13"/>
                <w:lang w:val="en-GB"/>
              </w:rPr>
              <w:t>up to</w:t>
            </w:r>
            <w:r w:rsidRPr="003B76AC">
              <w:rPr>
                <w:rFonts w:ascii="Arial" w:hAnsi="Arial" w:cs="Arial"/>
                <w:b/>
                <w:sz w:val="13"/>
                <w:szCs w:val="13"/>
                <w:lang w:val="en-GB"/>
              </w:rPr>
              <w:t xml:space="preserve"> 30  </w:t>
            </w:r>
            <w:r w:rsidR="00C0046A">
              <w:rPr>
                <w:rFonts w:ascii="Arial" w:hAnsi="Arial" w:cs="Arial"/>
                <w:b/>
                <w:sz w:val="13"/>
                <w:szCs w:val="13"/>
                <w:lang w:val="en-GB"/>
              </w:rPr>
              <w:t>points</w:t>
            </w:r>
          </w:p>
          <w:p w14:paraId="058A880B" w14:textId="7A540474" w:rsidR="00C0046A" w:rsidRDefault="00C0046A" w:rsidP="00C0046A">
            <w:pPr>
              <w:rPr>
                <w:rFonts w:ascii="Arial" w:hAnsi="Arial" w:cs="Arial"/>
                <w:b/>
                <w:sz w:val="13"/>
                <w:szCs w:val="13"/>
                <w:lang w:val="en-GB"/>
              </w:rPr>
            </w:pPr>
            <w:r w:rsidRPr="003B76AC">
              <w:rPr>
                <w:rFonts w:ascii="Arial" w:hAnsi="Arial" w:cs="Arial"/>
                <w:b/>
                <w:sz w:val="13"/>
                <w:szCs w:val="13"/>
                <w:lang w:val="en-GB"/>
              </w:rPr>
              <w:t xml:space="preserve">- </w:t>
            </w:r>
            <w:r>
              <w:rPr>
                <w:rFonts w:ascii="Arial" w:hAnsi="Arial" w:cs="Arial"/>
                <w:b/>
                <w:sz w:val="13"/>
                <w:szCs w:val="13"/>
                <w:lang w:val="en-GB"/>
              </w:rPr>
              <w:t>II colloquium</w:t>
            </w:r>
            <w:r w:rsidRPr="003B76AC">
              <w:rPr>
                <w:rFonts w:ascii="Arial" w:hAnsi="Arial" w:cs="Arial"/>
                <w:b/>
                <w:sz w:val="13"/>
                <w:szCs w:val="13"/>
                <w:lang w:val="en-GB"/>
              </w:rPr>
              <w:t xml:space="preserve"> -  </w:t>
            </w:r>
            <w:r>
              <w:rPr>
                <w:rFonts w:ascii="Arial" w:hAnsi="Arial" w:cs="Arial"/>
                <w:b/>
                <w:sz w:val="13"/>
                <w:szCs w:val="13"/>
                <w:lang w:val="en-GB"/>
              </w:rPr>
              <w:t>up to</w:t>
            </w:r>
            <w:r w:rsidRPr="003B76AC">
              <w:rPr>
                <w:rFonts w:ascii="Arial" w:hAnsi="Arial" w:cs="Arial"/>
                <w:b/>
                <w:sz w:val="13"/>
                <w:szCs w:val="13"/>
                <w:lang w:val="en-GB"/>
              </w:rPr>
              <w:t xml:space="preserve"> </w:t>
            </w:r>
            <w:r>
              <w:rPr>
                <w:rFonts w:ascii="Arial" w:hAnsi="Arial" w:cs="Arial"/>
                <w:b/>
                <w:sz w:val="13"/>
                <w:szCs w:val="13"/>
                <w:lang w:val="en-GB"/>
              </w:rPr>
              <w:t>25</w:t>
            </w:r>
            <w:r w:rsidRPr="003B76AC">
              <w:rPr>
                <w:rFonts w:ascii="Arial" w:hAnsi="Arial" w:cs="Arial"/>
                <w:b/>
                <w:sz w:val="13"/>
                <w:szCs w:val="13"/>
                <w:lang w:val="en-GB"/>
              </w:rPr>
              <w:t xml:space="preserve">  </w:t>
            </w:r>
            <w:r>
              <w:rPr>
                <w:rFonts w:ascii="Arial" w:hAnsi="Arial" w:cs="Arial"/>
                <w:b/>
                <w:sz w:val="13"/>
                <w:szCs w:val="13"/>
                <w:lang w:val="en-GB"/>
              </w:rPr>
              <w:t>points</w:t>
            </w:r>
          </w:p>
          <w:p w14:paraId="2611AF27" w14:textId="041EBF36" w:rsidR="00C0046A" w:rsidRDefault="00C0046A" w:rsidP="00C0046A">
            <w:pPr>
              <w:rPr>
                <w:rFonts w:ascii="Arial" w:hAnsi="Arial" w:cs="Arial"/>
                <w:b/>
                <w:sz w:val="13"/>
                <w:szCs w:val="13"/>
                <w:lang w:val="en-GB"/>
              </w:rPr>
            </w:pPr>
            <w:r>
              <w:rPr>
                <w:rFonts w:ascii="Arial" w:hAnsi="Arial" w:cs="Arial"/>
                <w:b/>
                <w:sz w:val="13"/>
                <w:szCs w:val="13"/>
                <w:lang w:val="en-GB"/>
              </w:rPr>
              <w:t>- Seminar/Case study – up to 20 points</w:t>
            </w:r>
          </w:p>
          <w:p w14:paraId="63DF0F67" w14:textId="1E990D9B" w:rsidR="00C0046A" w:rsidRPr="003B76AC" w:rsidRDefault="00C0046A" w:rsidP="00C0046A">
            <w:pPr>
              <w:rPr>
                <w:rFonts w:ascii="Arial" w:hAnsi="Arial" w:cs="Arial"/>
                <w:b/>
                <w:sz w:val="13"/>
                <w:szCs w:val="13"/>
                <w:lang w:val="en-GB"/>
              </w:rPr>
            </w:pPr>
            <w:r>
              <w:rPr>
                <w:rFonts w:ascii="Arial" w:hAnsi="Arial" w:cs="Arial"/>
                <w:b/>
                <w:sz w:val="13"/>
                <w:szCs w:val="13"/>
                <w:lang w:val="en-GB"/>
              </w:rPr>
              <w:t xml:space="preserve">- Final exam – up to 25 points. </w:t>
            </w:r>
          </w:p>
          <w:p w14:paraId="6ED09A6C" w14:textId="2CAA1C49" w:rsidR="00AB0230" w:rsidRPr="003B76AC" w:rsidRDefault="00C0046A" w:rsidP="00AB0230">
            <w:pPr>
              <w:rPr>
                <w:rFonts w:ascii="Arial" w:hAnsi="Arial" w:cs="Arial"/>
                <w:b/>
                <w:i/>
                <w:iCs/>
                <w:color w:val="000000"/>
                <w:sz w:val="16"/>
                <w:lang w:val="en-GB"/>
              </w:rPr>
            </w:pPr>
            <w:r>
              <w:rPr>
                <w:rFonts w:ascii="Arial" w:hAnsi="Arial" w:cs="Arial"/>
                <w:b/>
                <w:sz w:val="13"/>
                <w:szCs w:val="13"/>
                <w:lang w:val="en-GB"/>
              </w:rPr>
              <w:t xml:space="preserve">Passing mark – 50 points </w:t>
            </w:r>
          </w:p>
        </w:tc>
      </w:tr>
      <w:tr w:rsidR="00AB0230" w:rsidRPr="003B76AC" w14:paraId="692468B5" w14:textId="77777777" w:rsidTr="00C0046A">
        <w:tblPrEx>
          <w:jc w:val="left"/>
        </w:tblPrEx>
        <w:trPr>
          <w:gridAfter w:val="1"/>
          <w:wAfter w:w="29" w:type="pct"/>
          <w:trHeight w:val="167"/>
        </w:trPr>
        <w:tc>
          <w:tcPr>
            <w:tcW w:w="4971" w:type="pct"/>
            <w:gridSpan w:val="8"/>
            <w:tcBorders>
              <w:bottom w:val="single" w:sz="4" w:space="0" w:color="auto"/>
            </w:tcBorders>
            <w:vAlign w:val="center"/>
          </w:tcPr>
          <w:p w14:paraId="2E896CEC" w14:textId="5F8EAD93" w:rsidR="00AB0230" w:rsidRPr="003B76AC" w:rsidRDefault="00C0046A" w:rsidP="00AB0230">
            <w:pPr>
              <w:rPr>
                <w:rFonts w:ascii="Arial" w:hAnsi="Arial" w:cs="Arial"/>
                <w:i/>
                <w:iCs/>
                <w:color w:val="993300"/>
                <w:sz w:val="16"/>
                <w:szCs w:val="16"/>
                <w:lang w:val="en-GB"/>
              </w:rPr>
            </w:pPr>
            <w:r>
              <w:rPr>
                <w:rFonts w:ascii="Arial" w:hAnsi="Arial" w:cs="Arial"/>
                <w:b/>
                <w:bCs/>
                <w:i/>
                <w:iCs/>
                <w:color w:val="000000"/>
                <w:sz w:val="16"/>
                <w:szCs w:val="16"/>
                <w:lang w:val="en-GB"/>
              </w:rPr>
              <w:t>Additional remarks</w:t>
            </w:r>
            <w:r w:rsidR="00AB0230" w:rsidRPr="003B76AC">
              <w:rPr>
                <w:rFonts w:ascii="Arial" w:hAnsi="Arial" w:cs="Arial"/>
                <w:b/>
                <w:bCs/>
                <w:i/>
                <w:iCs/>
                <w:color w:val="000000"/>
                <w:sz w:val="16"/>
                <w:szCs w:val="16"/>
                <w:lang w:val="en-GB"/>
              </w:rPr>
              <w:t xml:space="preserve">: </w:t>
            </w:r>
            <w:r w:rsidRPr="003B76AC">
              <w:rPr>
                <w:rFonts w:ascii="Arial" w:hAnsi="Arial" w:cs="Arial"/>
                <w:b/>
                <w:bCs/>
                <w:i/>
                <w:iCs/>
                <w:color w:val="000000"/>
                <w:sz w:val="12"/>
                <w:u w:val="single"/>
                <w:lang w:val="en-GB"/>
              </w:rPr>
              <w:t>www.ucg.ac.me</w:t>
            </w:r>
          </w:p>
        </w:tc>
      </w:tr>
      <w:tr w:rsidR="00AB0230" w:rsidRPr="003B76AC" w14:paraId="7091D825" w14:textId="77777777" w:rsidTr="00C0046A">
        <w:tblPrEx>
          <w:jc w:val="left"/>
        </w:tblPrEx>
        <w:trPr>
          <w:gridBefore w:val="2"/>
          <w:gridAfter w:val="1"/>
          <w:wBefore w:w="487" w:type="pct"/>
          <w:wAfter w:w="29" w:type="pct"/>
          <w:trHeight w:val="157"/>
        </w:trPr>
        <w:tc>
          <w:tcPr>
            <w:tcW w:w="4484" w:type="pct"/>
            <w:gridSpan w:val="6"/>
            <w:tcBorders>
              <w:left w:val="single" w:sz="4" w:space="0" w:color="auto"/>
              <w:right w:val="single" w:sz="4" w:space="0" w:color="auto"/>
            </w:tcBorders>
          </w:tcPr>
          <w:p w14:paraId="34D1D2D4" w14:textId="7DBA6477" w:rsidR="00AB0230" w:rsidRPr="003B76AC" w:rsidRDefault="00C0046A" w:rsidP="00C0046A">
            <w:pPr>
              <w:rPr>
                <w:rFonts w:ascii="Arial" w:hAnsi="Arial" w:cs="Arial"/>
                <w:b/>
                <w:bCs/>
                <w:i/>
                <w:iCs/>
                <w:color w:val="000000"/>
                <w:sz w:val="16"/>
                <w:lang w:val="en-GB"/>
              </w:rPr>
            </w:pPr>
            <w:r>
              <w:rPr>
                <w:rFonts w:ascii="Arial" w:hAnsi="Arial" w:cs="Arial"/>
                <w:b/>
                <w:bCs/>
                <w:i/>
                <w:iCs/>
                <w:color w:val="000000"/>
                <w:sz w:val="16"/>
                <w:lang w:val="en-GB"/>
              </w:rPr>
              <w:t>Name of the teacher</w:t>
            </w:r>
            <w:r w:rsidR="00AB0230" w:rsidRPr="003B76AC">
              <w:rPr>
                <w:rFonts w:ascii="Arial" w:hAnsi="Arial" w:cs="Arial"/>
                <w:b/>
                <w:bCs/>
                <w:i/>
                <w:iCs/>
                <w:color w:val="000000"/>
                <w:sz w:val="16"/>
                <w:lang w:val="en-GB"/>
              </w:rPr>
              <w:t xml:space="preserve">:  </w:t>
            </w:r>
            <w:r w:rsidR="00AB0230" w:rsidRPr="003B76AC">
              <w:rPr>
                <w:rFonts w:ascii="Arial" w:hAnsi="Arial" w:cs="Arial"/>
                <w:b/>
                <w:bCs/>
                <w:i/>
                <w:iCs/>
                <w:color w:val="000000"/>
                <w:sz w:val="16"/>
                <w:szCs w:val="16"/>
                <w:lang w:val="en-GB"/>
              </w:rPr>
              <w:t xml:space="preserve">Prof. </w:t>
            </w:r>
            <w:proofErr w:type="spellStart"/>
            <w:r w:rsidR="00AB0230" w:rsidRPr="003B76AC">
              <w:rPr>
                <w:rFonts w:ascii="Arial" w:hAnsi="Arial" w:cs="Arial"/>
                <w:b/>
                <w:bCs/>
                <w:i/>
                <w:iCs/>
                <w:color w:val="000000"/>
                <w:sz w:val="16"/>
                <w:szCs w:val="16"/>
                <w:lang w:val="en-GB"/>
              </w:rPr>
              <w:t>dr</w:t>
            </w:r>
            <w:proofErr w:type="spellEnd"/>
            <w:r w:rsidR="00AB0230" w:rsidRPr="003B76AC">
              <w:rPr>
                <w:rFonts w:ascii="Arial" w:hAnsi="Arial" w:cs="Arial"/>
                <w:b/>
                <w:bCs/>
                <w:i/>
                <w:iCs/>
                <w:color w:val="000000"/>
                <w:sz w:val="16"/>
                <w:szCs w:val="16"/>
                <w:lang w:val="en-GB"/>
              </w:rPr>
              <w:t xml:space="preserve"> Vladimir </w:t>
            </w:r>
            <w:proofErr w:type="spellStart"/>
            <w:r w:rsidR="00AB0230" w:rsidRPr="003B76AC">
              <w:rPr>
                <w:rFonts w:ascii="Arial" w:hAnsi="Arial" w:cs="Arial"/>
                <w:b/>
                <w:bCs/>
                <w:i/>
                <w:iCs/>
                <w:color w:val="000000"/>
                <w:sz w:val="16"/>
                <w:szCs w:val="16"/>
                <w:lang w:val="en-GB"/>
              </w:rPr>
              <w:t>Savković</w:t>
            </w:r>
            <w:proofErr w:type="spellEnd"/>
          </w:p>
        </w:tc>
      </w:tr>
    </w:tbl>
    <w:p w14:paraId="57FBE288" w14:textId="47169F4A" w:rsidR="001C1F75" w:rsidRPr="003B76AC" w:rsidRDefault="001C1F75" w:rsidP="007245C1">
      <w:pPr>
        <w:rPr>
          <w:rFonts w:ascii="Arial" w:hAnsi="Arial" w:cs="Arial"/>
          <w:b/>
          <w:bCs/>
          <w:i/>
          <w:iCs/>
          <w:sz w:val="12"/>
          <w:lang w:val="en-GB"/>
        </w:rPr>
      </w:pPr>
    </w:p>
    <w:sectPr w:rsidR="001C1F75" w:rsidRPr="003B76AC" w:rsidSect="005101A7">
      <w:pgSz w:w="11906" w:h="16838"/>
      <w:pgMar w:top="540" w:right="1418" w:bottom="2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0A"/>
    <w:rsid w:val="00014CA1"/>
    <w:rsid w:val="00016523"/>
    <w:rsid w:val="00031A39"/>
    <w:rsid w:val="00036826"/>
    <w:rsid w:val="000554C4"/>
    <w:rsid w:val="00060AC8"/>
    <w:rsid w:val="00086C08"/>
    <w:rsid w:val="00096FBD"/>
    <w:rsid w:val="000D3081"/>
    <w:rsid w:val="000E5418"/>
    <w:rsid w:val="00105575"/>
    <w:rsid w:val="0010596F"/>
    <w:rsid w:val="00113718"/>
    <w:rsid w:val="00153A68"/>
    <w:rsid w:val="001A722C"/>
    <w:rsid w:val="001C1F75"/>
    <w:rsid w:val="001C7BD6"/>
    <w:rsid w:val="00210F7C"/>
    <w:rsid w:val="0029450A"/>
    <w:rsid w:val="002A1663"/>
    <w:rsid w:val="002A7042"/>
    <w:rsid w:val="002B1E1C"/>
    <w:rsid w:val="002B5C5A"/>
    <w:rsid w:val="002C7D28"/>
    <w:rsid w:val="002D68CB"/>
    <w:rsid w:val="003211A2"/>
    <w:rsid w:val="00351C86"/>
    <w:rsid w:val="00357EF6"/>
    <w:rsid w:val="00373FFF"/>
    <w:rsid w:val="0037564C"/>
    <w:rsid w:val="0037719E"/>
    <w:rsid w:val="00384F7B"/>
    <w:rsid w:val="003B76AC"/>
    <w:rsid w:val="003D2D48"/>
    <w:rsid w:val="003F6FEB"/>
    <w:rsid w:val="003F71B1"/>
    <w:rsid w:val="004233EA"/>
    <w:rsid w:val="00455D4E"/>
    <w:rsid w:val="00457D3A"/>
    <w:rsid w:val="00457FFB"/>
    <w:rsid w:val="00493707"/>
    <w:rsid w:val="004A4B69"/>
    <w:rsid w:val="004D4A06"/>
    <w:rsid w:val="004E14C6"/>
    <w:rsid w:val="004E5DA1"/>
    <w:rsid w:val="00501B85"/>
    <w:rsid w:val="005101A7"/>
    <w:rsid w:val="005A1892"/>
    <w:rsid w:val="005A1FFA"/>
    <w:rsid w:val="005A6F8C"/>
    <w:rsid w:val="005F3125"/>
    <w:rsid w:val="005F4CDC"/>
    <w:rsid w:val="00604BAA"/>
    <w:rsid w:val="00634357"/>
    <w:rsid w:val="00652394"/>
    <w:rsid w:val="006722B8"/>
    <w:rsid w:val="00677167"/>
    <w:rsid w:val="006800EC"/>
    <w:rsid w:val="006A4A26"/>
    <w:rsid w:val="006C13B1"/>
    <w:rsid w:val="006D70DD"/>
    <w:rsid w:val="006D726E"/>
    <w:rsid w:val="006E54CA"/>
    <w:rsid w:val="006E7782"/>
    <w:rsid w:val="00707C3B"/>
    <w:rsid w:val="00717977"/>
    <w:rsid w:val="007243D0"/>
    <w:rsid w:val="007245C1"/>
    <w:rsid w:val="00730FEB"/>
    <w:rsid w:val="00743D7A"/>
    <w:rsid w:val="0074577F"/>
    <w:rsid w:val="00760BC0"/>
    <w:rsid w:val="00763900"/>
    <w:rsid w:val="00773986"/>
    <w:rsid w:val="007921FA"/>
    <w:rsid w:val="007A67B9"/>
    <w:rsid w:val="007B2CA3"/>
    <w:rsid w:val="007B5E20"/>
    <w:rsid w:val="007D3E6C"/>
    <w:rsid w:val="007D5801"/>
    <w:rsid w:val="007D6FC0"/>
    <w:rsid w:val="007E3166"/>
    <w:rsid w:val="007F1E56"/>
    <w:rsid w:val="007F47D0"/>
    <w:rsid w:val="0083250D"/>
    <w:rsid w:val="00850D03"/>
    <w:rsid w:val="00854650"/>
    <w:rsid w:val="00885172"/>
    <w:rsid w:val="00895C72"/>
    <w:rsid w:val="00896272"/>
    <w:rsid w:val="008A1B5D"/>
    <w:rsid w:val="008B5043"/>
    <w:rsid w:val="008F38DA"/>
    <w:rsid w:val="0090022B"/>
    <w:rsid w:val="009048C4"/>
    <w:rsid w:val="00904D37"/>
    <w:rsid w:val="0092078E"/>
    <w:rsid w:val="00935C0A"/>
    <w:rsid w:val="009502BE"/>
    <w:rsid w:val="009A2D91"/>
    <w:rsid w:val="009B0900"/>
    <w:rsid w:val="009B1A2E"/>
    <w:rsid w:val="009D160A"/>
    <w:rsid w:val="009F20FE"/>
    <w:rsid w:val="00A26A28"/>
    <w:rsid w:val="00A3095A"/>
    <w:rsid w:val="00A503FD"/>
    <w:rsid w:val="00A52F11"/>
    <w:rsid w:val="00A53905"/>
    <w:rsid w:val="00A96D75"/>
    <w:rsid w:val="00AB0230"/>
    <w:rsid w:val="00AC2AC2"/>
    <w:rsid w:val="00AD369D"/>
    <w:rsid w:val="00AD5DE5"/>
    <w:rsid w:val="00B35657"/>
    <w:rsid w:val="00B436A0"/>
    <w:rsid w:val="00B65743"/>
    <w:rsid w:val="00BA34FB"/>
    <w:rsid w:val="00BD3A9F"/>
    <w:rsid w:val="00BD772C"/>
    <w:rsid w:val="00C0046A"/>
    <w:rsid w:val="00C03C68"/>
    <w:rsid w:val="00C52606"/>
    <w:rsid w:val="00C53CF8"/>
    <w:rsid w:val="00C554A6"/>
    <w:rsid w:val="00C56C26"/>
    <w:rsid w:val="00C72169"/>
    <w:rsid w:val="00C74AD5"/>
    <w:rsid w:val="00C91A03"/>
    <w:rsid w:val="00CA5A28"/>
    <w:rsid w:val="00CB7013"/>
    <w:rsid w:val="00CE2A58"/>
    <w:rsid w:val="00CE34F7"/>
    <w:rsid w:val="00D116E4"/>
    <w:rsid w:val="00D37A68"/>
    <w:rsid w:val="00D55329"/>
    <w:rsid w:val="00D62E4C"/>
    <w:rsid w:val="00D65B87"/>
    <w:rsid w:val="00D7252F"/>
    <w:rsid w:val="00DD12EC"/>
    <w:rsid w:val="00DE170A"/>
    <w:rsid w:val="00DE2DE5"/>
    <w:rsid w:val="00E01818"/>
    <w:rsid w:val="00E43492"/>
    <w:rsid w:val="00E43EBD"/>
    <w:rsid w:val="00E50498"/>
    <w:rsid w:val="00E535DD"/>
    <w:rsid w:val="00E678BB"/>
    <w:rsid w:val="00EB0F05"/>
    <w:rsid w:val="00EB3854"/>
    <w:rsid w:val="00F47BE4"/>
    <w:rsid w:val="00F963D7"/>
    <w:rsid w:val="00FC2841"/>
    <w:rsid w:val="00FD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63D2"/>
  <w15:docId w15:val="{9916F5A0-6F70-4B3C-AB93-E96C8DD6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BD"/>
    <w:rPr>
      <w:sz w:val="24"/>
      <w:szCs w:val="24"/>
    </w:rPr>
  </w:style>
  <w:style w:type="paragraph" w:styleId="Heading3">
    <w:name w:val="heading 3"/>
    <w:basedOn w:val="Normal"/>
    <w:next w:val="Normal"/>
    <w:qFormat/>
    <w:rsid w:val="007245C1"/>
    <w:pPr>
      <w:keepNext/>
      <w:jc w:val="center"/>
      <w:outlineLvl w:val="2"/>
    </w:pPr>
    <w:rPr>
      <w:rFonts w:ascii="Arial" w:hAnsi="Arial"/>
      <w:b/>
      <w:bCs/>
      <w:i/>
      <w:iCs/>
      <w:color w:val="000000"/>
      <w:sz w:val="20"/>
      <w:lang w:val="sr-Latn-CS"/>
    </w:rPr>
  </w:style>
  <w:style w:type="paragraph" w:styleId="Heading8">
    <w:name w:val="heading 8"/>
    <w:basedOn w:val="Normal"/>
    <w:next w:val="Normal"/>
    <w:qFormat/>
    <w:rsid w:val="007245C1"/>
    <w:pPr>
      <w:keepNext/>
      <w:outlineLvl w:val="7"/>
    </w:pPr>
    <w:rPr>
      <w:rFonts w:ascii="Arial" w:hAnsi="Arial" w:cs="Arial"/>
      <w:b/>
      <w:bCs/>
      <w:i/>
      <w:iCs/>
      <w:sz w:val="18"/>
      <w:lang w:val="sl-SI"/>
    </w:rPr>
  </w:style>
  <w:style w:type="paragraph" w:styleId="Heading9">
    <w:name w:val="heading 9"/>
    <w:basedOn w:val="Normal"/>
    <w:next w:val="Normal"/>
    <w:qFormat/>
    <w:rsid w:val="007245C1"/>
    <w:pPr>
      <w:keepNext/>
      <w:outlineLvl w:val="8"/>
    </w:pPr>
    <w:rPr>
      <w:rFonts w:ascii="Arial" w:hAnsi="Arial" w:cs="Arial"/>
      <w:b/>
      <w:bCs/>
      <w:i/>
      <w:i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45C1"/>
    <w:rPr>
      <w:rFonts w:ascii="Arial" w:hAnsi="Arial"/>
      <w:color w:val="000000"/>
      <w:sz w:val="20"/>
      <w:lang w:val="sr-Latn-CS"/>
    </w:rPr>
  </w:style>
  <w:style w:type="paragraph" w:styleId="NormalWeb">
    <w:name w:val="Normal (Web)"/>
    <w:basedOn w:val="Normal"/>
    <w:rsid w:val="007245C1"/>
    <w:pPr>
      <w:spacing w:before="100" w:beforeAutospacing="1" w:after="100" w:afterAutospacing="1"/>
    </w:pPr>
    <w:rPr>
      <w:rFonts w:ascii="Arial Unicode MS" w:eastAsia="Arial Unicode MS" w:hAnsi="Arial Unicode MS" w:cs="Arial Unicode MS"/>
      <w:color w:val="CCCCCC"/>
      <w:lang w:val="en-GB"/>
    </w:rPr>
  </w:style>
  <w:style w:type="character" w:styleId="Hyperlink">
    <w:name w:val="Hyperlink"/>
    <w:basedOn w:val="DefaultParagraphFont"/>
    <w:rsid w:val="00FC2841"/>
    <w:rPr>
      <w:color w:val="0000FF"/>
      <w:u w:val="single"/>
    </w:rPr>
  </w:style>
  <w:style w:type="paragraph" w:styleId="BalloonText">
    <w:name w:val="Balloon Text"/>
    <w:basedOn w:val="Normal"/>
    <w:link w:val="BalloonTextChar"/>
    <w:uiPriority w:val="99"/>
    <w:semiHidden/>
    <w:unhideWhenUsed/>
    <w:rsid w:val="007A6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722858">
      <w:bodyDiv w:val="1"/>
      <w:marLeft w:val="0"/>
      <w:marRight w:val="0"/>
      <w:marTop w:val="0"/>
      <w:marBottom w:val="0"/>
      <w:divBdr>
        <w:top w:val="none" w:sz="0" w:space="0" w:color="auto"/>
        <w:left w:val="none" w:sz="0" w:space="0" w:color="auto"/>
        <w:bottom w:val="none" w:sz="0" w:space="0" w:color="auto"/>
        <w:right w:val="none" w:sz="0" w:space="0" w:color="auto"/>
      </w:divBdr>
      <w:divsChild>
        <w:div w:id="1261797340">
          <w:marLeft w:val="0"/>
          <w:marRight w:val="0"/>
          <w:marTop w:val="0"/>
          <w:marBottom w:val="0"/>
          <w:divBdr>
            <w:top w:val="none" w:sz="0" w:space="0" w:color="auto"/>
            <w:left w:val="none" w:sz="0" w:space="0" w:color="auto"/>
            <w:bottom w:val="none" w:sz="0" w:space="0" w:color="auto"/>
            <w:right w:val="none" w:sz="0" w:space="0" w:color="auto"/>
          </w:divBdr>
          <w:divsChild>
            <w:div w:id="1683507374">
              <w:marLeft w:val="0"/>
              <w:marRight w:val="0"/>
              <w:marTop w:val="0"/>
              <w:marBottom w:val="0"/>
              <w:divBdr>
                <w:top w:val="none" w:sz="0" w:space="0" w:color="auto"/>
                <w:left w:val="none" w:sz="0" w:space="0" w:color="auto"/>
                <w:bottom w:val="none" w:sz="0" w:space="0" w:color="auto"/>
                <w:right w:val="none" w:sz="0" w:space="0" w:color="auto"/>
              </w:divBdr>
              <w:divsChild>
                <w:div w:id="573275854">
                  <w:marLeft w:val="0"/>
                  <w:marRight w:val="0"/>
                  <w:marTop w:val="0"/>
                  <w:marBottom w:val="0"/>
                  <w:divBdr>
                    <w:top w:val="none" w:sz="0" w:space="0" w:color="auto"/>
                    <w:left w:val="none" w:sz="0" w:space="0" w:color="auto"/>
                    <w:bottom w:val="none" w:sz="0" w:space="0" w:color="auto"/>
                    <w:right w:val="none" w:sz="0" w:space="0" w:color="auto"/>
                  </w:divBdr>
                  <w:divsChild>
                    <w:div w:id="65353405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997104638">
      <w:bodyDiv w:val="1"/>
      <w:marLeft w:val="0"/>
      <w:marRight w:val="0"/>
      <w:marTop w:val="0"/>
      <w:marBottom w:val="0"/>
      <w:divBdr>
        <w:top w:val="none" w:sz="0" w:space="0" w:color="auto"/>
        <w:left w:val="none" w:sz="0" w:space="0" w:color="auto"/>
        <w:bottom w:val="none" w:sz="0" w:space="0" w:color="auto"/>
        <w:right w:val="none" w:sz="0" w:space="0" w:color="auto"/>
      </w:divBdr>
      <w:divsChild>
        <w:div w:id="555091078">
          <w:marLeft w:val="0"/>
          <w:marRight w:val="0"/>
          <w:marTop w:val="0"/>
          <w:marBottom w:val="0"/>
          <w:divBdr>
            <w:top w:val="none" w:sz="0" w:space="0" w:color="auto"/>
            <w:left w:val="none" w:sz="0" w:space="0" w:color="auto"/>
            <w:bottom w:val="none" w:sz="0" w:space="0" w:color="auto"/>
            <w:right w:val="none" w:sz="0" w:space="0" w:color="auto"/>
          </w:divBdr>
          <w:divsChild>
            <w:div w:id="1699814997">
              <w:marLeft w:val="0"/>
              <w:marRight w:val="0"/>
              <w:marTop w:val="0"/>
              <w:marBottom w:val="0"/>
              <w:divBdr>
                <w:top w:val="none" w:sz="0" w:space="0" w:color="auto"/>
                <w:left w:val="none" w:sz="0" w:space="0" w:color="auto"/>
                <w:bottom w:val="none" w:sz="0" w:space="0" w:color="auto"/>
                <w:right w:val="none" w:sz="0" w:space="0" w:color="auto"/>
              </w:divBdr>
              <w:divsChild>
                <w:div w:id="147594832">
                  <w:marLeft w:val="0"/>
                  <w:marRight w:val="0"/>
                  <w:marTop w:val="0"/>
                  <w:marBottom w:val="0"/>
                  <w:divBdr>
                    <w:top w:val="none" w:sz="0" w:space="0" w:color="auto"/>
                    <w:left w:val="none" w:sz="0" w:space="0" w:color="auto"/>
                    <w:bottom w:val="none" w:sz="0" w:space="0" w:color="auto"/>
                    <w:right w:val="none" w:sz="0" w:space="0" w:color="auto"/>
                  </w:divBdr>
                  <w:divsChild>
                    <w:div w:id="169688775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3A0EC-E5B8-4AFF-A200-2DA64580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Naziv predmeta:</vt:lpstr>
    </vt:vector>
  </TitlesOfParts>
  <Company>TRW</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Naziv predmeta:</dc:title>
  <dc:subject/>
  <dc:creator>pravo</dc:creator>
  <cp:keywords/>
  <dc:description/>
  <cp:lastModifiedBy>sudnica3</cp:lastModifiedBy>
  <cp:revision>5</cp:revision>
  <cp:lastPrinted>2015-02-17T06:54:00Z</cp:lastPrinted>
  <dcterms:created xsi:type="dcterms:W3CDTF">2021-04-26T12:04:00Z</dcterms:created>
  <dcterms:modified xsi:type="dcterms:W3CDTF">2023-04-27T07:04:00Z</dcterms:modified>
</cp:coreProperties>
</file>