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7D02AB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Vilnius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,</w:t>
      </w:r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Litvanija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7D02AB" w:rsidRDefault="007D02AB" w:rsidP="007D02AB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 w:rsidRPr="007D02AB">
        <w:rPr>
          <w:rFonts w:ascii="Cambria-Bold" w:hAnsi="Cambria-Bold" w:cs="Cambria-Bold"/>
          <w:b/>
          <w:bCs/>
          <w:sz w:val="24"/>
          <w:szCs w:val="24"/>
        </w:rPr>
        <w:t>http:www.vda.lt</w:t>
      </w: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Vilnius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7D02AB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7D02AB">
        <w:rPr>
          <w:rFonts w:ascii="Arial" w:eastAsia="Times New Roman" w:hAnsi="Arial" w:cs="Arial"/>
          <w:color w:val="434A52"/>
          <w:sz w:val="20"/>
          <w:szCs w:val="20"/>
        </w:rPr>
        <w:t>Litvanija</w:t>
      </w:r>
      <w:proofErr w:type="spellEnd"/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u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23012D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23012D"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BD102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. </w:t>
      </w:r>
    </w:p>
    <w:p w:rsidR="00EF7127" w:rsidRPr="00BD102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A8423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BD1021" w:rsidRPr="00F77C4A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BD1021" w:rsidRPr="00F77C4A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23012D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BD102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="00646C55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646C55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 ,</w:t>
      </w:r>
      <w:proofErr w:type="gram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646C55">
        <w:rPr>
          <w:rFonts w:ascii="Arial" w:eastAsia="Times New Roman" w:hAnsi="Arial" w:cs="Arial"/>
          <w:color w:val="434A52"/>
          <w:sz w:val="20"/>
          <w:szCs w:val="20"/>
        </w:rPr>
        <w:t>Studenti</w:t>
      </w:r>
      <w:proofErr w:type="spell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 SP </w:t>
      </w:r>
      <w:proofErr w:type="spellStart"/>
      <w:r w:rsidR="00646C55">
        <w:rPr>
          <w:rFonts w:ascii="Arial" w:eastAsia="Times New Roman" w:hAnsi="Arial" w:cs="Arial"/>
          <w:color w:val="434A52"/>
          <w:sz w:val="20"/>
          <w:szCs w:val="20"/>
        </w:rPr>
        <w:t>Konzervacija</w:t>
      </w:r>
      <w:proofErr w:type="spell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 I </w:t>
      </w:r>
      <w:proofErr w:type="spellStart"/>
      <w:r w:rsidR="00646C55">
        <w:rPr>
          <w:rFonts w:ascii="Arial" w:eastAsia="Times New Roman" w:hAnsi="Arial" w:cs="Arial"/>
          <w:color w:val="434A52"/>
          <w:sz w:val="20"/>
          <w:szCs w:val="20"/>
        </w:rPr>
        <w:t>restauracija</w:t>
      </w:r>
      <w:proofErr w:type="spell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="00463CB9">
        <w:rPr>
          <w:rFonts w:ascii="Arial" w:eastAsia="Times New Roman" w:hAnsi="Arial" w:cs="Arial"/>
          <w:color w:val="434A52"/>
          <w:sz w:val="20"/>
          <w:szCs w:val="20"/>
        </w:rPr>
        <w:t xml:space="preserve">Master </w:t>
      </w:r>
      <w:proofErr w:type="spellStart"/>
      <w:r w:rsidR="00646C55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703913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703913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bookmarkStart w:id="0" w:name="_GoBack"/>
      <w:bookmarkEnd w:id="0"/>
    </w:p>
    <w:p w:rsidR="00EF7127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BD102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>
        <w:rPr>
          <w:rFonts w:ascii="Arial" w:eastAsia="Times New Roman" w:hAnsi="Arial" w:cs="Arial"/>
          <w:b/>
          <w:color w:val="434A52"/>
        </w:rPr>
        <w:t>,</w:t>
      </w:r>
      <w:r w:rsidR="0023012D" w:rsidRPr="0023012D">
        <w:rPr>
          <w:rFonts w:ascii="Arial" w:eastAsia="Times New Roman" w:hAnsi="Arial" w:cs="Arial"/>
          <w:b/>
          <w:color w:val="434A52"/>
        </w:rPr>
        <w:t xml:space="preserve"> </w:t>
      </w:r>
      <w:r w:rsidR="0023012D" w:rsidRPr="004F54C7">
        <w:rPr>
          <w:rFonts w:ascii="Arial" w:eastAsia="Times New Roman" w:hAnsi="Arial" w:cs="Arial"/>
          <w:b/>
          <w:color w:val="434A52"/>
        </w:rPr>
        <w:t xml:space="preserve">u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703913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od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da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da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Pr="0095517B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PETAK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20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3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95517B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5"/>
    <w:rsid w:val="00117868"/>
    <w:rsid w:val="0023012D"/>
    <w:rsid w:val="003B69B5"/>
    <w:rsid w:val="0043000D"/>
    <w:rsid w:val="00463CB9"/>
    <w:rsid w:val="00561DD7"/>
    <w:rsid w:val="00646C55"/>
    <w:rsid w:val="00700C74"/>
    <w:rsid w:val="00703913"/>
    <w:rsid w:val="007D02AB"/>
    <w:rsid w:val="00891FFA"/>
    <w:rsid w:val="008B05FD"/>
    <w:rsid w:val="0095517B"/>
    <w:rsid w:val="009A32F2"/>
    <w:rsid w:val="00A84235"/>
    <w:rsid w:val="00BD1021"/>
    <w:rsid w:val="00CA30B3"/>
    <w:rsid w:val="00EF7127"/>
    <w:rsid w:val="00F52645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2023-10-12T07:29:00Z</dcterms:created>
  <dcterms:modified xsi:type="dcterms:W3CDTF">2023-10-12T09:10:00Z</dcterms:modified>
</cp:coreProperties>
</file>