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640" w:type="dxa"/>
        <w:tblInd w:w="-34" w:type="dxa"/>
        <w:tblLook w:val="04A0" w:firstRow="1" w:lastRow="0" w:firstColumn="1" w:lastColumn="0" w:noHBand="0" w:noVBand="1"/>
      </w:tblPr>
      <w:tblGrid>
        <w:gridCol w:w="2507"/>
        <w:gridCol w:w="2346"/>
        <w:gridCol w:w="1808"/>
        <w:gridCol w:w="2016"/>
        <w:gridCol w:w="963"/>
      </w:tblGrid>
      <w:tr w:rsidR="00116E96" w:rsidRPr="00116E96" w:rsidTr="00116E96">
        <w:trPr>
          <w:trHeight w:val="5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116E96" w:rsidRPr="00116E96" w:rsidTr="00116E96">
        <w:trPr>
          <w:trHeight w:val="41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116E96">
              <w:rPr>
                <w:rFonts w:ascii="Arial" w:hAnsi="Arial" w:cs="Arial"/>
                <w:lang w:val="sr-Latn-RS"/>
              </w:rPr>
              <w:t>Metodologija naučnog istraživanja</w:t>
            </w:r>
          </w:p>
        </w:tc>
      </w:tr>
      <w:tr w:rsidR="00116E96" w:rsidRPr="00116E96" w:rsidTr="00116E96">
        <w:trPr>
          <w:trHeight w:val="1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</w:t>
            </w:r>
            <w:r w:rsidRPr="00116E96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2</w:t>
            </w:r>
            <w:r>
              <w:rPr>
                <w:rFonts w:ascii="Arial" w:hAnsi="Arial" w:cs="Arial"/>
                <w:b/>
                <w:lang w:val="sr-Latn-RS"/>
              </w:rPr>
              <w:t>P</w:t>
            </w:r>
            <w:r w:rsidRPr="00116E96">
              <w:rPr>
                <w:rFonts w:ascii="Arial" w:hAnsi="Arial" w:cs="Arial"/>
                <w:b/>
                <w:lang w:val="sr-Latn-RS"/>
              </w:rPr>
              <w:t>+2</w:t>
            </w:r>
            <w:r>
              <w:rPr>
                <w:rFonts w:ascii="Arial" w:hAnsi="Arial" w:cs="Arial"/>
                <w:b/>
                <w:lang w:val="sr-Latn-RS"/>
              </w:rPr>
              <w:t>V</w:t>
            </w:r>
          </w:p>
        </w:tc>
      </w:tr>
    </w:tbl>
    <w:tbl>
      <w:tblPr>
        <w:tblW w:w="48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920"/>
        <w:gridCol w:w="5072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doktorske 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116E96" w:rsidRPr="00116E96" w:rsidTr="00116E96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 </w:t>
            </w:r>
            <w:r w:rsidRPr="00116E96">
              <w:rPr>
                <w:rFonts w:ascii="Arial" w:eastAsia="DejaVuSans" w:hAnsi="Arial" w:cs="Arial"/>
                <w:lang w:val="sr-Latn-ME" w:eastAsia="en-US"/>
              </w:rPr>
              <w:t xml:space="preserve">Sticanje znanja i vještina iz oblasti metodologije naučnog istraživanja 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Opšta metodologija naučnog istraživanja u medicini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w w:val="115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Klasifikacija naučnih istraživanja – vrste istraživanja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0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Medicina zasnovana na dokazima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4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Važne etičke norme u biološkim i medicinskim istraživanjima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4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 xml:space="preserve">Vježbe: prate predavanja kroz primjere 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TableParagraph"/>
              <w:spacing w:line="276" w:lineRule="auto"/>
              <w:ind w:right="-4570"/>
              <w:rPr>
                <w:rFonts w:ascii="Arial" w:eastAsia="Tahoma" w:hAnsi="Arial" w:cs="Arial"/>
              </w:rPr>
            </w:pPr>
            <w:r w:rsidRPr="00116E96">
              <w:rPr>
                <w:rFonts w:ascii="Arial" w:eastAsia="DejaVuSans" w:hAnsi="Arial" w:cs="Arial"/>
                <w:lang w:val="sr-Latn-ME"/>
              </w:rPr>
              <w:t>Koncept povezanosti i uzročnosti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TableParagraph"/>
              <w:spacing w:line="276" w:lineRule="auto"/>
              <w:ind w:right="-4570"/>
              <w:rPr>
                <w:rFonts w:ascii="Arial" w:eastAsia="Tahoma" w:hAnsi="Arial" w:cs="Arial"/>
                <w:w w:val="117"/>
              </w:rPr>
            </w:pPr>
            <w:r w:rsidRPr="00116E96">
              <w:rPr>
                <w:rFonts w:ascii="Arial" w:hAnsi="Arial" w:cs="Arial"/>
                <w:w w:val="115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Mjere učestalosti poremećaja zdravlja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7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Standardizacija pokazatelja obolijevanja i umiranja (direktna i indirektna)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4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Uzorak (vrste i veličina uzorka)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5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 u određivanju veličine uzorka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TableParagraph"/>
              <w:spacing w:before="45" w:line="276" w:lineRule="auto"/>
              <w:ind w:right="-4476"/>
              <w:rPr>
                <w:rFonts w:ascii="Arial" w:eastAsia="Tahoma" w:hAnsi="Arial" w:cs="Arial"/>
              </w:rPr>
            </w:pPr>
            <w:r w:rsidRPr="00116E96">
              <w:rPr>
                <w:rFonts w:ascii="Arial" w:eastAsia="DejaVuSans" w:hAnsi="Arial" w:cs="Arial"/>
                <w:lang w:val="sr-Latn-ME"/>
              </w:rPr>
              <w:t>Deskriptivne studije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TableParagraph"/>
              <w:spacing w:before="45" w:line="276" w:lineRule="auto"/>
              <w:ind w:right="-4476"/>
              <w:rPr>
                <w:rFonts w:ascii="Arial" w:hAnsi="Arial" w:cs="Arial"/>
                <w:w w:val="116"/>
              </w:rPr>
            </w:pPr>
            <w:r w:rsidRPr="00116E96">
              <w:rPr>
                <w:rFonts w:ascii="Arial" w:hAnsi="Arial" w:cs="Arial"/>
                <w:w w:val="115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Osnovne karakteristike različitih tipova opservacionih analitičkih studija (kohortne, studije slučaja i kontrola, studije presjeka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358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Interventne (ekperimentalne) studije</w:t>
            </w:r>
          </w:p>
        </w:tc>
      </w:tr>
      <w:tr w:rsidR="00116E96" w:rsidRPr="00116E96" w:rsidTr="00116E96">
        <w:trPr>
          <w:cantSplit/>
          <w:trHeight w:val="298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Ekperimenti na životinjama u laboratorijskim uslovima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Varijabilnost i greške mjerenja (pristrasnost)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4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Skrining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>Vježbe: prate predavanja kroz primjere iz domaće i inostrane prakse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Priprema i prijavljivanje naučno istraživačkog projekta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  <w:w w:val="115"/>
                <w:lang w:val="sr-Latn-RS"/>
              </w:rPr>
            </w:pPr>
            <w:r w:rsidRPr="00116E96">
              <w:rPr>
                <w:rFonts w:ascii="Arial" w:hAnsi="Arial" w:cs="Arial"/>
                <w:w w:val="115"/>
                <w:lang w:val="sr-Latn-RS"/>
              </w:rPr>
              <w:t xml:space="preserve">Vježbe: prate predavanja kroz primjere </w:t>
            </w:r>
          </w:p>
        </w:tc>
      </w:tr>
      <w:tr w:rsidR="00116E96" w:rsidRPr="00116E96" w:rsidTr="00116E96">
        <w:trPr>
          <w:cantSplit/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: </w:t>
            </w:r>
            <w:r w:rsidRPr="00116E96">
              <w:rPr>
                <w:rFonts w:ascii="Arial" w:eastAsia="Times New Roman" w:hAnsi="Arial" w:cs="Arial"/>
                <w:bCs/>
                <w:iCs/>
                <w:lang w:val="sr-Latn-RS"/>
              </w:rPr>
              <w:t xml:space="preserve">Predavanja, vježbe, </w:t>
            </w:r>
            <w:r w:rsidRPr="00116E96">
              <w:rPr>
                <w:rFonts w:ascii="Arial" w:eastAsia="Arial" w:hAnsi="Arial" w:cs="Arial"/>
                <w:lang w:val="sr-Latn-RS"/>
              </w:rPr>
              <w:t xml:space="preserve">konsulatacije, seminarski radovi, prezentacija pred grupom,  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36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bCs/>
                <w:u w:val="single"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u w:val="single"/>
                <w:lang w:val="sr-Latn-RS"/>
              </w:rPr>
              <w:t>Nedjeljno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lang w:val="sr-Latn-RS"/>
              </w:rPr>
              <w:t>10 kredita x 40/30 = 13.33 sati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lang w:val="sr-Latn-RS"/>
              </w:rPr>
              <w:t xml:space="preserve"> Struktura: 2 sata predavanja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lang w:val="sr-Latn-RS"/>
              </w:rPr>
              <w:t xml:space="preserve">2 sata vježbi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Cs/>
                <w:lang w:val="sr-Latn-RS"/>
              </w:rPr>
              <w:t>9.33 sati samostalnog rada studenata uključukući i konsultacije</w:t>
            </w:r>
          </w:p>
        </w:tc>
        <w:tc>
          <w:tcPr>
            <w:tcW w:w="26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16E9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116E96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eastAsia="Arial" w:hAnsi="Arial" w:cs="Arial"/>
                <w:b/>
                <w:spacing w:val="-38"/>
                <w:lang w:val="hr-HR"/>
              </w:rPr>
            </w:pPr>
            <w:r w:rsidRPr="00116E96">
              <w:rPr>
                <w:rFonts w:ascii="Arial" w:hAnsi="Arial" w:cs="Arial"/>
                <w:b/>
              </w:rPr>
              <w:t>Nastava</w:t>
            </w:r>
            <w:r w:rsidRPr="00116E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i</w:t>
            </w:r>
            <w:r w:rsidRPr="00116E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završni</w:t>
            </w:r>
            <w:r w:rsidRPr="00116E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ispit</w:t>
            </w:r>
            <w:r w:rsidRPr="00116E96">
              <w:rPr>
                <w:rFonts w:ascii="Arial" w:hAnsi="Arial" w:cs="Arial"/>
              </w:rPr>
              <w:t xml:space="preserve">:(13,33 sati) x 16 = </w:t>
            </w:r>
            <w:r w:rsidRPr="00116E96">
              <w:rPr>
                <w:rFonts w:ascii="Arial" w:hAnsi="Arial" w:cs="Arial"/>
                <w:b/>
                <w:u w:val="single"/>
              </w:rPr>
              <w:t>213,28 sati</w:t>
            </w:r>
            <w:r w:rsidRPr="00116E96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116E96" w:rsidRPr="00116E96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/>
              </w:rPr>
              <w:t xml:space="preserve">Neophodne pripreme </w:t>
            </w:r>
            <w:r w:rsidRPr="00116E96">
              <w:rPr>
                <w:rFonts w:ascii="Arial" w:hAnsi="Arial" w:cs="Arial"/>
              </w:rPr>
              <w:t>prije početka semestra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(administracija,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upis, ovjera): (13,33 sati)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x</w:t>
            </w:r>
            <w:r w:rsidRPr="00116E96">
              <w:rPr>
                <w:rFonts w:ascii="Arial" w:hAnsi="Arial" w:cs="Arial"/>
                <w:spacing w:val="44"/>
              </w:rPr>
              <w:t xml:space="preserve"> </w:t>
            </w:r>
            <w:r w:rsidRPr="00116E96">
              <w:rPr>
                <w:rFonts w:ascii="Arial" w:hAnsi="Arial" w:cs="Arial"/>
              </w:rPr>
              <w:t>2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=</w:t>
            </w:r>
            <w:r w:rsidRPr="00116E96">
              <w:rPr>
                <w:rFonts w:ascii="Arial" w:hAnsi="Arial" w:cs="Arial"/>
                <w:spacing w:val="83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26,66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sati</w:t>
            </w:r>
          </w:p>
          <w:p w:rsidR="00116E96" w:rsidRPr="00116E96" w:rsidRDefault="00116E96" w:rsidP="00116E9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116E96">
              <w:rPr>
                <w:rFonts w:ascii="Arial" w:hAnsi="Arial" w:cs="Arial"/>
                <w:b/>
              </w:rPr>
              <w:t>Ukupno</w:t>
            </w:r>
            <w:r w:rsidRPr="00116E9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opterećenje za predmet</w:t>
            </w:r>
            <w:r w:rsidRPr="00116E96">
              <w:rPr>
                <w:rFonts w:ascii="Arial" w:hAnsi="Arial" w:cs="Arial"/>
              </w:rPr>
              <w:t xml:space="preserve">: </w:t>
            </w:r>
            <w:r w:rsidRPr="00116E96">
              <w:rPr>
                <w:rFonts w:ascii="Arial" w:hAnsi="Arial" w:cs="Arial"/>
                <w:b/>
                <w:u w:val="single"/>
              </w:rPr>
              <w:t>10 x</w:t>
            </w:r>
            <w:r w:rsidRPr="00116E9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30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=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300 sati</w:t>
            </w:r>
          </w:p>
          <w:p w:rsidR="00116E96" w:rsidRPr="00116E96" w:rsidRDefault="00116E96" w:rsidP="00116E9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/>
              </w:rPr>
              <w:t>Struktura</w:t>
            </w:r>
            <w:r w:rsidRPr="00116E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opterećenja</w:t>
            </w:r>
            <w:r w:rsidRPr="00116E96">
              <w:rPr>
                <w:rFonts w:ascii="Arial" w:hAnsi="Arial" w:cs="Arial"/>
              </w:rPr>
              <w:t>: 234,56 sati (nastava i završni ispit) + 29,32 sati (priprema) +</w:t>
            </w:r>
            <w:r w:rsidRPr="00116E96">
              <w:rPr>
                <w:rFonts w:ascii="Arial" w:hAnsi="Arial" w:cs="Arial"/>
                <w:spacing w:val="-39"/>
              </w:rPr>
              <w:t xml:space="preserve"> </w:t>
            </w:r>
            <w:r w:rsidRPr="00116E96">
              <w:rPr>
                <w:rFonts w:ascii="Arial" w:hAnsi="Arial" w:cs="Arial"/>
              </w:rPr>
              <w:t>42 sata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(dopunski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redovno pohađanje nastave i vježbi, izrada seminarskog rada</w:t>
            </w: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16E96" w:rsidRPr="00116E96" w:rsidTr="00116E96">
        <w:trPr>
          <w:cantSplit/>
          <w:trHeight w:val="19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92" w:hanging="283"/>
              <w:rPr>
                <w:rFonts w:ascii="Arial" w:eastAsia="DejaVuSans" w:hAnsi="Arial" w:cs="Arial"/>
                <w:lang w:val="en-US"/>
              </w:rPr>
            </w:pPr>
            <w:r w:rsidRPr="00116E96">
              <w:rPr>
                <w:rFonts w:ascii="Arial" w:eastAsia="DejaVuSans" w:hAnsi="Arial" w:cs="Arial"/>
                <w:lang w:val="en-US"/>
              </w:rPr>
              <w:t xml:space="preserve">Metodologija naučnog saznanja I – Kako stvoriti naučno delo u biomedicini. Jovan Đ. Savić, drugo izdanje, 2013, DATASTATUS, Beograd 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92" w:hanging="283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en-US"/>
              </w:rPr>
              <w:t xml:space="preserve">Oxford Handbook of Clinical and Healthcare Research. Editors: Sumantra Ray, Sue Fitzpatrick, Rajna Golubic, Suzan Fisher, Oxford University press, 2016 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92" w:hanging="283"/>
              <w:textAlignment w:val="baseline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Izvori sa interneta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pStyle w:val="TableParagraph"/>
              <w:spacing w:before="45" w:line="276" w:lineRule="auto"/>
              <w:ind w:left="49" w:right="49"/>
              <w:rPr>
                <w:rFonts w:ascii="Arial" w:hAnsi="Arial" w:cs="Arial"/>
                <w:spacing w:val="-9"/>
                <w:w w:val="115"/>
              </w:rPr>
            </w:pPr>
            <w:r w:rsidRPr="00116E96">
              <w:rPr>
                <w:rFonts w:ascii="Arial" w:hAnsi="Arial" w:cs="Arial"/>
                <w:w w:val="115"/>
              </w:rPr>
              <w:t>Nakon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završene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jednosemestralne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nastave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i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položenog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ispita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iz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predmeta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metodologija naučnog istraživanja</w:t>
            </w:r>
            <w:r w:rsidRPr="00116E96">
              <w:rPr>
                <w:rFonts w:ascii="Arial" w:hAnsi="Arial" w:cs="Arial"/>
                <w:w w:val="115"/>
              </w:rPr>
              <w:t>,</w:t>
            </w:r>
            <w:r w:rsidRPr="00116E96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student doktorskih studija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treba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da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posjeduje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sledeće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ishode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116E96">
              <w:rPr>
                <w:rFonts w:ascii="Arial" w:hAnsi="Arial" w:cs="Arial"/>
                <w:w w:val="115"/>
              </w:rPr>
              <w:t>učenja:</w:t>
            </w:r>
            <w:r w:rsidRPr="00116E96">
              <w:rPr>
                <w:rFonts w:ascii="Arial" w:hAnsi="Arial" w:cs="Arial"/>
                <w:spacing w:val="-9"/>
                <w:w w:val="115"/>
              </w:rPr>
              <w:t xml:space="preserve"> </w:t>
            </w:r>
          </w:p>
          <w:p w:rsidR="00116E96" w:rsidRPr="00116E96" w:rsidRDefault="00116E96" w:rsidP="00116E96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1. Poznaje opšte metodološke principe naučnog istraživanja 2. Poznaje vrste naučnog istraživanja i njihove osnovne karakteristike. 3. Poznaje etičke norme u biomedicinskim istraživanjima 4. Zna osnovne elemente primjene medicine zasnovane na dokazima 5. Poznaje koncepte povezanosti i uzročnosti, kao i kriterijume za uzročnost 6. Zna da izračuna pokazatelje obolijevanja i umiranja 8. Zna da opiše vrste epidemioloških studija i njihove prednosti i nedostatke 9. Zna da razlikuje vrste uzoraka i njihovu primjenu 10. Poznaje različite vrste greški mjerenja – pristrasnosti 11. Poznaje principe planiranja i prijavljivanja naučno-istraživačkog projekta.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Oblici provjere znanja i ocjenjivanje:</w:t>
            </w:r>
          </w:p>
          <w:p w:rsidR="00116E96" w:rsidRPr="00116E96" w:rsidRDefault="00116E96" w:rsidP="00116E96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="DejaVuSans" w:hAnsi="Arial" w:cs="Arial"/>
                <w:lang w:val="sr-Latn-ME" w:eastAsia="en-US"/>
              </w:rPr>
              <w:t>Do 30 poena - redovno prisustvo i aktivnost u nastavi;  do 20 poena - seminarski rad;  do 50 poena – ispit u formi testa.  Prelazna ocjena se dobija ako se kumulativno sakupi minimum 50 poena</w:t>
            </w:r>
          </w:p>
        </w:tc>
      </w:tr>
      <w:tr w:rsidR="00116E96" w:rsidRPr="00116E96" w:rsidTr="00116E96">
        <w:trPr>
          <w:trHeight w:val="4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prof. dr Dragan Laušević, prof. dr Boban Mugoša</w:t>
            </w:r>
          </w:p>
        </w:tc>
      </w:tr>
      <w:tr w:rsidR="00116E96" w:rsidRPr="00116E96" w:rsidTr="00116E96"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Pr="00116E96" w:rsidRDefault="00116E96" w:rsidP="00116E96">
      <w:pPr>
        <w:rPr>
          <w:rFonts w:ascii="Arial" w:hAnsi="Arial" w:cs="Arial"/>
          <w:lang w:val="sr-Latn-RS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  <w:r w:rsidRPr="00116E96">
        <w:rPr>
          <w:rFonts w:ascii="Arial" w:eastAsia="Times New Roman" w:hAnsi="Arial" w:cs="Arial"/>
          <w:lang w:val="sr-Latn-RS" w:eastAsia="sr-Latn-ME"/>
        </w:rPr>
        <w:t>.</w:t>
      </w: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P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val="sr-Latn-RS" w:eastAsia="sr-Latn-ME"/>
        </w:rPr>
      </w:pPr>
    </w:p>
    <w:p w:rsidR="00116E96" w:rsidRPr="00116E96" w:rsidRDefault="00116E96" w:rsidP="00116E96">
      <w:pPr>
        <w:rPr>
          <w:rFonts w:ascii="Arial" w:hAnsi="Arial" w:cs="Arial"/>
          <w:lang w:val="sr-Latn-RS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Biostatistika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2P+2V</w:t>
            </w:r>
          </w:p>
        </w:tc>
      </w:tr>
    </w:tbl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292"/>
        <w:gridCol w:w="5836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doktorske studfije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16E96">
              <w:rPr>
                <w:rFonts w:ascii="Arial" w:hAnsi="Arial" w:cs="Arial"/>
              </w:rPr>
              <w:t>Nema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16E96">
              <w:rPr>
                <w:rFonts w:ascii="Arial" w:hAnsi="Arial" w:cs="Arial"/>
              </w:rPr>
              <w:t>Usvajanje statističkih tehnika neophodnih za organizaciju, sprovođenje i medicinskih istraživanja. Usvajanje postupaka za pravilan unos podataka, upotreba pravilnih statisičkih tehnika za obradu podataka, kao i upoznavanje sa statističkim softverom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Značaj statistike u biomedicinskim istraživanjima. Retrospektivne i prospektivne studije.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Osnovni statisički pojmovi (srednja vrijednost, disperzija, interval povjerenja).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Medijana. Percentili i kvartili. Interkvartilni rang. Pojam funkcije raspodjele. Normalna raspodjela.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Simetrične i asimetrične raspodjele. Ocjena srednje vrijednosti kod simetričnih i asimetričnih raspodjela.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Pojam nestandardnih opservacija. Tretman nestandardnih opservacija prilikom obrade podataka.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Parametarska statistika. Pojam statističke hipoteze i testa. Greške prve i druge vrste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Pojam t testa. t test za dva nezavisna uzorka. t test za dva zavisna uzorka.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Disperziona analiza.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Neparametarska statistika. Mann Whitney i Wilcoxonov test.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Kruskal Wallisov test. 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Upotreba parametarske i neparametarske statistike u radu sa sirovim podacima.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Korelaciona analiza.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Regresiona analiza.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Funkcija preživljavanja. Kaplan Meierova ocjena funkcije preživljavanja.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Tabele kontigencije. Koeficijent kontigencije i Kramerovo φ. Kvatifikacija rizika. Vježbe prate predavanja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16E96">
              <w:rPr>
                <w:rFonts w:ascii="Arial" w:hAnsi="Arial" w:cs="Arial"/>
              </w:rPr>
              <w:t>Predavanja i vježbe. Individualni i grupni rad sa sirovim statističkim podacima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01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bCs/>
                <w:u w:val="single"/>
              </w:rPr>
            </w:pPr>
            <w:r w:rsidRPr="00116E96">
              <w:rPr>
                <w:rFonts w:ascii="Arial" w:eastAsia="Times New Roman" w:hAnsi="Arial" w:cs="Arial"/>
                <w:bCs/>
                <w:u w:val="single"/>
              </w:rPr>
              <w:lastRenderedPageBreak/>
              <w:t>Nedjeljno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116E96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116E96">
              <w:rPr>
                <w:rFonts w:ascii="Arial" w:eastAsia="Times New Roman" w:hAnsi="Arial" w:cs="Arial"/>
                <w:bCs/>
              </w:rPr>
              <w:t>10 kredita x 40/30 = 13.33 sati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116E96">
              <w:rPr>
                <w:rFonts w:ascii="Arial" w:eastAsia="Times New Roman" w:hAnsi="Arial" w:cs="Arial"/>
                <w:bCs/>
              </w:rPr>
              <w:t xml:space="preserve"> Struktura: 2 sata predavanja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116E96">
              <w:rPr>
                <w:rFonts w:ascii="Arial" w:eastAsia="Times New Roman" w:hAnsi="Arial" w:cs="Arial"/>
                <w:bCs/>
              </w:rPr>
              <w:t xml:space="preserve">2 sata vježbi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116E96">
              <w:rPr>
                <w:rFonts w:ascii="Arial" w:eastAsia="Times New Roman" w:hAnsi="Arial" w:cs="Arial"/>
                <w:bCs/>
              </w:rPr>
              <w:t>9.33 sati samostalnog rada studenata uključukući i konsultacije</w:t>
            </w:r>
          </w:p>
        </w:tc>
        <w:tc>
          <w:tcPr>
            <w:tcW w:w="29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116E9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116E96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116E96">
              <w:rPr>
                <w:rFonts w:ascii="Arial" w:hAnsi="Arial" w:cs="Arial"/>
                <w:b/>
              </w:rPr>
              <w:t>Nastava</w:t>
            </w:r>
            <w:r w:rsidRPr="00116E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i</w:t>
            </w:r>
            <w:r w:rsidRPr="00116E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završni</w:t>
            </w:r>
            <w:r w:rsidRPr="00116E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ispit</w:t>
            </w:r>
            <w:r w:rsidRPr="00116E96">
              <w:rPr>
                <w:rFonts w:ascii="Arial" w:hAnsi="Arial" w:cs="Arial"/>
              </w:rPr>
              <w:t xml:space="preserve">:(13,33 sati) x 16 = </w:t>
            </w:r>
            <w:r w:rsidRPr="00116E96">
              <w:rPr>
                <w:rFonts w:ascii="Arial" w:hAnsi="Arial" w:cs="Arial"/>
                <w:b/>
                <w:u w:val="single"/>
              </w:rPr>
              <w:t>213,28 sati</w:t>
            </w:r>
            <w:r w:rsidRPr="00116E96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116E96" w:rsidRPr="00116E96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/>
              </w:rPr>
              <w:t xml:space="preserve">Neophodne pripreme </w:t>
            </w:r>
            <w:r w:rsidRPr="00116E96">
              <w:rPr>
                <w:rFonts w:ascii="Arial" w:hAnsi="Arial" w:cs="Arial"/>
              </w:rPr>
              <w:t>prije početka semestra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(administracija,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upis, ovjera): (13,33 sati)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x</w:t>
            </w:r>
            <w:r w:rsidRPr="00116E96">
              <w:rPr>
                <w:rFonts w:ascii="Arial" w:hAnsi="Arial" w:cs="Arial"/>
                <w:spacing w:val="44"/>
              </w:rPr>
              <w:t xml:space="preserve"> </w:t>
            </w:r>
            <w:r w:rsidRPr="00116E96">
              <w:rPr>
                <w:rFonts w:ascii="Arial" w:hAnsi="Arial" w:cs="Arial"/>
              </w:rPr>
              <w:t>2</w:t>
            </w:r>
            <w:r w:rsidRPr="00116E96">
              <w:rPr>
                <w:rFonts w:ascii="Arial" w:hAnsi="Arial" w:cs="Arial"/>
                <w:spacing w:val="-1"/>
              </w:rPr>
              <w:t xml:space="preserve"> </w:t>
            </w:r>
            <w:r w:rsidRPr="00116E96">
              <w:rPr>
                <w:rFonts w:ascii="Arial" w:hAnsi="Arial" w:cs="Arial"/>
              </w:rPr>
              <w:t>=</w:t>
            </w:r>
            <w:r w:rsidRPr="00116E96">
              <w:rPr>
                <w:rFonts w:ascii="Arial" w:hAnsi="Arial" w:cs="Arial"/>
                <w:spacing w:val="83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26,66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sati</w:t>
            </w:r>
          </w:p>
          <w:p w:rsidR="00116E96" w:rsidRPr="00116E96" w:rsidRDefault="00116E96" w:rsidP="00116E9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116E96">
              <w:rPr>
                <w:rFonts w:ascii="Arial" w:hAnsi="Arial" w:cs="Arial"/>
                <w:b/>
              </w:rPr>
              <w:t>Ukupno</w:t>
            </w:r>
            <w:r w:rsidRPr="00116E9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opterećenje za predmet</w:t>
            </w:r>
            <w:r w:rsidRPr="00116E96">
              <w:rPr>
                <w:rFonts w:ascii="Arial" w:hAnsi="Arial" w:cs="Arial"/>
              </w:rPr>
              <w:t xml:space="preserve">: </w:t>
            </w:r>
            <w:r w:rsidRPr="00116E96">
              <w:rPr>
                <w:rFonts w:ascii="Arial" w:hAnsi="Arial" w:cs="Arial"/>
                <w:b/>
                <w:u w:val="single"/>
              </w:rPr>
              <w:t>10 x</w:t>
            </w:r>
            <w:r w:rsidRPr="00116E96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30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=</w:t>
            </w:r>
            <w:r w:rsidRPr="00116E96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116E96">
              <w:rPr>
                <w:rFonts w:ascii="Arial" w:hAnsi="Arial" w:cs="Arial"/>
                <w:b/>
                <w:u w:val="single"/>
              </w:rPr>
              <w:t>300 sati</w:t>
            </w:r>
          </w:p>
          <w:p w:rsidR="00116E96" w:rsidRPr="00116E96" w:rsidRDefault="00116E96" w:rsidP="00116E9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/>
              </w:rPr>
              <w:t>Struktura</w:t>
            </w:r>
            <w:r w:rsidRPr="00116E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16E96">
              <w:rPr>
                <w:rFonts w:ascii="Arial" w:hAnsi="Arial" w:cs="Arial"/>
                <w:b/>
              </w:rPr>
              <w:t>opterećenja</w:t>
            </w:r>
            <w:r w:rsidRPr="00116E96">
              <w:rPr>
                <w:rFonts w:ascii="Arial" w:hAnsi="Arial" w:cs="Arial"/>
              </w:rPr>
              <w:t>: 234,56 sati (nastava i završni ispit) + 29,32 sati (priprema) +</w:t>
            </w:r>
            <w:r w:rsidRPr="00116E96">
              <w:rPr>
                <w:rFonts w:ascii="Arial" w:hAnsi="Arial" w:cs="Arial"/>
                <w:spacing w:val="-39"/>
              </w:rPr>
              <w:t xml:space="preserve"> </w:t>
            </w:r>
            <w:r w:rsidRPr="00116E96">
              <w:rPr>
                <w:rFonts w:ascii="Arial" w:hAnsi="Arial" w:cs="Arial"/>
              </w:rPr>
              <w:t>42 sata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(dopunski</w:t>
            </w:r>
            <w:r w:rsidRPr="00116E96">
              <w:rPr>
                <w:rFonts w:ascii="Arial" w:hAnsi="Arial" w:cs="Arial"/>
                <w:spacing w:val="1"/>
              </w:rPr>
              <w:t xml:space="preserve"> </w:t>
            </w:r>
            <w:r w:rsidRPr="00116E96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Redovno pohađanje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1.B. Rosner (2010), Fundamentals in Biostatistics,Cengage Learning  2.A. Field (2013), Discovering Statistics using IBM SPSS Statistics, SAGE Publications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Poznavanje upotrebe različitih statistiških metoda.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Mogućnost izbora statističke metode koja odgovara dizajnu istraživanja.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Tumačenje dobijenih statističkih rezultata.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Poznavanje teorije uzorka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Poznavanje prikazivanja rezultata frafički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Dva testa od 10 poena (ukupno 20 poena) Seminarski rad 25 poena. Redovno prisustvo predavanjima 5 poena. Završni ispit 50 poena. Prelazna ocjena se dobija ako se kumulativano sakupi min 50 poena.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  <w:r w:rsidRPr="00116E96">
              <w:rPr>
                <w:rFonts w:ascii="Arial" w:hAnsi="Arial" w:cs="Arial"/>
              </w:rPr>
              <w:t xml:space="preserve"> Dr Božidar V. Popović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Pr="00116E96" w:rsidRDefault="00116E96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Medicinska informatika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116E96">
              <w:rPr>
                <w:rFonts w:cs="Arial"/>
                <w:i w:val="0"/>
                <w:color w:val="auto"/>
                <w:sz w:val="22"/>
                <w:szCs w:val="22"/>
              </w:rPr>
              <w:t>2P+1V</w:t>
            </w:r>
            <w:r>
              <w:rPr>
                <w:rFonts w:cs="Arial"/>
                <w:i w:val="0"/>
                <w:color w:val="auto"/>
                <w:sz w:val="22"/>
                <w:szCs w:val="22"/>
              </w:rPr>
              <w:t>+1S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583"/>
        <w:gridCol w:w="5550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doktorske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16E96">
              <w:rPr>
                <w:rFonts w:ascii="Arial" w:hAnsi="Arial" w:cs="Arial"/>
              </w:rPr>
              <w:t>Osnovni ciljevi edukacije su upoznavanje i rad u određenim softverskim paketima kao i upoznavanje sa informacionim sistemima i informatičkom tehnologijom koja se koristi u biomedicini i zdravstvu kao i u naučnoistraživačkom radu. Znanja: upoznavanje sa zdravstvenim, bolničkim i drugim informacionim sistemima; ekspertnim sistemima; veštačkom inteligencijom, neuroračunarima, bazama podataka i informaciono-komunikacionim tehnologijama značajnim za biomedicinu, zdravstvo i biomedicinske nauke. Veštine: Osposobljavanje studenata: da se uključuju u određene informacione sisteme u zdravstvu, da koriste informaciono-komunikacionu tehnologiju za potrebe svoje profesije; da samostalno pretražuju baze podataka i elektronske izvore informacija i literaturu u elektronskoj formi; da koriste određene programe za pisanje i prezentaciju stručnih i naučnih radova.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Medicinska informatika.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Zdravstveni informacioni sistemi, Bolnički informacioni sistemi, Farmaceutski informacioni sistem i farmakoinformatika u uslovima primene savremene informatičke tehnologije, Laboratorijski informacioni sistem.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Ekspertni sistemi, Veštačka inteligencija i neuroračunari u biomedicini.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Biomedicinska naučna informatika i biomedicinsko naučno informisanje, Sistem biomedicinskog naučnog informisanja i bibliotečko-informacioni sistem.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Primena informacione tehnologije za kreiranje i pretraživanje baza podataka i baza znanja, Biblioteke, Bibliotečkoinformacioni sistem.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Pretraživanje jedinstvenog bibliotečkoinformacionog sistema COBISS, Pretraživanje Googla,Google Scholar, Google Book, indeksnih i citatnih baza: Medline, Web of Science, Scopus, Srpski citatni indeks, Hrčak baze, i dr. Pretraživanje baza punog teksta, baze otvorenog pristupa, EBSCO servis.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Citatne analize, vrednovanje naučnog rada, medicina i praksa zasnovana na dokazima, meta analiza na osnovu publikovanih rezultata istraživanja, Informaciona tehnologija u nauci o nauci.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Primena informaciono-komunikacione tehnologije u pojedinim biomedicinskim naučnim oblastima.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Savremene informacione tehnologije u sistemu za upravljanje medicinskom dokumentacijom, elektronski karton, softveri za vođenje klinika i ordinacija.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Informaciono-komunikaciona tehnologija kao podloga razvoja medicine.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Robotika u medicini.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Telemedicina. Vježbe prate predavanja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Primena informatičke tehnologije u modeliranju delova ljudskog tela i protetičkih komponenti. Vježbe prate predavanja. Vježbe prate predavanja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Primena informatičke tehnologije u dijagnostici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Primena informatičke tehnologije u terapiji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16E96">
              <w:rPr>
                <w:rFonts w:ascii="Arial" w:hAnsi="Arial" w:cs="Arial"/>
              </w:rPr>
              <w:t>Predavanja i vježbe. Individualni i grupni rad sa sirovim statističkim podacima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16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bCs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u w:val="single"/>
                <w:lang w:val="sr-Latn-RS"/>
              </w:rPr>
              <w:t>Nedjeljno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10 kredita x 40/30 = 13.33 sati</w:t>
            </w:r>
          </w:p>
          <w:p w:rsidR="007A33C0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Struktura: 2 sata predavanja</w:t>
            </w:r>
          </w:p>
          <w:p w:rsidR="00116E96" w:rsidRPr="007A33C0" w:rsidRDefault="007A33C0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1 sat seminarski rad</w:t>
            </w:r>
            <w:r w:rsidR="00116E96"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1 sata vježbi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10.33 sati samostalnog rada studenata uključujući i konsultacije</w:t>
            </w:r>
          </w:p>
        </w:tc>
        <w:tc>
          <w:tcPr>
            <w:tcW w:w="28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:(13,33 sati) x 16 = </w:t>
            </w:r>
            <w:r w:rsidRPr="007A33C0">
              <w:rPr>
                <w:rFonts w:ascii="Arial" w:hAnsi="Arial" w:cs="Arial"/>
                <w:b/>
                <w:u w:val="single"/>
              </w:rPr>
              <w:t>213,28 sati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(13,33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26,66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sati</w:t>
            </w:r>
          </w:p>
          <w:p w:rsidR="00116E96" w:rsidRPr="007A33C0" w:rsidRDefault="00116E96" w:rsidP="00116E9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10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300 sati</w:t>
            </w:r>
          </w:p>
          <w:p w:rsidR="00116E96" w:rsidRPr="007A33C0" w:rsidRDefault="00116E96" w:rsidP="00116E9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opterećenja</w:t>
            </w:r>
            <w:r w:rsidRPr="007A33C0">
              <w:rPr>
                <w:rFonts w:ascii="Arial" w:hAnsi="Arial" w:cs="Arial"/>
              </w:rPr>
              <w:t>: 234,56 sati (nastava i završni ispit) + 29,32 sati (priprema) +</w:t>
            </w:r>
            <w:r w:rsidRPr="007A33C0">
              <w:rPr>
                <w:rFonts w:ascii="Arial" w:hAnsi="Arial" w:cs="Arial"/>
                <w:spacing w:val="-39"/>
              </w:rPr>
              <w:t xml:space="preserve"> </w:t>
            </w:r>
            <w:r w:rsidRPr="007A33C0">
              <w:rPr>
                <w:rFonts w:ascii="Arial" w:hAnsi="Arial" w:cs="Arial"/>
              </w:rPr>
              <w:t>42 sata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(dopunski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Health Informatics: A Systems Perspective First Edition, 2012,by Gordon D. Brown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Pounavanje informacionih sistemi u zdravstvu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Ekspertski sistemi i veštačka inteligencija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Biblioteke i bibliotečki sistemi, COBISS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Baze i ptertaživanje baza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Medicina zasnovana na dokazima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Dva testa od 10 poena (ukupno 20 poena) Seminarski rad 25 poena. Redovno prisustvo predavanjima 5 poena. Završni ispit 50 poena. Prelazna ocjena se dobija ako se kumulativano sakupi min 50 poena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 dr Ljubiša Stanković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Pr="00116E96" w:rsidRDefault="00116E96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</w:t>
            </w: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Osnovi ćelijske biologije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Izborni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 xml:space="preserve">          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 xml:space="preserve">          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1</w:t>
            </w:r>
            <w:r w:rsidRPr="00116E96">
              <w:rPr>
                <w:rFonts w:ascii="Arial" w:hAnsi="Arial" w:cs="Arial"/>
                <w:b/>
                <w:lang w:val="sr-Latn-RS"/>
              </w:rPr>
              <w:t>P</w:t>
            </w:r>
            <w:r>
              <w:rPr>
                <w:rFonts w:ascii="Arial" w:hAnsi="Arial" w:cs="Arial"/>
                <w:b/>
                <w:lang w:val="sr-Latn-RS"/>
              </w:rPr>
              <w:t>+1S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857"/>
        <w:gridCol w:w="6277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Doktorske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       nema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contextualSpacing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116E96">
              <w:rPr>
                <w:rFonts w:ascii="Arial" w:hAnsi="Arial" w:cs="Arial"/>
              </w:rPr>
              <w:t>Upoznavanje sa savremenim konceptima ćelijske građe i funkcije. Razumjevanje principa građe ćelije i njihovog značaja u razvoju novih terapijskih opcija. Upoznavanje sa međusobnim uticajem ćelije na okolinu i okoline na ćeliju. Razumjevanje procesa apoptoze i maligne alteracije ćelije. Sticanje znanja o ćelijskim receptorima i  imunitetu, te terapijskom značaju razvoja ciljane terapije i imunoterapije malignih bolesti.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Struktura i funkcija ćelijskih organela.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Struktura i funkcija ćelijskih organela.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Mehanizmi oštećenja ćelije i mehanizmi adaptacije ćelije na oštećenje.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Mehanizmi oštećenja ćelije i mehanizmi adaptacije ćelije na oštećenje.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Ćelijska smrt.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Ćelijska smrt.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Tipovi nekroze. Apoptoza i njen značaj u kliničkim istraživanjima.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Tipovi nekroze. Apoptoza i njen značaj u kliničkim istraživanjima.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Faktori rasta i njihov klinički značaj.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Faktori rasta i njihov klinički značaj.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Ćelijski receptori i njihov značaj u terapiji bolesti.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Ćelijski receptori i njihov značaj u terapiji bolesti.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Ekstraćelijski matriks i njegov klinički značaj u rastu i razvoju tumora.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Ekstraćelijski matriks i njegov klinički značaj u rastu i razvoju tumora.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Matriks metaloproteinaze u kliničkim istraživanjima.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Matriks metaloproteinaze u kliničkim istraživanjima.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Angiogeneza. Savremeni koncepti antiangiogene terapije.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Angiogeneza. Savremeni koncepti antiangiogene terapije.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Ćelijski adhezioni molekuli i njihov značaj u dijagnostici i kliničkom istraživanju.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Ćelijski adhezioni molekuli i njihov značaj u dijagnostici i kliničkom istraživanju.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Imunohistohemijske metode i molekularne analize koje se koriste u dijagnostici i kliničkom istraživanju.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Imunohistohemijske metode i molekularne analize koje se koriste u dijagnostici i kliničkom istraživanju.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Principi tumorske biologije.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Principi tumorske biologije.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Inhibitori receptora za epidermalni faktor rasta.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Inhibitori receptora za epidermalni faktor rasta.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Matične ćelije.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Vježba: Matične ćelije.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Mehanizmi rezistencije na antikancerske lijekove.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Mehanizmi rezistencije na antikancerske lijekove.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16E96">
              <w:rPr>
                <w:rFonts w:ascii="Arial" w:eastAsia="Times New Roman" w:hAnsi="Arial" w:cs="Arial"/>
                <w:bCs/>
                <w:iCs/>
                <w:lang w:val="sr-Latn-RS"/>
              </w:rPr>
              <w:t>Predavanja, vježbe, seminari, konsultacije, seminarski radovi, prezentacija pred grupom.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17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 xml:space="preserve">5 kredita x 40/30 = 6,66 sati. </w:t>
            </w: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 xml:space="preserve">Struktura:  </w:t>
            </w:r>
            <w:r w:rsidR="007A33C0" w:rsidRPr="007A33C0">
              <w:rPr>
                <w:rFonts w:ascii="Arial" w:hAnsi="Arial" w:cs="Arial"/>
              </w:rPr>
              <w:t>1 sat</w:t>
            </w:r>
            <w:r w:rsidRPr="007A33C0">
              <w:rPr>
                <w:rFonts w:ascii="Arial" w:hAnsi="Arial" w:cs="Arial"/>
              </w:rPr>
              <w:t xml:space="preserve"> predavanja</w:t>
            </w:r>
          </w:p>
          <w:p w:rsidR="007A33C0" w:rsidRPr="007A33C0" w:rsidRDefault="007A33C0" w:rsidP="00116E96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>1 sat seminarski rad</w:t>
            </w: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 xml:space="preserve">4,66 sati samostalnog rada studenta uključujući i konsultacije </w:t>
            </w:r>
          </w:p>
          <w:p w:rsidR="00116E96" w:rsidRPr="007A33C0" w:rsidRDefault="00116E96" w:rsidP="00116E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u w:val="single"/>
                <w:lang w:val="hr-HR"/>
              </w:rPr>
            </w:pPr>
          </w:p>
        </w:tc>
        <w:tc>
          <w:tcPr>
            <w:tcW w:w="32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 (6,66 sati) x 16 = </w:t>
            </w:r>
            <w:r w:rsidRPr="007A33C0">
              <w:rPr>
                <w:rFonts w:ascii="Arial" w:hAnsi="Arial" w:cs="Arial"/>
                <w:b/>
                <w:u w:val="single"/>
              </w:rPr>
              <w:t>106,56 sat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(6,66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13,32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sata</w:t>
            </w:r>
          </w:p>
          <w:p w:rsidR="00116E96" w:rsidRPr="007A33C0" w:rsidRDefault="00116E96" w:rsidP="00116E9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5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150 sati</w:t>
            </w:r>
          </w:p>
          <w:p w:rsidR="00116E96" w:rsidRPr="007A33C0" w:rsidRDefault="00116E96" w:rsidP="00116E9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7A33C0">
              <w:rPr>
                <w:rFonts w:ascii="Arial" w:hAnsi="Arial" w:cs="Arial"/>
                <w:b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opterećenja</w:t>
            </w:r>
            <w:r w:rsidRPr="007A33C0">
              <w:rPr>
                <w:rFonts w:ascii="Arial" w:hAnsi="Arial" w:cs="Arial"/>
              </w:rPr>
              <w:t>: 106,56 sati (nastava i završni ispit)+ 13,32 sata (priprema) +</w:t>
            </w:r>
            <w:r w:rsidRPr="007A33C0">
              <w:rPr>
                <w:rFonts w:ascii="Arial" w:hAnsi="Arial" w:cs="Arial"/>
                <w:spacing w:val="-39"/>
              </w:rPr>
              <w:t xml:space="preserve">  </w:t>
            </w:r>
            <w:r w:rsidRPr="007A33C0">
              <w:rPr>
                <w:rFonts w:ascii="Arial" w:hAnsi="Arial" w:cs="Arial"/>
              </w:rPr>
              <w:t>30 sati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(dopunski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A. Johnson, J.Lewis, D. Morgan. Molecular Biology of the Cell. Garland Science. Sixth Edition. 2014.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 xml:space="preserve">Studenti će nakon odslušanih predavanja i vježbi biti osposobljeni da razumiju složene principe građe ćelije, 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međusobni uticaj ćelije na okolinu i okoline na ćeliju, razumje proces smrti ćelije i apoptoze, te njihov značaj u praktičnoj primjeni razvoja različitih terapijskih modaliteta.</w:t>
            </w:r>
          </w:p>
          <w:p w:rsidR="00116E96" w:rsidRPr="00116E96" w:rsidRDefault="00116E96" w:rsidP="00116E96">
            <w:pPr>
              <w:spacing w:after="0"/>
              <w:contextualSpacing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Osposobljeni su da primijene dobijena znanja iz procesa maligne alteracije ćelija, ćelijskog imuniteta i ćelijskih receptora u planiranju i izvođenju naučno-istraživačkihradova i projekata. 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Prisustvo nastavi 20 poena, seminarski rad 20 poena, kolokvijum 10 poena; Završni ispit (pismeno) do 50 poena. Položen ispit podrazumijeva kumulativno sakupljeno 50 poena i više.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Prof. dr Filip Vukmirović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Prof. dr Vladimir Todorović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Pr="00116E96" w:rsidRDefault="00116E96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 w:rsidRPr="00116E96">
              <w:rPr>
                <w:rFonts w:ascii="Arial" w:hAnsi="Arial" w:cs="Arial"/>
                <w:b/>
                <w:bCs/>
                <w:iCs/>
                <w:lang w:val="sr-Latn-RS"/>
              </w:rPr>
              <w:t>Osnovi molekularne genetike u medicinskim istraživanjima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Izborni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keepNext/>
              <w:spacing w:line="276" w:lineRule="auto"/>
              <w:jc w:val="center"/>
              <w:outlineLvl w:val="2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/>
              </w:rPr>
              <w:t>II (drugi)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iCs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/>
              </w:rPr>
              <w:t xml:space="preserve">  </w:t>
            </w:r>
            <w:r w:rsidRPr="00116E96">
              <w:rPr>
                <w:rFonts w:ascii="Arial" w:hAnsi="Arial" w:cs="Arial"/>
                <w:b/>
                <w:bCs/>
                <w:iCs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iCs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/>
              </w:rPr>
              <w:t>1</w:t>
            </w:r>
            <w:r w:rsidRPr="00116E96">
              <w:rPr>
                <w:rFonts w:ascii="Arial" w:hAnsi="Arial" w:cs="Arial"/>
                <w:b/>
                <w:bCs/>
                <w:iCs/>
                <w:lang w:val="sr-Latn-RS"/>
              </w:rPr>
              <w:t>P</w:t>
            </w:r>
            <w:r>
              <w:rPr>
                <w:rFonts w:ascii="Arial" w:hAnsi="Arial" w:cs="Arial"/>
                <w:b/>
                <w:bCs/>
                <w:iCs/>
                <w:lang w:val="sr-Latn-RS"/>
              </w:rPr>
              <w:t>+1S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710"/>
        <w:gridCol w:w="6424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  <w:r w:rsidRPr="00116E96">
              <w:rPr>
                <w:rFonts w:ascii="Arial" w:hAnsi="Arial" w:cs="Arial"/>
                <w:b/>
                <w:bCs/>
                <w:iCs/>
                <w:lang w:val="sl-SI"/>
              </w:rPr>
              <w:t xml:space="preserve">Medicinski fakultet – </w:t>
            </w:r>
            <w:r w:rsidRPr="00116E96">
              <w:rPr>
                <w:rFonts w:ascii="Arial" w:hAnsi="Arial" w:cs="Arial"/>
                <w:b/>
                <w:color w:val="000000"/>
                <w:spacing w:val="6"/>
              </w:rPr>
              <w:t>Doktorske studije</w:t>
            </w:r>
            <w:r w:rsidRPr="00116E96">
              <w:rPr>
                <w:rFonts w:ascii="Arial" w:hAnsi="Arial" w:cs="Arial"/>
                <w:color w:val="000000"/>
                <w:spacing w:val="6"/>
              </w:rPr>
              <w:t xml:space="preserve"> 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116E96">
              <w:rPr>
                <w:rFonts w:ascii="Arial" w:hAnsi="Arial" w:cs="Arial"/>
                <w:lang w:val="sl-SI"/>
              </w:rPr>
              <w:t xml:space="preserve">Kroz ovaj predmet studenti doktorskih studija medicine i stomatologije </w:t>
            </w:r>
            <w:r w:rsidRPr="00116E96">
              <w:rPr>
                <w:rFonts w:ascii="Arial" w:hAnsi="Arial" w:cs="Arial"/>
              </w:rPr>
              <w:t xml:space="preserve">će </w:t>
            </w:r>
            <w:r w:rsidRPr="00116E96">
              <w:rPr>
                <w:rFonts w:ascii="Arial" w:hAnsi="Arial" w:cs="Arial"/>
                <w:lang w:val="sl-SI"/>
              </w:rPr>
              <w:t>se upoznati sa savremenim dostignućima u oblasti molekularne medicine i genetike, čija su dostignuća neophodna u izučavanju osobina čovjeka i bolesti nastalih kao posljedica promjena u humanom genomu, kao i za dijagnostiku i terapiju ovih bolesti kog čovjeka. Studenti će se upoznati  sa savremenim metodama koje se primjenjuju u molekularnoj genetici, onkogenetici, imunogenetici, principima istraživanja u medicinskoj genetici, principima genetičkog informisanja i zaštite tajnosti genetičkih podataka u istraživanju i dijagnostici i sa bioetičkim principima u medicinskoj i kliničkoj genetici.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7"/>
              </w:rPr>
            </w:pPr>
            <w:r w:rsidRPr="00116E96">
              <w:rPr>
                <w:rFonts w:ascii="Arial" w:hAnsi="Arial" w:cs="Arial"/>
              </w:rPr>
              <w:t>Prenos genetičkih informacija i modeli nasljeđivanja: izučavanje prenosa osobina, interpretacija rodoslovnog stabla, kopleksni sindromi.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Organizacija i funkcija humanog genoma: centralna dogma molekularne genetike, genska i epigenska kontrola ekspresije gena</w:t>
            </w:r>
            <w:r w:rsidRPr="00116E96">
              <w:rPr>
                <w:rFonts w:ascii="Arial" w:hAnsi="Arial" w:cs="Arial"/>
                <w:color w:val="FF0000"/>
              </w:rPr>
              <w:t xml:space="preserve">. 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Mutacije u humanom genomu: mehanizmi nastanka, podjela, popravak, genski polimorfizmi, korelacija genotip-fenotip.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1"/>
              </w:rPr>
            </w:pPr>
            <w:r w:rsidRPr="00116E96">
              <w:rPr>
                <w:rFonts w:ascii="Arial" w:hAnsi="Arial" w:cs="Arial"/>
                <w:spacing w:val="-1"/>
              </w:rPr>
              <w:t xml:space="preserve">Hromozomska osnova nasljeđa: gametogeneza, rekombinacija, umireni geni i genomski imprinting. 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1"/>
              </w:rPr>
            </w:pPr>
            <w:r w:rsidRPr="00116E96">
              <w:rPr>
                <w:rFonts w:ascii="Arial" w:hAnsi="Arial" w:cs="Arial"/>
                <w:spacing w:val="-1"/>
              </w:rPr>
              <w:t>Molekularna citogenetika: detekcija I interpretacija hromozoma I mikrodelecijskih  sindroma.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1"/>
              </w:rPr>
            </w:pPr>
            <w:r w:rsidRPr="00116E96">
              <w:rPr>
                <w:rFonts w:ascii="Arial" w:hAnsi="Arial" w:cs="Arial"/>
              </w:rPr>
              <w:t>Izučavanje gena i humanog genoma: Projekat mapiranja humanog genoma. genske mape i genski markeri, sekvenciranje humanog genoma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1"/>
              </w:rPr>
            </w:pPr>
            <w:r w:rsidRPr="00116E96">
              <w:rPr>
                <w:rFonts w:ascii="Arial" w:hAnsi="Arial" w:cs="Arial"/>
              </w:rPr>
              <w:t>Metode molekularne genetike u medicinskim istraživanjima: Izolacija, elektroforeza i hibridizacija DNK i RNK, amplifikacija  sekvence DNK i RNK, PCR i RealTime PCR, sekvenciranje, microarray.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b/>
                <w:iCs/>
              </w:rPr>
            </w:pPr>
            <w:r w:rsidRPr="00116E96">
              <w:rPr>
                <w:rFonts w:ascii="Arial" w:hAnsi="Arial" w:cs="Arial"/>
              </w:rPr>
              <w:t>Primjena metoda molekularne genetike u izučavanju,  dijagnostici i liječenju monogenskih bolesti.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4"/>
              </w:rPr>
            </w:pPr>
            <w:r w:rsidRPr="00116E96">
              <w:rPr>
                <w:rFonts w:ascii="Arial" w:hAnsi="Arial" w:cs="Arial"/>
              </w:rPr>
              <w:t>Doprinos gena u nastanku kompleksnih bolesti: molekularna genetika i multifaktorske bolesti.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7"/>
              </w:rPr>
            </w:pPr>
            <w:r w:rsidRPr="00116E96">
              <w:rPr>
                <w:rFonts w:ascii="Arial" w:hAnsi="Arial" w:cs="Arial"/>
              </w:rPr>
              <w:t>Medicinski protokoli u tretmanu genomskh poremećaja: identifikacija rizične populacije, procjena rizika ponavljanja, dijagnostika, registrovanje  i prevencija nasljednih bolesti.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4"/>
              </w:rPr>
            </w:pPr>
            <w:r w:rsidRPr="00116E96">
              <w:rPr>
                <w:rFonts w:ascii="Arial" w:hAnsi="Arial" w:cs="Arial"/>
              </w:rPr>
              <w:t>Genski bazirana terapija i personalizovana medicina.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Prediktorni molekularni markeri.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Onkogeni i tumor supresorski geni – funkcija i aktivacija. Prirodna selekcija i evolicija kancera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Inovativne terapije kancera – genska terapija. Efikasnost  i toksičnost ciljanih terapija.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Preklinička ispitivanja i rane faze kliničkih ispitivanja ljekova.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  <w:spacing w:val="-2"/>
              </w:rPr>
            </w:pPr>
            <w:r w:rsidRPr="00116E96">
              <w:rPr>
                <w:rFonts w:ascii="Arial" w:hAnsi="Arial" w:cs="Arial"/>
              </w:rPr>
              <w:t>Bioetički principi u medicinskim genetičkim istraživanjima, pristanak na genetičo testiranje, genetička informacija i zaštita tajnosti genetičkih  podataka.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116E96">
              <w:rPr>
                <w:rFonts w:ascii="Arial" w:eastAsia="Times New Roman" w:hAnsi="Arial" w:cs="Arial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A33C0" w:rsidRPr="00116E96" w:rsidTr="00116E96">
        <w:trPr>
          <w:cantSplit/>
          <w:trHeight w:val="755"/>
        </w:trPr>
        <w:tc>
          <w:tcPr>
            <w:tcW w:w="17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0" w:rsidRPr="007A33C0" w:rsidRDefault="007A33C0" w:rsidP="000A6A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7A33C0" w:rsidRPr="007A33C0" w:rsidRDefault="007A33C0" w:rsidP="000A6A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7A33C0" w:rsidRPr="007A33C0" w:rsidRDefault="007A33C0" w:rsidP="000A6A0F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 xml:space="preserve">5 kredita x 40/30 = 6,66 sati. </w:t>
            </w:r>
          </w:p>
          <w:p w:rsidR="007A33C0" w:rsidRPr="007A33C0" w:rsidRDefault="007A33C0" w:rsidP="000A6A0F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>Struktura:  1 sat predavanja</w:t>
            </w:r>
          </w:p>
          <w:p w:rsidR="007A33C0" w:rsidRPr="007A33C0" w:rsidRDefault="007A33C0" w:rsidP="000A6A0F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>1 sat seminarski rad</w:t>
            </w:r>
          </w:p>
          <w:p w:rsidR="007A33C0" w:rsidRPr="007A33C0" w:rsidRDefault="007A33C0" w:rsidP="000A6A0F">
            <w:pPr>
              <w:spacing w:after="0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</w:rPr>
              <w:t xml:space="preserve">4,66 sati samostalnog rada studenta uključujući i konsultacije </w:t>
            </w:r>
          </w:p>
          <w:p w:rsidR="007A33C0" w:rsidRPr="007A33C0" w:rsidRDefault="007A33C0" w:rsidP="000A6A0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u w:val="single"/>
                <w:lang w:val="hr-HR"/>
              </w:rPr>
            </w:pPr>
          </w:p>
        </w:tc>
        <w:tc>
          <w:tcPr>
            <w:tcW w:w="3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0" w:rsidRPr="007A33C0" w:rsidRDefault="007A33C0" w:rsidP="000A6A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7A33C0" w:rsidRPr="007A33C0" w:rsidRDefault="007A33C0" w:rsidP="000A6A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 (6,66 sati) x 16 = </w:t>
            </w:r>
            <w:r w:rsidRPr="007A33C0">
              <w:rPr>
                <w:rFonts w:ascii="Arial" w:hAnsi="Arial" w:cs="Arial"/>
                <w:b/>
                <w:u w:val="single"/>
              </w:rPr>
              <w:t>106,56 sat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7A33C0" w:rsidRPr="007A33C0" w:rsidRDefault="007A33C0" w:rsidP="000A6A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(6,66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13,32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sata</w:t>
            </w:r>
          </w:p>
          <w:p w:rsidR="007A33C0" w:rsidRPr="007A33C0" w:rsidRDefault="007A33C0" w:rsidP="000A6A0F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5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150 sati</w:t>
            </w:r>
          </w:p>
          <w:p w:rsidR="007A33C0" w:rsidRPr="007A33C0" w:rsidRDefault="007A33C0" w:rsidP="000A6A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7A33C0">
              <w:rPr>
                <w:rFonts w:ascii="Arial" w:hAnsi="Arial" w:cs="Arial"/>
                <w:b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opterećenja</w:t>
            </w:r>
            <w:r w:rsidRPr="007A33C0">
              <w:rPr>
                <w:rFonts w:ascii="Arial" w:hAnsi="Arial" w:cs="Arial"/>
              </w:rPr>
              <w:t>: 106,56 sati (nastava i završni ispit)+ 13,32 sata (priprema) +</w:t>
            </w:r>
            <w:r w:rsidRPr="007A33C0">
              <w:rPr>
                <w:rFonts w:ascii="Arial" w:hAnsi="Arial" w:cs="Arial"/>
                <w:spacing w:val="-39"/>
              </w:rPr>
              <w:t xml:space="preserve">  </w:t>
            </w:r>
            <w:r w:rsidRPr="007A33C0">
              <w:rPr>
                <w:rFonts w:ascii="Arial" w:hAnsi="Arial" w:cs="Arial"/>
              </w:rPr>
              <w:t>30 sati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(dopunski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16E96">
              <w:rPr>
                <w:rFonts w:ascii="Arial" w:eastAsia="Times New Roman" w:hAnsi="Arial" w:cs="Arial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116E96">
              <w:rPr>
                <w:rFonts w:ascii="Arial" w:eastAsia="Times New Roman" w:hAnsi="Arial" w:cs="Arial"/>
                <w:lang w:val="sr-Latn-BA"/>
              </w:rPr>
              <w:t xml:space="preserve">Peter Turnpenny, Sian Ellard: Emerryjeve osnove medicinske genetike. Ur. hrv. izdanja: Bulić-Jakuš F. i Barišić I. Medicinska naklada, Zagreb 2011. ili 15-to izdanje na engleskom jeziku, 2017.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BA"/>
              </w:rPr>
              <w:t>R.L. Nussbaum, R.R. McInnes, H.E. Willard: Tompson &amp; Tompson Genetics in medicine, Eight ed. Elsevier, 2016.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eastAsia="Calibri" w:hAnsi="Arial" w:cs="Arial"/>
                <w:lang w:val="hr-HR"/>
              </w:rPr>
              <w:t>Nakon završenog kursa molekularne genetike u medicinskim istraživanjima student doktorskih stuudija medicine i stomatologije biće osposobljen da: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color w:val="000000"/>
              </w:rPr>
              <w:t>opiše i raščlani osnovne postavke molekul</w:t>
            </w:r>
            <w:r w:rsidRPr="00116E96">
              <w:rPr>
                <w:rFonts w:ascii="Arial" w:hAnsi="Arial" w:cs="Arial"/>
              </w:rPr>
              <w:t>arne genetike, enzimske regulatorne sisteme i genske i epigenske mehanizme kontrole ekspresije gena;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definiše mehanizme nastanka mutacija i mehanizme popravka mutacija i koncipira osnovni model istraživanja pojave mutacija i njihovog uticaja na ljudsko zdravlje;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objasni postupke i metode u molekularnoj genetici koje se koriste za izučavanje i identifikaciju mutacija u humanom genomu;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anticipira značaj genetičkih istraživanja u određenim rizičnim populacijama i zna da objasni važnost različitih modela istraživanje u medicinskoj i molekularnoj genetici;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koristi relevantnu literaturu, baze podataka i stručne sajtove (OMIM, LDDB, POSSUM, ORPHANET);</w:t>
            </w:r>
          </w:p>
          <w:p w:rsidR="00116E96" w:rsidRPr="00116E96" w:rsidRDefault="00116E96" w:rsidP="00116E9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postavi i rasčlani određeni medicinsk-genetički problem i prikaže presjek rezultata dosadašnjih istraživanja i planova u istraživanju tog problema;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lang w:val="sr-Latn-BA"/>
              </w:rPr>
            </w:pPr>
            <w:r w:rsidRPr="00116E96">
              <w:rPr>
                <w:rFonts w:ascii="Arial" w:hAnsi="Arial" w:cs="Arial"/>
              </w:rPr>
              <w:t>prepozna bioetičke rizike i primijeni bioetičke principe u prikupljanju i rukovanju genetičkim podacima i zaštiti tajnost podataka u skladu sa bioetičkim principima.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 </w:t>
            </w:r>
          </w:p>
          <w:p w:rsidR="00116E96" w:rsidRPr="00116E96" w:rsidRDefault="00116E96" w:rsidP="00116E96">
            <w:pPr>
              <w:spacing w:after="0"/>
              <w:ind w:left="122"/>
              <w:rPr>
                <w:rFonts w:ascii="Arial" w:hAnsi="Arial" w:cs="Arial"/>
                <w:color w:val="000000"/>
                <w:spacing w:val="4"/>
              </w:rPr>
            </w:pPr>
            <w:r w:rsidRPr="00116E96">
              <w:rPr>
                <w:rFonts w:ascii="Arial" w:hAnsi="Arial" w:cs="Arial"/>
                <w:color w:val="000000"/>
                <w:spacing w:val="4"/>
              </w:rPr>
              <w:t>10 poena redovno prisustvo i aktivnost u nastavi</w:t>
            </w:r>
          </w:p>
          <w:p w:rsidR="00116E96" w:rsidRPr="00116E96" w:rsidRDefault="00116E96" w:rsidP="00116E96">
            <w:pPr>
              <w:spacing w:after="0"/>
              <w:ind w:left="122"/>
              <w:rPr>
                <w:rFonts w:ascii="Arial" w:hAnsi="Arial" w:cs="Arial"/>
                <w:color w:val="000000"/>
                <w:spacing w:val="7"/>
              </w:rPr>
            </w:pPr>
            <w:r w:rsidRPr="00116E96">
              <w:rPr>
                <w:rFonts w:ascii="Arial" w:hAnsi="Arial" w:cs="Arial"/>
                <w:color w:val="000000"/>
                <w:spacing w:val="7"/>
              </w:rPr>
              <w:lastRenderedPageBreak/>
              <w:t>20 poena uspješno rešavanje problema tokom nastave</w:t>
            </w:r>
          </w:p>
          <w:p w:rsidR="00116E96" w:rsidRPr="00116E96" w:rsidRDefault="00116E96" w:rsidP="00116E96">
            <w:pPr>
              <w:spacing w:after="0"/>
              <w:ind w:left="122"/>
              <w:rPr>
                <w:rFonts w:ascii="Arial" w:hAnsi="Arial" w:cs="Arial"/>
                <w:color w:val="000000"/>
                <w:spacing w:val="4"/>
              </w:rPr>
            </w:pPr>
            <w:r w:rsidRPr="00116E96">
              <w:rPr>
                <w:rFonts w:ascii="Arial" w:hAnsi="Arial" w:cs="Arial"/>
                <w:color w:val="000000"/>
                <w:spacing w:val="4"/>
              </w:rPr>
              <w:t>20 poena seminarski rad</w:t>
            </w:r>
          </w:p>
          <w:p w:rsidR="00116E96" w:rsidRPr="00116E96" w:rsidRDefault="00116E96" w:rsidP="00116E96">
            <w:pPr>
              <w:spacing w:after="0"/>
              <w:ind w:left="122"/>
              <w:rPr>
                <w:rFonts w:ascii="Arial" w:hAnsi="Arial" w:cs="Arial"/>
                <w:color w:val="000000"/>
                <w:spacing w:val="2"/>
              </w:rPr>
            </w:pPr>
            <w:r w:rsidRPr="00116E96">
              <w:rPr>
                <w:rFonts w:ascii="Arial" w:hAnsi="Arial" w:cs="Arial"/>
                <w:color w:val="000000"/>
                <w:spacing w:val="2"/>
              </w:rPr>
              <w:t>50 poena završni ispit</w:t>
            </w:r>
          </w:p>
          <w:p w:rsidR="00116E96" w:rsidRPr="00116E96" w:rsidRDefault="00116E96" w:rsidP="00116E96">
            <w:pPr>
              <w:pStyle w:val="TableContents"/>
              <w:spacing w:after="0"/>
              <w:rPr>
                <w:rFonts w:ascii="Arial" w:eastAsia="Times New Roman" w:hAnsi="Arial" w:cs="Arial"/>
                <w:color w:val="auto"/>
                <w:lang w:val="sr-Latn-BA"/>
              </w:rPr>
            </w:pPr>
          </w:p>
          <w:p w:rsidR="00116E96" w:rsidRPr="00116E96" w:rsidRDefault="00116E96" w:rsidP="00116E96">
            <w:pPr>
              <w:pStyle w:val="TableContents"/>
              <w:spacing w:after="0"/>
              <w:rPr>
                <w:rFonts w:ascii="Arial" w:eastAsia="Times New Roman" w:hAnsi="Arial" w:cs="Arial"/>
                <w:color w:val="auto"/>
                <w:lang w:val="sr-Latn-BA"/>
              </w:rPr>
            </w:pPr>
            <w:r w:rsidRPr="00116E96">
              <w:rPr>
                <w:rFonts w:ascii="Arial" w:eastAsia="Times New Roman" w:hAnsi="Arial" w:cs="Arial"/>
                <w:color w:val="auto"/>
                <w:lang w:val="sr-Latn-BA"/>
              </w:rPr>
              <w:t xml:space="preserve">Ocjena:               A               B               C               D               E              F         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  <w:lang w:val="sr-Latn-BA"/>
              </w:rPr>
            </w:pPr>
            <w:r w:rsidRPr="00116E96">
              <w:rPr>
                <w:rFonts w:ascii="Arial" w:eastAsia="Times New Roman" w:hAnsi="Arial" w:cs="Arial"/>
                <w:lang w:val="sr-Latn-BA"/>
              </w:rPr>
              <w:t>Broj poena:     90-100       80-89        70-79         60-69        50-59       &lt; 50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lang w:val="sr-Latn-BA"/>
              </w:rPr>
              <w:t>Položen ispit podrazumijeva kumulativno skupljeno 50 poena i više.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Ime i prezime nastavnika i saradnika: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shd w:val="clear" w:color="auto" w:fill="F9F9F9"/>
                <w:lang w:val="sr-Latn-BA"/>
              </w:rPr>
              <w:t>prof. dr Olivera Miljanović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Nema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/>
                <w:iCs/>
                <w:lang w:val="sr-Latn-RS"/>
              </w:rPr>
              <w:t xml:space="preserve">Napomena (ukoliko je potrebno): </w:t>
            </w:r>
            <w:r w:rsidRPr="00116E96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</w:tbl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Default="00116E96" w:rsidP="00116E96">
      <w:pPr>
        <w:spacing w:after="0"/>
        <w:rPr>
          <w:rFonts w:ascii="Arial" w:hAnsi="Arial" w:cs="Arial"/>
        </w:rPr>
      </w:pPr>
    </w:p>
    <w:p w:rsidR="00116E96" w:rsidRPr="00116E96" w:rsidRDefault="00116E96" w:rsidP="00116E96">
      <w:pPr>
        <w:spacing w:after="0"/>
        <w:rPr>
          <w:rFonts w:ascii="Arial" w:hAnsi="Arial" w:cs="Arial"/>
        </w:rPr>
      </w:pPr>
    </w:p>
    <w:p w:rsidR="00116E96" w:rsidRPr="00116E96" w:rsidRDefault="00116E96" w:rsidP="00116E96">
      <w:pPr>
        <w:spacing w:after="0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2551"/>
        <w:gridCol w:w="2385"/>
        <w:gridCol w:w="1829"/>
        <w:gridCol w:w="2053"/>
        <w:gridCol w:w="963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</w:rPr>
              <w:t xml:space="preserve">Principi epidemiološke nauke </w:t>
            </w:r>
            <w:r w:rsidRPr="00116E96">
              <w:rPr>
                <w:rFonts w:ascii="Arial" w:hAnsi="Arial" w:cs="Arial"/>
              </w:rPr>
              <w:t>u stomatološkom javnom zdravlju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16E96" w:rsidRPr="00116E96" w:rsidTr="00116E96">
        <w:trPr>
          <w:trHeight w:val="1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116E96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2</w:t>
            </w:r>
            <w:r w:rsidRPr="00116E96">
              <w:rPr>
                <w:rFonts w:ascii="Arial" w:hAnsi="Arial" w:cs="Arial"/>
                <w:b/>
                <w:lang w:val="sr-Latn-RS"/>
              </w:rPr>
              <w:t>P</w:t>
            </w:r>
            <w:r>
              <w:rPr>
                <w:rFonts w:ascii="Arial" w:hAnsi="Arial" w:cs="Arial"/>
                <w:b/>
                <w:lang w:val="sr-Latn-RS"/>
              </w:rPr>
              <w:t>+2S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917"/>
        <w:gridCol w:w="5215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doktorske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položen ispit Metodologija naučno istraživačkog rada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 </w:t>
            </w:r>
            <w:r w:rsidRPr="00116E96">
              <w:rPr>
                <w:rFonts w:ascii="Arial" w:eastAsia="DejaVuSans" w:hAnsi="Arial" w:cs="Arial"/>
                <w:lang w:val="sr-Latn-ME" w:eastAsia="en-US"/>
              </w:rPr>
              <w:t xml:space="preserve">Sticanje znanja i vještina, prenošenje znanja iz oblasti epidemioloških istraživanja u </w:t>
            </w:r>
            <w:r w:rsidRPr="00116E96">
              <w:rPr>
                <w:rFonts w:ascii="Arial" w:eastAsia="DejaVuSans" w:hAnsi="Arial" w:cs="Arial"/>
                <w:lang w:val="sr-Latn-ME" w:eastAsia="en-US"/>
              </w:rPr>
              <w:br/>
              <w:t xml:space="preserve">                                                      </w:t>
            </w:r>
            <w:r w:rsidRPr="00116E96">
              <w:rPr>
                <w:rFonts w:ascii="Arial" w:hAnsi="Arial" w:cs="Arial"/>
              </w:rPr>
              <w:t>stomatološkom javnom zdravlju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Primjena principa stomatologije (oralnog zdravlja) zasnovanog na dokazima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etičkih normi u oblasti istraživanja u stomatologiji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Mjere učestalosti poremećaja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Mjere povezanosti (efekta) u istraživanju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deskriptivnih studija u oralnom zdravlju (studije vremenskih serija)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deskriptivnih studija u oralnom zdravlju (ekološke studije)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deskriptivnih studija u oralnom zdravlju (studije slučajeva i serije slučajeva)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case-control studija u istraživanju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kohortnih studija u istraživanju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Primjena interventnih studija u istraživanju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Procjena validnosti i pouzdanosti skrining postupaka u oralnom zdravlju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Priprema prijedloga naučno istraživačkog projekta u oblasti oralnog zdravlja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Način pisanja originalnog naučnog rada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ind w:left="8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Kako se vrši recenzija naučno istraživačkog rada</w:t>
            </w:r>
          </w:p>
          <w:p w:rsidR="00116E96" w:rsidRPr="00116E96" w:rsidRDefault="00116E96" w:rsidP="00116E96">
            <w:pPr>
              <w:spacing w:after="0"/>
              <w:ind w:left="8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ind w:left="8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Način oralne prezentacije naučnog rada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: </w:t>
            </w:r>
            <w:r w:rsidRPr="00116E96">
              <w:rPr>
                <w:rFonts w:ascii="Arial" w:eastAsia="Times New Roman" w:hAnsi="Arial" w:cs="Arial"/>
                <w:bCs/>
                <w:iCs/>
                <w:lang w:val="sr-Latn-RS"/>
              </w:rPr>
              <w:t xml:space="preserve">Predavanja, </w:t>
            </w:r>
            <w:r w:rsidRPr="00116E96">
              <w:rPr>
                <w:rFonts w:ascii="Arial" w:eastAsia="Arial" w:hAnsi="Arial" w:cs="Arial"/>
              </w:rPr>
              <w:t xml:space="preserve">konsulatacije, seminarski radovi, prezentacija pred grupom,  metoda </w:t>
            </w:r>
            <w:r w:rsidRPr="00116E96">
              <w:rPr>
                <w:rFonts w:ascii="Arial" w:eastAsia="Arial" w:hAnsi="Arial" w:cs="Arial"/>
              </w:rPr>
              <w:br/>
              <w:t xml:space="preserve">                                   praktičnih aktivnosti studenta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33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bCs/>
                <w:u w:val="single"/>
              </w:rPr>
            </w:pPr>
            <w:r w:rsidRPr="007A33C0">
              <w:rPr>
                <w:rFonts w:ascii="Arial" w:eastAsia="Times New Roman" w:hAnsi="Arial" w:cs="Arial"/>
                <w:bCs/>
                <w:u w:val="single"/>
              </w:rPr>
              <w:t>Nedjeljno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7A33C0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7A33C0">
              <w:rPr>
                <w:rFonts w:ascii="Arial" w:eastAsia="Times New Roman" w:hAnsi="Arial" w:cs="Arial"/>
                <w:bCs/>
              </w:rPr>
              <w:t>10 kredita x 40/30 = 13.33 sati</w:t>
            </w:r>
          </w:p>
          <w:p w:rsidR="007A33C0" w:rsidRPr="007A33C0" w:rsidRDefault="007A33C0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7A33C0">
              <w:rPr>
                <w:rFonts w:ascii="Arial" w:eastAsia="Times New Roman" w:hAnsi="Arial" w:cs="Arial"/>
                <w:bCs/>
              </w:rPr>
              <w:t xml:space="preserve"> Struktura: 2</w:t>
            </w:r>
            <w:r w:rsidR="00116E96" w:rsidRPr="007A33C0">
              <w:rPr>
                <w:rFonts w:ascii="Arial" w:eastAsia="Times New Roman" w:hAnsi="Arial" w:cs="Arial"/>
                <w:bCs/>
              </w:rPr>
              <w:t xml:space="preserve"> sata predavanja</w:t>
            </w:r>
          </w:p>
          <w:p w:rsidR="00116E96" w:rsidRPr="007A33C0" w:rsidRDefault="007A33C0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7A33C0">
              <w:rPr>
                <w:rFonts w:ascii="Arial" w:eastAsia="Times New Roman" w:hAnsi="Arial" w:cs="Arial"/>
                <w:bCs/>
              </w:rPr>
              <w:t>2 sata seminarski rad</w:t>
            </w:r>
            <w:r w:rsidR="00116E96" w:rsidRPr="007A33C0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7A33C0">
              <w:rPr>
                <w:rFonts w:ascii="Arial" w:eastAsia="Times New Roman" w:hAnsi="Arial" w:cs="Arial"/>
                <w:bCs/>
              </w:rPr>
              <w:t>9.33 sati samostalnog rada studenata uključukući i konsultacije</w:t>
            </w:r>
          </w:p>
        </w:tc>
        <w:tc>
          <w:tcPr>
            <w:tcW w:w="2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:(13,33 sati) x 16 = </w:t>
            </w:r>
            <w:r w:rsidRPr="007A33C0">
              <w:rPr>
                <w:rFonts w:ascii="Arial" w:hAnsi="Arial" w:cs="Arial"/>
                <w:b/>
                <w:u w:val="single"/>
              </w:rPr>
              <w:t>213,28 sati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(13,33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26,66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sati</w:t>
            </w:r>
          </w:p>
          <w:p w:rsidR="00116E96" w:rsidRPr="007A33C0" w:rsidRDefault="00116E96" w:rsidP="00116E9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10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300 sati</w:t>
            </w:r>
          </w:p>
          <w:p w:rsidR="00116E96" w:rsidRPr="007A33C0" w:rsidRDefault="00116E96" w:rsidP="00116E9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opterećenja</w:t>
            </w:r>
            <w:r w:rsidRPr="007A33C0">
              <w:rPr>
                <w:rFonts w:ascii="Arial" w:hAnsi="Arial" w:cs="Arial"/>
              </w:rPr>
              <w:t>: 234,56 sati (nastava i završni ispit) + 29,32 sati (priprema) +</w:t>
            </w:r>
            <w:r w:rsidRPr="007A33C0">
              <w:rPr>
                <w:rFonts w:ascii="Arial" w:hAnsi="Arial" w:cs="Arial"/>
                <w:spacing w:val="-39"/>
              </w:rPr>
              <w:t xml:space="preserve"> </w:t>
            </w:r>
            <w:r w:rsidRPr="007A33C0">
              <w:rPr>
                <w:rFonts w:ascii="Arial" w:hAnsi="Arial" w:cs="Arial"/>
              </w:rPr>
              <w:t>42 sata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(dopunski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redovno pohađanje nastave, izrada seminarskog rada,</w:t>
            </w: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51" w:hanging="284"/>
              <w:textAlignment w:val="baseline"/>
              <w:rPr>
                <w:rFonts w:ascii="Arial" w:hAnsi="Arial" w:cs="Arial"/>
                <w:lang w:eastAsia="sr-Latn-ME"/>
              </w:rPr>
            </w:pPr>
            <w:r w:rsidRPr="00116E96">
              <w:rPr>
                <w:rFonts w:ascii="Arial" w:hAnsi="Arial" w:cs="Arial"/>
                <w:lang w:eastAsia="sr-Latn-ME"/>
              </w:rPr>
              <w:t>Pers. MA, Ferreira Antunes JL, Watt RG. Oral epidemiology: A textbook on oral health Conditions Research Topics and Methods. Springer, 2020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51" w:hanging="284"/>
              <w:textAlignment w:val="baseline"/>
              <w:rPr>
                <w:rFonts w:ascii="Arial" w:hAnsi="Arial" w:cs="Arial"/>
                <w:lang w:eastAsia="sr-Latn-ME"/>
              </w:rPr>
            </w:pPr>
            <w:r w:rsidRPr="00116E96">
              <w:rPr>
                <w:rFonts w:ascii="Arial" w:hAnsi="Arial" w:cs="Arial"/>
                <w:lang w:eastAsia="sr-Latn-ME"/>
              </w:rPr>
              <w:t>Savić JĐ, Matutinović SF. Metodologija naučnog saznanja II, Datastatus, beograd. 2014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51" w:hanging="284"/>
              <w:textAlignment w:val="baseline"/>
              <w:rPr>
                <w:rFonts w:ascii="Arial" w:hAnsi="Arial" w:cs="Arial"/>
                <w:lang w:eastAsia="sr-Latn-ME"/>
              </w:rPr>
            </w:pPr>
            <w:r w:rsidRPr="00116E96">
              <w:rPr>
                <w:rFonts w:ascii="Arial" w:hAnsi="Arial" w:cs="Arial"/>
                <w:lang w:eastAsia="sr-Latn-ME"/>
              </w:rPr>
              <w:t>Izvori sa interneta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Nakon što student položi ovaj ispit, biće osposobljen da:  </w:t>
            </w:r>
          </w:p>
          <w:p w:rsidR="00116E96" w:rsidRPr="00116E96" w:rsidRDefault="00116E96" w:rsidP="00116E96">
            <w:pPr>
              <w:spacing w:after="0"/>
              <w:textAlignment w:val="baseline"/>
              <w:rPr>
                <w:rFonts w:ascii="Arial" w:eastAsia="Times New Roman" w:hAnsi="Arial" w:cs="Arial"/>
                <w:lang w:eastAsia="sr-Latn-ME"/>
              </w:rPr>
            </w:pPr>
            <w:r w:rsidRPr="00116E96">
              <w:rPr>
                <w:rFonts w:ascii="Arial" w:eastAsia="Times New Roman" w:hAnsi="Arial" w:cs="Arial"/>
                <w:lang w:eastAsia="sr-Latn-ME"/>
              </w:rPr>
              <w:t xml:space="preserve">1. Poznaje i primjenjuje principe </w:t>
            </w:r>
            <w:r w:rsidRPr="00116E96">
              <w:rPr>
                <w:rFonts w:ascii="Arial" w:hAnsi="Arial" w:cs="Arial"/>
              </w:rPr>
              <w:t>stomatologije (oralnog zdravlja) zasnovanog na dokazima</w:t>
            </w:r>
            <w:r w:rsidRPr="00116E96">
              <w:rPr>
                <w:rFonts w:ascii="Arial" w:eastAsia="Times New Roman" w:hAnsi="Arial" w:cs="Arial"/>
                <w:lang w:eastAsia="sr-Latn-ME"/>
              </w:rPr>
              <w:t xml:space="preserve">. 2. Poznaje i primjenjuje etičke norme u oblasti istraživanja u stomatologiji (oralnom zdravlju).  3. Zna da izračuna pokazatelje poremećaja oralnog zdravlja 4. </w:t>
            </w:r>
            <w:r w:rsidRPr="00116E96">
              <w:rPr>
                <w:rFonts w:ascii="Arial" w:hAnsi="Arial" w:cs="Arial"/>
              </w:rPr>
              <w:t>Zna da primjeni reazličite vrste deskriptivnih studija u oblasti oralnog zdravlja. 5. Poznaje i primjenjuje principe primjene opservacionih analitičkih studija u oblasti oralnog zdravlja. 6. Poznaje i primjenjuje principe primjene interventnih studija u oblasti oralnog zdravlja.</w:t>
            </w:r>
            <w:r w:rsidRPr="00116E96">
              <w:rPr>
                <w:rFonts w:ascii="Arial" w:eastAsia="Times New Roman" w:hAnsi="Arial" w:cs="Arial"/>
                <w:lang w:eastAsia="sr-Latn-ME"/>
              </w:rPr>
              <w:t xml:space="preserve"> 7. Razumije proces procjene validnosti i pouzdanosti skrining postupaka u oblasti oralnog zdravlja. 8. Poznaje i primjenjuje principe pripremanja prijedloga naučno-istraživačkog projekta u oblasti oralnog zdravlja. 9. Poznaje i primjenjuje principe pisanja originalnog naučnog rada.10. Poznaje i primenjuje principe i tehnike oralne prezentacije naučnog rada.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Redovno prisustvo i aktivnosti u nastavi - do 20 poena;  seminarski rad – do 30 poena;  završni ispit (u formi testa) do 50 poena. </w:t>
            </w:r>
            <w:r w:rsidRPr="00116E96">
              <w:rPr>
                <w:rFonts w:ascii="Arial" w:hAnsi="Arial" w:cs="Arial"/>
              </w:rPr>
              <w:t>Prelazna ocjena se dobija ako se kumulativno sakupi minimum 50 poena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Ime i prezime nastavnika i saradnika: </w:t>
            </w: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prof. dr Dragan Laušević, prof. dr Boban Mugoša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</w:t>
            </w:r>
          </w:p>
        </w:tc>
      </w:tr>
    </w:tbl>
    <w:p w:rsidR="00116E96" w:rsidRPr="00116E96" w:rsidRDefault="00116E96" w:rsidP="00116E96">
      <w:pPr>
        <w:rPr>
          <w:rFonts w:ascii="Arial" w:hAnsi="Arial" w:cs="Arial"/>
        </w:rPr>
      </w:pPr>
    </w:p>
    <w:p w:rsidR="00116E96" w:rsidRPr="00116E96" w:rsidRDefault="00116E96" w:rsidP="00116E96">
      <w:pPr>
        <w:spacing w:after="0"/>
        <w:textAlignment w:val="baseline"/>
        <w:rPr>
          <w:rFonts w:ascii="Arial" w:eastAsia="Times New Roman" w:hAnsi="Arial" w:cs="Arial"/>
          <w:lang w:eastAsia="sr-Latn-ME"/>
        </w:rPr>
      </w:pPr>
      <w:r w:rsidRPr="00116E96">
        <w:rPr>
          <w:rFonts w:ascii="Arial" w:eastAsia="Times New Roman" w:hAnsi="Arial" w:cs="Arial"/>
          <w:lang w:eastAsia="sr-Latn-ME"/>
        </w:rPr>
        <w:t>.</w:t>
      </w: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Pr="00116E96" w:rsidRDefault="00116E96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M</w:t>
            </w: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etodologija u istraživanju socijalne farmacije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i farmaceutske prakse</w:t>
            </w: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116E96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116E96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2P+2S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434"/>
        <w:gridCol w:w="5550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</w:t>
            </w: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                F</w:t>
            </w: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armacija – doktorske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                      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Sticanje znanja o bihevioralnim aspektima farmacije i uticaja društva na farmaceutsku praksu. Ovladavanje metodama za istraživanje u oblasti javnog zdravlja, socijalnih faktora koji utiču na zdravlje ili incidencu bolesti i na upotrebu lijekova.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Profesionalni razvoj farmacije – aspekt privredne djelatnosti i aspekt zdravstvene djelatnosti (klinički, društveni, ekonomski)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 xml:space="preserve">I nedelja 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VJEŽBE: Diskusije na temu razvoja farmacije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Farmaceutska industrija i zdravstvo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</w:rPr>
              <w:t>Diskusije na temu proizvodnje lijekova kod nas i u okruženju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Standardizacija i akreditacija u zdravstvu i farmaciji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</w:rPr>
              <w:t>Analize standarda u farmaciji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Metode istraživanja u socijalnoj farmaciji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 xml:space="preserve">Pregled literature 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Metode mjerenja i alati za upravljanje kvalitetom u farmaceutskom i zdravstvenom sistemu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Radionice/seminari na prethodnu temu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Zdravstveni sistemi i organizacioni sistemi zdravstvene zaštite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Analize zdravstvenih sistema u okruženju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Dobre prakse u farmaciji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Diskusije o dobrim praksama u farmaciji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Regulativa u oblasti oglašavanja lijekova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 xml:space="preserve">VIII nedjelja 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Pregled literature o regulativi oglašavanja lijkova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Uloga farmaceuta u racionalnoj upotrebi lijekova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Analiza slučajeva o racionalnoj upotrebi lijekova</w:t>
            </w:r>
          </w:p>
        </w:tc>
      </w:tr>
      <w:tr w:rsidR="00116E96" w:rsidRPr="00116E96" w:rsidTr="00116E96">
        <w:trPr>
          <w:cantSplit/>
          <w:trHeight w:val="60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Farmaceutske zdravstvene usluge; analize korelacija struktura-proces-ishod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bCs/>
              </w:rPr>
              <w:t>Radionica/seminarski rad na temu koja se odnosi na prethodno predavanje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Razvoj farmaceutskih zdravstvenih usluga i indikatori kvaliteta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VJEŽBE: Odbrana seminarskih radova</w:t>
            </w:r>
          </w:p>
        </w:tc>
      </w:tr>
      <w:tr w:rsidR="00116E96" w:rsidRPr="00116E96" w:rsidTr="00116E96">
        <w:trPr>
          <w:cantSplit/>
          <w:trHeight w:val="594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rPr>
                <w:rFonts w:ascii="Arial" w:hAnsi="Arial" w:cs="Arial"/>
                <w:lang w:val="sr-Latn-ME"/>
              </w:rPr>
            </w:pPr>
            <w:r w:rsidRPr="00116E96">
              <w:rPr>
                <w:rFonts w:ascii="Arial" w:hAnsi="Arial" w:cs="Arial"/>
                <w:lang w:val="sr-Latn-ME"/>
              </w:rPr>
              <w:t>Standardizovani sistemi za upravljanje kvalitetom (ISO 9001; ISO 22000; ISO 17025; ISO 13845)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Analiza slučajeva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Ključni indikatori performansi (SMART kriterijumi)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>Prikaz slučajeva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Metodologa za evaluaciju i unapređenje kvaliteta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bCs/>
              </w:rPr>
              <w:t>Radionica na temu koja se odnosi na prethodno predavanje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 xml:space="preserve">Nacionalna </w:t>
            </w:r>
            <w:r w:rsidRPr="00116E96">
              <w:rPr>
                <w:rFonts w:ascii="Arial" w:hAnsi="Arial" w:cs="Arial"/>
                <w:lang w:val="sr-Latn-ME"/>
              </w:rPr>
              <w:t>farmaceutska regulativa i legislativa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05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VJEŽBE: </w:t>
            </w:r>
            <w:r w:rsidRPr="00116E96">
              <w:rPr>
                <w:rFonts w:ascii="Arial" w:eastAsia="Times New Roman" w:hAnsi="Arial" w:cs="Arial"/>
                <w:lang w:val="sr-Latn-RS"/>
              </w:rPr>
              <w:t xml:space="preserve">Pregled literature  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       </w:t>
            </w:r>
          </w:p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</w:rPr>
              <w:t>Interaktivna predavanja,</w:t>
            </w:r>
            <w:r w:rsidRPr="00116E96">
              <w:rPr>
                <w:rFonts w:ascii="Arial" w:hAnsi="Arial" w:cs="Arial"/>
              </w:rPr>
              <w:t xml:space="preserve"> analize slučajeva, radionice, panel diskusije, seminarski radovi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16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bCs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u w:val="single"/>
                <w:lang w:val="sr-Latn-RS"/>
              </w:rPr>
              <w:t>Nedjeljno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10 kredita x 40/30 = 13.33 sati</w:t>
            </w:r>
          </w:p>
          <w:p w:rsidR="00116E96" w:rsidRPr="007A33C0" w:rsidRDefault="007A33C0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Struktura: 2</w:t>
            </w:r>
            <w:r w:rsidR="00116E96" w:rsidRPr="007A33C0">
              <w:rPr>
                <w:rFonts w:ascii="Arial" w:eastAsia="Times New Roman" w:hAnsi="Arial" w:cs="Arial"/>
                <w:bCs/>
                <w:lang w:val="sr-Latn-RS"/>
              </w:rPr>
              <w:t xml:space="preserve"> sata predavanja </w:t>
            </w:r>
          </w:p>
          <w:p w:rsidR="007A33C0" w:rsidRPr="007A33C0" w:rsidRDefault="007A33C0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2 sata seminarski rad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7A33C0">
              <w:rPr>
                <w:rFonts w:ascii="Arial" w:eastAsia="Times New Roman" w:hAnsi="Arial" w:cs="Arial"/>
                <w:bCs/>
                <w:lang w:val="sr-Latn-RS"/>
              </w:rPr>
              <w:t>9.33 sati samostalnog rada studenata uključukući i konsultacije</w:t>
            </w:r>
          </w:p>
        </w:tc>
        <w:tc>
          <w:tcPr>
            <w:tcW w:w="28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:(13,33 sati) x 16 = </w:t>
            </w:r>
            <w:r w:rsidRPr="007A33C0">
              <w:rPr>
                <w:rFonts w:ascii="Arial" w:hAnsi="Arial" w:cs="Arial"/>
                <w:b/>
                <w:u w:val="single"/>
              </w:rPr>
              <w:t>213,28 sati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(13,33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26,66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sati</w:t>
            </w:r>
          </w:p>
          <w:p w:rsidR="00116E96" w:rsidRPr="007A33C0" w:rsidRDefault="00116E96" w:rsidP="00116E96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10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300 sati</w:t>
            </w:r>
          </w:p>
          <w:p w:rsidR="00116E96" w:rsidRPr="007A33C0" w:rsidRDefault="00116E96" w:rsidP="00116E96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opterećenja</w:t>
            </w:r>
            <w:r w:rsidRPr="007A33C0">
              <w:rPr>
                <w:rFonts w:ascii="Arial" w:hAnsi="Arial" w:cs="Arial"/>
              </w:rPr>
              <w:t>: 234,56 sati (nastava i završni ispit) + 29,32 sati (priprema) +</w:t>
            </w:r>
            <w:r w:rsidRPr="007A33C0">
              <w:rPr>
                <w:rFonts w:ascii="Arial" w:hAnsi="Arial" w:cs="Arial"/>
                <w:spacing w:val="-39"/>
              </w:rPr>
              <w:t xml:space="preserve"> </w:t>
            </w:r>
            <w:r w:rsidRPr="007A33C0">
              <w:rPr>
                <w:rFonts w:ascii="Arial" w:hAnsi="Arial" w:cs="Arial"/>
              </w:rPr>
              <w:t>42 sata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(dopunski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shd w:val="clear" w:color="auto" w:fill="FFFFFF" w:themeFill="background1"/>
              </w:rPr>
              <w:t>Prisustvo teorijskoj nastavi je obavezna. Priprema i prezentacija seminara je obavezna.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 xml:space="preserve">1. Donyai Parastou. Social and Cognitive Pharmacy: Theory and Case Studies. London:  Pharmaceutical Press; 2012.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 xml:space="preserve">2. Paul Bissell, Janine Morgall Traulsen. Sociology and Pharmacy Practice. London: Pharmaceutical Press; 2005.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 xml:space="preserve">3.N Rickles &amp; N Weirtheimer (eds). Social and Behavioural Aspects of Pharmacy Practice. New York: Haworth Press; 2009.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4. Harding G, Nettleton S, Taylor K. Social Pharmacy: Innovation and Development. London: The Pharmaceutical Press; 1994.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5. Gledović Z, Janković S, Jarebinski M, Marković</w:t>
            </w:r>
            <w:r w:rsidRPr="00116E96">
              <w:rPr>
                <w:rFonts w:ascii="Cambria Math" w:hAnsi="Cambria Math" w:cs="Cambria Math"/>
              </w:rPr>
              <w:t>‐</w:t>
            </w:r>
            <w:r w:rsidRPr="00116E96">
              <w:rPr>
                <w:rFonts w:ascii="Arial" w:hAnsi="Arial" w:cs="Arial"/>
              </w:rPr>
              <w:t>Denić Lj, Pekmezović T, Šipetić</w:t>
            </w:r>
            <w:r w:rsidRPr="00116E96">
              <w:rPr>
                <w:rFonts w:ascii="Cambria Math" w:hAnsi="Cambria Math" w:cs="Cambria Math"/>
              </w:rPr>
              <w:t>‐</w:t>
            </w:r>
            <w:r w:rsidRPr="00116E96">
              <w:rPr>
                <w:rFonts w:ascii="Arial" w:hAnsi="Arial" w:cs="Arial"/>
              </w:rPr>
              <w:t>Grujičić S, Vlajinac H. U: Vlajinac H, Jarebinski M (urednici). Epidemiologija. Beograd: Medicinski fakultet Univerziteta u Beogradu, 2006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116E96" w:rsidRPr="00116E96" w:rsidRDefault="00116E96" w:rsidP="00116E96">
            <w:pPr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Primjena znanja iz oblasti socijalne farmacije i metoda za istraživanje u socijalnoj farmaciji.Sposobnost kritičke evaluacije domaćih i međunarodnih baza podataka o zdravlju i procjene stavova,uvjerenja i ponašanja u vezi sa zdravljem i bolešću. Sposobnost kritičkog promišljanja u oblasti javnog zdravlja.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Cs/>
              </w:rPr>
              <w:t>Prisustvo na predavanjima: (0-10) poena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bCs/>
              </w:rPr>
              <w:t>Seminari i prezentacija: (0-40) poena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  <w:bCs/>
              </w:rPr>
            </w:pPr>
            <w:r w:rsidRPr="00116E96">
              <w:rPr>
                <w:rFonts w:ascii="Arial" w:hAnsi="Arial" w:cs="Arial"/>
                <w:bCs/>
              </w:rPr>
              <w:t>Završni ispit: (0-50) poena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Prof.dr Zorica Potpara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 /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116E96" w:rsidRPr="00116E96" w:rsidRDefault="00116E96" w:rsidP="00116E96">
            <w:pPr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Cs/>
                <w:lang w:val="sr-Latn-RS"/>
              </w:rPr>
              <w:t xml:space="preserve">Dodatne informacije o predmetu mogu se dobiti kod predmetnog nastavnika. </w:t>
            </w:r>
          </w:p>
        </w:tc>
      </w:tr>
    </w:tbl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Default="00116E96" w:rsidP="00116E96">
      <w:pPr>
        <w:rPr>
          <w:rFonts w:ascii="Arial" w:hAnsi="Arial" w:cs="Arial"/>
        </w:rPr>
      </w:pPr>
    </w:p>
    <w:p w:rsidR="00116E96" w:rsidRPr="00116E96" w:rsidRDefault="00116E96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Pr="00116E96">
              <w:rPr>
                <w:rFonts w:ascii="Arial" w:hAnsi="Arial" w:cs="Arial"/>
                <w:b/>
              </w:rPr>
              <w:t>Posebna poglavlja iz javnog zdravlja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5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116E96">
              <w:rPr>
                <w:rFonts w:ascii="Arial" w:hAnsi="Arial" w:cs="Arial"/>
                <w:lang w:val="sr-Latn-RS"/>
              </w:rPr>
              <w:t xml:space="preserve">Izborni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460225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</w:t>
            </w:r>
            <w:r w:rsidR="00116E96" w:rsidRPr="00116E96">
              <w:rPr>
                <w:rFonts w:ascii="Arial" w:hAnsi="Arial" w:cs="Arial"/>
                <w:lang w:val="sr-Latn-RS"/>
              </w:rPr>
              <w:t>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116E96">
              <w:rPr>
                <w:rFonts w:ascii="Arial" w:hAnsi="Arial" w:cs="Arial"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460225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  <w:r w:rsidR="00116E96" w:rsidRPr="00116E96">
              <w:rPr>
                <w:rFonts w:ascii="Arial" w:hAnsi="Arial" w:cs="Arial"/>
                <w:lang w:val="sr-Latn-RS"/>
              </w:rPr>
              <w:t xml:space="preserve">P </w:t>
            </w:r>
            <w:r>
              <w:rPr>
                <w:rFonts w:ascii="Arial" w:hAnsi="Arial" w:cs="Arial"/>
                <w:lang w:val="sr-Latn-RS"/>
              </w:rPr>
              <w:t>+1S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438"/>
        <w:gridCol w:w="5694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</w:p>
          <w:p w:rsidR="00116E96" w:rsidRPr="00116E96" w:rsidRDefault="00116E96" w:rsidP="00116E96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  <w:bCs/>
                <w:i/>
                <w:iCs/>
                <w:lang w:val="sl-SI"/>
              </w:rPr>
              <w:t xml:space="preserve">Medicinski fakultet – </w:t>
            </w:r>
            <w:r w:rsidRPr="00116E96">
              <w:rPr>
                <w:rFonts w:ascii="Arial" w:hAnsi="Arial" w:cs="Arial"/>
              </w:rPr>
              <w:t xml:space="preserve">Akademski studijski program – Doktorske studije 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116E96">
              <w:rPr>
                <w:rFonts w:ascii="Arial" w:hAnsi="Arial" w:cs="Arial"/>
              </w:rPr>
              <w:t>Ciljevi ovog predmeta je da studenti sagledaju i usvoje multidisciplinarnost javnog zdravlja, savremen pristupe i osnovne principe javnozdravstvenih nauka, da znaju da klasifikuju istraživačka dostignuća u oblasti javnog zdravlja i kompariraju javnozdravstvene funkcije i usluge različitih zemalja uz prihvatanje javnozdravstvenog etičkog kodeksa. Pored toga, cilj predmeta je i e</w:t>
            </w:r>
            <w:r w:rsidRPr="00116E96">
              <w:rPr>
                <w:rFonts w:ascii="Arial" w:hAnsi="Arial" w:cs="Arial"/>
                <w:shd w:val="clear" w:color="auto" w:fill="FFFFFF"/>
              </w:rPr>
              <w:t>dukacija studenata o sprovođenju mjera promocije zdravlja i prevencije bolesti u cilju unapređenja zdravlja i sprečavanja bolesti, sa posebnim osvrtom na principe i ulogu u procesu zaštite zdravlja populacije. Osim toga, cilj je i predstavljanje osnovne strategije javnog zdravlja, kao suštinskog koncepta zaštite zdravlja i faktora koji determinišu zdravlje, kao i identifikovanje metoda suzbijanja njihovog negativnog efekta po zdravlje i život ljudi.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Definicija i razvoj javnog zdravlja;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Metode javnozdravstvenih nauka;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Klasifikacije istraživačkih dostignuća javnog zdravlja;</w:t>
            </w:r>
            <w:r w:rsidRPr="00116E96">
              <w:rPr>
                <w:rFonts w:ascii="Arial" w:eastAsia="Times New Roman" w:hAnsi="Arial" w:cs="Arial"/>
              </w:rPr>
              <w:t>.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Javnozdravstvene usluge različitih zemalja;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Javnozdravstvene funkcije;</w:t>
            </w:r>
            <w:r w:rsidRPr="00116E96">
              <w:rPr>
                <w:rFonts w:ascii="Arial" w:eastAsia="Times New Roman" w:hAnsi="Arial" w:cs="Arial"/>
              </w:rPr>
              <w:t>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 xml:space="preserve">Etički principi i pravci javnog zdravlja; 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 xml:space="preserve">Savremeni javnozdravstveni izazovi koji okupljaju različite ključne aktere iz oblasti javnog zdravlja; 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Uloga međunarodnih organizacija za razvoj javno zdravlja;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Značaj razvoja partnerstava i globalnih mreža  u cilju uspostavljanja nove generacije lidera u javnom zdravlju;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Zdravstveno vaspitanje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Zdravstvena zaštita usmjerena na prevenciju oboljenja i očuvanje zdravlja;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Identifikovanje ugroženih grupa stanovništva i njihovih potreba;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Porodični raspored i promocija zdravlja pojedinca i zajednice;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Socio-ekonomski aspekti promocije zdravlja;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Determinante ponašanja. Ponašanje I zdravlje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Vrste ponašanja koje utiču na zdravlje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Zdravstveno vaspitanje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Metode zdravstvenog vaspitanja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Zdravstveno-vaspitne strategije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Predstavljanje osnovnih zdravstveno-vaspitnih strategija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lastRenderedPageBreak/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Kampanjske preventivne aktivnosti u cilju promocije zdravlja;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Promocija dojenja i pravilne ishrane kod novorođenčeta i dojenčeta;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Mjere promocije zdravlja u cilju prevencije kardiovaskularnih bolesti;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eastAsia="Times New Roman" w:hAnsi="Arial" w:cs="Arial"/>
              </w:rPr>
              <w:t>Prevencija seksualno prenosivih infekcija;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Mjere promocije zdravlja u cilju prevencije šećerne bolesti;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Prevencija bolesti zavisnosti;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Mjere promocije zdravlja u cilju prevencije malignih bolesti;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Principi pravilne ishrane, fizička aktivnost i prevencija gojaznosti;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>Javnozdravstvene funkcije;</w:t>
            </w:r>
            <w:r w:rsidRPr="00116E96">
              <w:rPr>
                <w:rFonts w:ascii="Arial" w:eastAsia="Times New Roman" w:hAnsi="Arial" w:cs="Arial"/>
              </w:rPr>
              <w:t>.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nedelja - seminar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16E96">
              <w:rPr>
                <w:rFonts w:ascii="Arial" w:hAnsi="Arial" w:cs="Arial"/>
              </w:rPr>
              <w:t xml:space="preserve">Etički principi i pravci javnog zdravlja; 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.Metode obrazovanja: </w:t>
            </w:r>
            <w:r w:rsidRPr="00116E96">
              <w:rPr>
                <w:rFonts w:ascii="Arial" w:hAnsi="Arial" w:cs="Arial"/>
                <w:bCs/>
                <w:lang w:val="sr-Cyrl-CS"/>
              </w:rPr>
              <w:t>Rad pod nadzorom - predavanja i drugi oblici teorijske i praktične obuke, kao što su prezentacije, studije slučaja, diskusije u maloj grupi. Od studenata se očekuje da nezavisno rade na pripremi seminarskog rada, da čitaju preporučenu literaturu, i aktivno učestvuju u svim oblicima nastave.</w:t>
            </w:r>
            <w:r w:rsidRPr="00116E96">
              <w:rPr>
                <w:rFonts w:ascii="Arial" w:hAnsi="Arial" w:cs="Arial"/>
                <w:b/>
                <w:bCs/>
                <w:lang w:val="sr-Cyrl-CS"/>
              </w:rPr>
              <w:t xml:space="preserve">  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208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 xml:space="preserve">5 kredita x 40/30 = 6,66 sati. </w:t>
            </w:r>
          </w:p>
          <w:p w:rsidR="00116E96" w:rsidRPr="007A33C0" w:rsidRDefault="007A33C0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>Struktura:  1 sat</w:t>
            </w:r>
            <w:r w:rsidR="00116E96" w:rsidRPr="007A33C0">
              <w:rPr>
                <w:rFonts w:ascii="Arial" w:hAnsi="Arial" w:cs="Arial"/>
                <w:lang w:val="sr-Latn-RS"/>
              </w:rPr>
              <w:t xml:space="preserve"> predavanja</w:t>
            </w:r>
          </w:p>
          <w:p w:rsidR="007A33C0" w:rsidRPr="007A33C0" w:rsidRDefault="007A33C0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>1 sat seminarski rad</w:t>
            </w: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 xml:space="preserve">4,66 sati samostalnog rada studenta uključujući i konsultacije </w:t>
            </w:r>
          </w:p>
        </w:tc>
        <w:tc>
          <w:tcPr>
            <w:tcW w:w="29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 (6,66 sati) x 16 = </w:t>
            </w:r>
            <w:r w:rsidRPr="007A33C0">
              <w:rPr>
                <w:rFonts w:ascii="Arial" w:hAnsi="Arial" w:cs="Arial"/>
                <w:b/>
                <w:u w:val="single"/>
              </w:rPr>
              <w:t>106,56 sat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(6,66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13,32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sata</w:t>
            </w:r>
          </w:p>
          <w:p w:rsidR="00116E96" w:rsidRPr="007A33C0" w:rsidRDefault="00116E96" w:rsidP="00116E9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5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150 sati</w:t>
            </w:r>
          </w:p>
          <w:p w:rsidR="00116E96" w:rsidRPr="007A33C0" w:rsidRDefault="00116E96" w:rsidP="00116E9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7A33C0">
              <w:rPr>
                <w:rFonts w:ascii="Arial" w:hAnsi="Arial" w:cs="Arial"/>
                <w:b/>
                <w:lang w:val="sr-Latn-RS"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b/>
                <w:lang w:val="sr-Latn-RS"/>
              </w:rPr>
              <w:t>opterećenja</w:t>
            </w:r>
            <w:r w:rsidRPr="007A33C0">
              <w:rPr>
                <w:rFonts w:ascii="Arial" w:hAnsi="Arial" w:cs="Arial"/>
                <w:lang w:val="sr-Latn-RS"/>
              </w:rPr>
              <w:t>: 106,56 sati (nastava i završni ispit)+ 13,32 sata (priprema) +</w:t>
            </w:r>
            <w:r w:rsidRPr="007A33C0">
              <w:rPr>
                <w:rFonts w:ascii="Arial" w:hAnsi="Arial" w:cs="Arial"/>
                <w:spacing w:val="-39"/>
                <w:lang w:val="sr-Latn-RS"/>
              </w:rPr>
              <w:t xml:space="preserve">  </w:t>
            </w:r>
            <w:r w:rsidRPr="007A33C0">
              <w:rPr>
                <w:rFonts w:ascii="Arial" w:hAnsi="Arial" w:cs="Arial"/>
                <w:lang w:val="sr-Latn-RS"/>
              </w:rPr>
              <w:t>30 sati</w:t>
            </w:r>
            <w:r w:rsidRPr="007A33C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lang w:val="sr-Latn-RS"/>
              </w:rPr>
              <w:t>(dopunski</w:t>
            </w:r>
            <w:r w:rsidRPr="007A33C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pohađaju i učestvuju u realizaciji nastave i vježbi.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116E96">
              <w:rPr>
                <w:rFonts w:ascii="Arial" w:hAnsi="Arial" w:cs="Arial"/>
                <w:b/>
                <w:bCs/>
                <w:lang w:val="sr-Cyrl-CS"/>
              </w:rPr>
              <w:lastRenderedPageBreak/>
              <w:t xml:space="preserve">Literatura 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</w:rPr>
              <w:t>Detels R, McEwen J, Beaglehole R, Tanaka H, eds. Oxford Textbook of Public Health, 6th ed., Vol. 1. New York: Oxford University Press 2002.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</w:rPr>
              <w:t>Merson MH, Black RE, Mills AJ. International Public Health. Diseases, Programs, Systems and Policies. 2nd edition. New York: An Aspen Publication 2003.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</w:rPr>
              <w:t xml:space="preserve">Pencheon D, Guest C, Melzer G, Gray M, eds. Oxford handbook of public health practice. Oxford: Oxford University Press 2008. 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</w:rPr>
              <w:t>Tulchinsky TH, Varavikova EA. The New Public Health. New York London: Academic Press 2009.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Centers for Disease Control and Prevention. </w:t>
            </w:r>
            <w:r w:rsidRPr="00116E96">
              <w:rPr>
                <w:rStyle w:val="ref-title"/>
                <w:rFonts w:ascii="Arial" w:hAnsi="Arial" w:cs="Arial"/>
                <w:shd w:val="clear" w:color="auto" w:fill="FFFFFF"/>
              </w:rPr>
              <w:t>Public Health Policy</w:t>
            </w:r>
            <w:r w:rsidRPr="00116E96">
              <w:rPr>
                <w:rFonts w:ascii="Arial" w:hAnsi="Arial" w:cs="Arial"/>
                <w:shd w:val="clear" w:color="auto" w:fill="FFFFFF"/>
              </w:rPr>
              <w:t>. November 9, 2015.</w:t>
            </w:r>
            <w:hyperlink r:id="rId6" w:history="1">
              <w:r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www.cdc.gov/stltpublichealth/policy</w:t>
              </w:r>
            </w:hyperlink>
            <w:r w:rsidRPr="00116E96">
              <w:rPr>
                <w:rFonts w:ascii="Arial" w:hAnsi="Arial" w:cs="Arial"/>
                <w:shd w:val="clear" w:color="auto" w:fill="FFFFFF"/>
              </w:rPr>
              <w:t> Accessed October12, 2016.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Style w:val="mixed-citation"/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 </w:t>
            </w:r>
            <w:r w:rsidRPr="00116E96">
              <w:rPr>
                <w:rStyle w:val="mixed-citation"/>
                <w:rFonts w:ascii="Arial" w:hAnsi="Arial" w:cs="Arial"/>
                <w:shd w:val="clear" w:color="auto" w:fill="FFFFFF"/>
              </w:rPr>
              <w:t>Levi J, Segal LM, Gougelet R, Laurent RS. </w:t>
            </w:r>
            <w:r w:rsidRPr="00116E96">
              <w:rPr>
                <w:rStyle w:val="ref-title"/>
                <w:rFonts w:ascii="Arial" w:hAnsi="Arial" w:cs="Arial"/>
                <w:shd w:val="clear" w:color="auto" w:fill="FFFFFF"/>
              </w:rPr>
              <w:t>Investing in America's Health: A State-by-State Look at Public Health Funding and Key Health Facts</w:t>
            </w:r>
            <w:r w:rsidRPr="00116E96">
              <w:rPr>
                <w:rStyle w:val="mixed-citation"/>
                <w:rFonts w:ascii="Arial" w:hAnsi="Arial" w:cs="Arial"/>
                <w:shd w:val="clear" w:color="auto" w:fill="FFFFFF"/>
              </w:rPr>
              <w:t>. 2015. </w:t>
            </w:r>
            <w:hyperlink r:id="rId7" w:history="1">
              <w:r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http://healthyamericans.org/assets/files/TFAH-2015-InvestInAmericaRpt-FINAL.pdf</w:t>
              </w:r>
            </w:hyperlink>
            <w:r w:rsidRPr="00116E96">
              <w:rPr>
                <w:rStyle w:val="mixed-citation"/>
                <w:rFonts w:ascii="Arial" w:hAnsi="Arial" w:cs="Arial"/>
                <w:shd w:val="clear" w:color="auto" w:fill="FFFFFF"/>
              </w:rPr>
              <w:t> Accessed November14, 2016.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Kaufman NJ, Kindig DA. </w:t>
            </w:r>
            <w:r w:rsidRPr="00116E96">
              <w:rPr>
                <w:rStyle w:val="ref-title"/>
                <w:rFonts w:ascii="Arial" w:hAnsi="Arial" w:cs="Arial"/>
                <w:shd w:val="clear" w:color="auto" w:fill="FFFFFF"/>
              </w:rPr>
              <w:t>Public Health vs. Population Health: A Conversation. October</w:t>
            </w:r>
            <w:r w:rsidRPr="00116E96">
              <w:rPr>
                <w:rFonts w:ascii="Arial" w:hAnsi="Arial" w:cs="Arial"/>
                <w:shd w:val="clear" w:color="auto" w:fill="FFFFFF"/>
              </w:rPr>
              <w:t> 1999.</w:t>
            </w:r>
            <w:hyperlink r:id="rId8" w:history="1">
              <w:r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https://uwphi.pophealth.wisc.edu/about/advisory/public-vs-population-health-conversation.pdf</w:t>
              </w:r>
            </w:hyperlink>
            <w:r w:rsidRPr="00116E96">
              <w:rPr>
                <w:rFonts w:ascii="Arial" w:hAnsi="Arial" w:cs="Arial"/>
                <w:shd w:val="clear" w:color="auto" w:fill="FFFFFF"/>
              </w:rPr>
              <w:t xml:space="preserve"> Accessed October12, 2016. </w:t>
            </w:r>
          </w:p>
          <w:p w:rsidR="00116E96" w:rsidRPr="00116E96" w:rsidRDefault="007A33C0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/>
              </w:rPr>
            </w:pPr>
            <w:hyperlink r:id="rId9" w:history="1">
              <w:r w:rsidR="00116E96"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Bhattacharya</w:t>
              </w:r>
            </w:hyperlink>
            <w:r w:rsidR="00116E96" w:rsidRPr="00116E96">
              <w:rPr>
                <w:rFonts w:ascii="Arial" w:hAnsi="Arial" w:cs="Arial"/>
              </w:rPr>
              <w:t xml:space="preserve"> D </w:t>
            </w:r>
            <w:r w:rsidR="00116E96" w:rsidRPr="00116E96">
              <w:rPr>
                <w:rFonts w:ascii="Arial" w:hAnsi="Arial" w:cs="Arial"/>
                <w:shd w:val="clear" w:color="auto" w:fill="FFFFFF"/>
              </w:rPr>
              <w:t>and </w:t>
            </w:r>
            <w:hyperlink r:id="rId10" w:history="1">
              <w:r w:rsidR="00116E96"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Bhatt</w:t>
              </w:r>
            </w:hyperlink>
            <w:r w:rsidR="00116E96" w:rsidRPr="00116E96">
              <w:rPr>
                <w:rFonts w:ascii="Arial" w:hAnsi="Arial" w:cs="Arial"/>
              </w:rPr>
              <w:t xml:space="preserve"> J. Seven Foundational Principles of Population Health Policy. </w:t>
            </w:r>
            <w:hyperlink r:id="rId11" w:history="1">
              <w:r w:rsidR="00116E96" w:rsidRPr="00116E96">
                <w:rPr>
                  <w:rFonts w:ascii="Arial" w:hAnsi="Arial" w:cs="Arial"/>
                  <w:u w:val="single"/>
                  <w:lang w:val="sr-Latn-ME" w:eastAsia="sr-Latn-ME"/>
                </w:rPr>
                <w:t>Popul Health Manag</w:t>
              </w:r>
            </w:hyperlink>
            <w:r w:rsidR="00116E96" w:rsidRPr="00116E96">
              <w:rPr>
                <w:rFonts w:ascii="Arial" w:hAnsi="Arial" w:cs="Arial"/>
                <w:lang w:val="sr-Latn-ME" w:eastAsia="sr-Latn-ME"/>
              </w:rPr>
              <w:t>. 2017 Oct 1; 20(5): 383–388. Published online 2017 Oct 1. doi: </w:t>
            </w:r>
            <w:hyperlink r:id="rId12" w:tgtFrame="pmc_ext" w:history="1">
              <w:r w:rsidR="00116E96" w:rsidRPr="00116E96">
                <w:rPr>
                  <w:rFonts w:ascii="Arial" w:hAnsi="Arial" w:cs="Arial"/>
                  <w:u w:val="single"/>
                  <w:lang w:val="sr-Latn-ME" w:eastAsia="sr-Latn-ME"/>
                </w:rPr>
                <w:t>10.1089/pop.2016.0148</w:t>
              </w:r>
            </w:hyperlink>
            <w:r w:rsidR="00116E96" w:rsidRPr="00116E96">
              <w:rPr>
                <w:rFonts w:ascii="Arial" w:hAnsi="Arial" w:cs="Arial"/>
                <w:lang w:val="sr-Latn-ME" w:eastAsia="sr-Latn-ME"/>
              </w:rPr>
              <w:t>.</w:t>
            </w:r>
          </w:p>
          <w:p w:rsidR="00116E96" w:rsidRPr="00116E96" w:rsidRDefault="00116E96" w:rsidP="00116E9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Bhattacharya D, Bhatt J. </w:t>
            </w:r>
            <w:r w:rsidRPr="00116E96">
              <w:rPr>
                <w:rStyle w:val="ref-title"/>
                <w:rFonts w:ascii="Arial" w:hAnsi="Arial" w:cs="Arial"/>
                <w:shd w:val="clear" w:color="auto" w:fill="FFFFFF"/>
              </w:rPr>
              <w:t>Novel interprofessional collaborations: utilizing medical–legal partnerships to advance population health</w:t>
            </w:r>
            <w:r w:rsidRPr="00116E96">
              <w:rPr>
                <w:rFonts w:ascii="Arial" w:hAnsi="Arial" w:cs="Arial"/>
                <w:shd w:val="clear" w:color="auto" w:fill="FFFFFF"/>
              </w:rPr>
              <w:t>. In: Bhattacharya D, editor; , Callahan R, editor. , eds. </w:t>
            </w:r>
            <w:r w:rsidRPr="00116E96">
              <w:rPr>
                <w:rStyle w:val="ref-journal"/>
                <w:rFonts w:ascii="Arial" w:hAnsi="Arial" w:cs="Arial"/>
                <w:shd w:val="clear" w:color="auto" w:fill="FFFFFF"/>
              </w:rPr>
              <w:t>Public health leadership</w:t>
            </w:r>
            <w:r w:rsidRPr="00116E96">
              <w:rPr>
                <w:rFonts w:ascii="Arial" w:hAnsi="Arial" w:cs="Arial"/>
                <w:shd w:val="clear" w:color="auto" w:fill="FFFFFF"/>
              </w:rPr>
              <w:t>. New York: Taylor and Francis, 2017:41–53 </w:t>
            </w:r>
            <w:r w:rsidRPr="00116E96">
              <w:rPr>
                <w:rStyle w:val="nowrap"/>
                <w:rFonts w:ascii="Arial" w:hAnsi="Arial" w:cs="Arial"/>
                <w:shd w:val="clear" w:color="auto" w:fill="FFFFFF"/>
              </w:rPr>
              <w:t>[</w:t>
            </w:r>
            <w:hyperlink r:id="rId13" w:tgtFrame="pmc_ext" w:history="1">
              <w:r w:rsidRPr="00116E96">
                <w:rPr>
                  <w:rStyle w:val="Hyperlink"/>
                  <w:rFonts w:ascii="Arial" w:hAnsi="Arial" w:cs="Arial"/>
                  <w:shd w:val="clear" w:color="auto" w:fill="FFFFFF"/>
                </w:rPr>
                <w:t>Google Scholar</w:t>
              </w:r>
            </w:hyperlink>
            <w:r w:rsidRPr="00116E96">
              <w:rPr>
                <w:rStyle w:val="nowrap"/>
                <w:rFonts w:ascii="Arial" w:hAnsi="Arial" w:cs="Arial"/>
                <w:shd w:val="clear" w:color="auto" w:fill="FFFFFF"/>
              </w:rPr>
              <w:t>]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lastRenderedPageBreak/>
              <w:t xml:space="preserve">Studenti steknu razumijevanje i razviju kritičko mišljenje o tome kako globalizacija i razvoj utiču na zdravlje i da su osposobljeni za analizu odgovora i pristupa sadašnjih i budućih globalnih trendova koji imaju kako pozitivne, tako i negativne efekte po zdravlje, i nejednakosti u zdravlju. 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 xml:space="preserve">Pored toga, očekivani ishodi se odnose i na osposobljavanje ljudi u zajednici da povećaju kontrolu nad svojim zdravljem i da ga unaprijede, da ojačaju aktivnosti na unaprijeđenju zdravlja u zajednici, da sprovode mjere prevencije oboljenja i učestvuju u aktivnostima na povećanju nivoa informisanja i kvantuma znanja o faktorima rizika po zdravlje i mjerama njihove eliminacije. 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Takođe, studenti će biti u poziciji da primjenjuju principe javnog zdravlja u oblastima svog stručnog djelovanja, da se zalažu, da iniciraju, da zastupaju njihovu implementaciju u sve segmente zdravstvene zaštite.</w:t>
            </w:r>
          </w:p>
          <w:p w:rsidR="00116E96" w:rsidRPr="00116E96" w:rsidRDefault="00116E96" w:rsidP="00116E9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shd w:val="clear" w:color="auto" w:fill="FFFFFF"/>
              </w:rPr>
              <w:t>Student će biti osposobljen da: edukuje građane o povećanju kontrole nad svojim zdravljem, unapređenju zdravlja i mjerama prevencije bolesti; sprovodi zdravstveno vaspitne aktivnosti i nadzor medicinskih sestara i drugog osoblja u timu; savjetuje majke o važnosti dojenja i načinu pravilne ishrane novorođenčeta i dojenčeta; procijeni pušački status, stepen zavisnosti od pušenja, kao i metode za odvikavanje od pušenja; identifikuje zavisnike o alkoholu i supstancama (droge), adekvatno pristupi ovim pacijentima i edukuje vulnerabilne grupe u prevenciji zloupotrebe alkohola i droga; edukuje vulnerabilne grupe (adolescenti) o seksualno prenosivim bolestima; razumije principe pravilne ishrane, te da građanima predloži adekvatan način ishrane; objasni značaj redovne fizičke aktivnosti i njenog uticaja na zdravlje; objasni gojaznost kao faktor rizika za obolijevanje od masovnih nezaraznih bolesti, te da predloži nefarmakološke mjere za njeno liječenje; identifikuje osobe pod stresom, te da ih obučava o metodama za redukciju stresa; razumije i analizira ključne faktore rizika, kao i principe promocije zdravlja u cilju prevencije kardiovaskularnih, malignih bolesti, hroničnih opstruktivnih bolesti pluća i dijabetesa; razumije specifičnosti gerijatrijske populacije i načine promocije zdravlja kod ove populacione grupe.</w:t>
            </w: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68"/>
              <w:gridCol w:w="1209"/>
              <w:gridCol w:w="2389"/>
              <w:gridCol w:w="2389"/>
            </w:tblGrid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b/>
                      <w:iCs/>
                      <w:lang w:val="sr-Latn-ME"/>
                    </w:rPr>
                    <w:t>Predispitne obaveze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en-US"/>
                    </w:rPr>
                    <w:t>poena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116E96">
                    <w:rPr>
                      <w:rFonts w:ascii="Arial" w:hAnsi="Arial" w:cs="Arial"/>
                      <w:b/>
                      <w:lang w:val="en-US"/>
                    </w:rPr>
                    <w:t>Ispitne obaveze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  <w:lang w:val="en-US"/>
                    </w:rPr>
                  </w:pPr>
                  <w:r w:rsidRPr="00116E96">
                    <w:rPr>
                      <w:rFonts w:ascii="Arial" w:hAnsi="Arial" w:cs="Arial"/>
                      <w:b/>
                      <w:iCs/>
                      <w:lang w:val="en-US"/>
                    </w:rPr>
                    <w:t>poena</w:t>
                  </w:r>
                </w:p>
              </w:tc>
            </w:tr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Aktivnost u toku predavanja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sr-Cyrl-CS"/>
                    </w:rPr>
                    <w:t>10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116E96">
                    <w:rPr>
                      <w:rFonts w:ascii="Arial" w:hAnsi="Arial" w:cs="Arial"/>
                      <w:lang w:val="en-US"/>
                    </w:rPr>
                    <w:t xml:space="preserve">Završni ispit 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iCs/>
                      <w:lang w:val="sr-Latn-ME"/>
                    </w:rPr>
                    <w:t>40</w:t>
                  </w:r>
                </w:p>
              </w:tc>
            </w:tr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Praktična nastava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sr-Cyrl-CS"/>
                    </w:rPr>
                    <w:t>20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Pismeni ispit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iCs/>
                      <w:lang w:val="sr-Latn-ME"/>
                    </w:rPr>
                    <w:t>10</w:t>
                  </w:r>
                </w:p>
              </w:tc>
            </w:tr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Kolokvijum-i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sr-Latn-ME"/>
                    </w:rPr>
                    <w:t>10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Usmeni ispit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iCs/>
                      <w:lang w:val="sr-Latn-ME"/>
                    </w:rPr>
                    <w:t>30</w:t>
                  </w:r>
                </w:p>
              </w:tc>
            </w:tr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lang w:val="sr-Cyrl-CS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>Seminar-i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sr-Latn-ME"/>
                    </w:rPr>
                    <w:t>10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iCs/>
                      <w:lang w:val="sr-Latn-RS"/>
                    </w:rPr>
                  </w:pP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iCs/>
                      <w:lang w:val="sr-Latn-RS"/>
                    </w:rPr>
                  </w:pPr>
                </w:p>
              </w:tc>
            </w:tr>
            <w:tr w:rsidR="00116E96" w:rsidRPr="00116E96" w:rsidTr="00116E96">
              <w:tc>
                <w:tcPr>
                  <w:tcW w:w="356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lang w:val="sr-Latn-ME"/>
                    </w:rPr>
                    <w:t xml:space="preserve">Prisustvo nastavi </w:t>
                  </w:r>
                </w:p>
              </w:tc>
              <w:tc>
                <w:tcPr>
                  <w:tcW w:w="1209" w:type="dxa"/>
                </w:tcPr>
                <w:p w:rsidR="00116E96" w:rsidRPr="00116E96" w:rsidRDefault="00116E96" w:rsidP="00116E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116E96">
                    <w:rPr>
                      <w:rFonts w:ascii="Arial" w:hAnsi="Arial" w:cs="Arial"/>
                      <w:b/>
                      <w:bCs/>
                      <w:lang w:val="sr-Latn-ME"/>
                    </w:rPr>
                    <w:t>10</w:t>
                  </w: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iCs/>
                      <w:lang w:val="sr-Latn-RS"/>
                    </w:rPr>
                  </w:pPr>
                </w:p>
              </w:tc>
              <w:tc>
                <w:tcPr>
                  <w:tcW w:w="2389" w:type="dxa"/>
                </w:tcPr>
                <w:p w:rsidR="00116E96" w:rsidRPr="00116E96" w:rsidRDefault="00116E96" w:rsidP="00116E96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iCs/>
                      <w:lang w:val="sr-Latn-RS"/>
                    </w:rPr>
                  </w:pPr>
                </w:p>
              </w:tc>
            </w:tr>
          </w:tbl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Cs/>
                <w:iCs/>
                <w:lang w:val="sr-Latn-RS"/>
              </w:rPr>
              <w:t>Prof. Dr Agima Ljaljević i prof. dr Aneta Bošković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460225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460225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460225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460225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Default="00116E96" w:rsidP="00116E96">
      <w:pPr>
        <w:rPr>
          <w:rFonts w:ascii="Arial" w:hAnsi="Arial" w:cs="Arial"/>
        </w:rPr>
      </w:pPr>
    </w:p>
    <w:p w:rsidR="00460225" w:rsidRDefault="00460225" w:rsidP="00116E96">
      <w:pPr>
        <w:rPr>
          <w:rFonts w:ascii="Arial" w:hAnsi="Arial" w:cs="Arial"/>
        </w:rPr>
      </w:pPr>
    </w:p>
    <w:p w:rsidR="00460225" w:rsidRPr="00116E96" w:rsidRDefault="00460225" w:rsidP="00116E96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116E96" w:rsidRPr="00116E96" w:rsidTr="00116E9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6E96" w:rsidRPr="00116E96" w:rsidRDefault="00116E96" w:rsidP="00116E9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116E96" w:rsidRPr="00116E96" w:rsidTr="00116E9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460225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</w:t>
            </w:r>
            <w:r w:rsidR="00116E96" w:rsidRPr="00116E96">
              <w:rPr>
                <w:rFonts w:ascii="Arial" w:hAnsi="Arial" w:cs="Arial"/>
                <w:b/>
              </w:rPr>
              <w:t>Zdravstvena politika, menadžment u zdravstvu, zdravstvena ekonomika</w:t>
            </w:r>
          </w:p>
        </w:tc>
      </w:tr>
      <w:tr w:rsidR="00116E96" w:rsidRPr="00116E96" w:rsidTr="00116E9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5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116E96" w:rsidRPr="00116E96" w:rsidTr="00116E9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16E96">
              <w:rPr>
                <w:rFonts w:ascii="Arial" w:hAnsi="Arial" w:cs="Arial"/>
                <w:b/>
                <w:bCs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 xml:space="preserve">         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116E96">
              <w:rPr>
                <w:rFonts w:ascii="Arial" w:hAnsi="Arial" w:cs="Arial"/>
                <w:b/>
                <w:lang w:val="sr-Latn-RS"/>
              </w:rPr>
              <w:t xml:space="preserve">           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460225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1</w:t>
            </w:r>
            <w:r w:rsidR="00116E96" w:rsidRPr="00116E96">
              <w:rPr>
                <w:rFonts w:ascii="Arial" w:hAnsi="Arial" w:cs="Arial"/>
                <w:b/>
                <w:lang w:val="sr-Latn-RS"/>
              </w:rPr>
              <w:t>P</w:t>
            </w:r>
            <w:r>
              <w:rPr>
                <w:rFonts w:ascii="Arial" w:hAnsi="Arial" w:cs="Arial"/>
                <w:b/>
                <w:lang w:val="sr-Latn-RS"/>
              </w:rPr>
              <w:t>+1S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144"/>
        <w:gridCol w:w="5988"/>
      </w:tblGrid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              Doktorske studije</w:t>
            </w:r>
          </w:p>
        </w:tc>
      </w:tr>
      <w:tr w:rsidR="00116E96" w:rsidRPr="00116E96" w:rsidTr="00116E9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</w:p>
        </w:tc>
      </w:tr>
      <w:tr w:rsidR="00116E96" w:rsidRPr="00116E96" w:rsidTr="00116E9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 </w:t>
            </w:r>
            <w:r w:rsidRPr="00116E96">
              <w:rPr>
                <w:rFonts w:ascii="Arial" w:eastAsiaTheme="minorHAnsi" w:hAnsi="Arial" w:cs="Arial"/>
                <w:iCs/>
                <w:lang w:val="sr-Latn-RS"/>
              </w:rPr>
              <w:t>da se</w:t>
            </w: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 </w:t>
            </w:r>
            <w:r w:rsidRPr="00116E96">
              <w:rPr>
                <w:rFonts w:ascii="Arial" w:hAnsi="Arial" w:cs="Arial"/>
                <w:bCs/>
                <w:lang w:val="sr-Latn-ME"/>
              </w:rPr>
              <w:t>pruži znanje javnozdravstvenim profesionalcima o ljudskim pravima i pravima pacijenata, kao i etičkim normima i pravima zaposlenih u zdravstvenoj ustanovi. Cilj je i da se studenti upoznaju sa načinima upravljanja zdravstvenim ustanovama, upravljanja finansijskim, materijalnim i ljudskim resursima, kao i načinma obezbjeđivanja i raspodjele finansijskih sredstava u okviru zdravstvenog sistema.</w:t>
            </w:r>
          </w:p>
        </w:tc>
      </w:tr>
      <w:tr w:rsidR="00116E96" w:rsidRPr="00116E96" w:rsidTr="00116E9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 xml:space="preserve">Menadžment u zdravstvu, liderstvo, podjela, karakteristike 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Zdravstvena politika i organizacija zdravstvene zaštite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Pravni okvir i zdravstveno zakonodavstvo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Etika u zdravstvu i prava pacijenata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Misija i vizija zdravstvene ustanove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Organizacija i rad zdravstvenih ustanova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Finansiranje zdravstvene zaštite, izvori prihoda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Zdravstvene tehnologije, vrste, značaj, uvođenje novih zdravstvenih tehnologija u sistem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Humani resursi, planiranje i potrebe, obrazovanje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Aktuelni problemi u zdravstvenim sistemima, upravljanje krizom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Javnozdravstveni izazovi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Razvoj zdravstvenog osiguranja</w:t>
            </w:r>
          </w:p>
        </w:tc>
      </w:tr>
      <w:tr w:rsidR="00116E96" w:rsidRPr="00116E96" w:rsidTr="00116E96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  <w:lang w:val="en-GB"/>
              </w:rPr>
              <w:t>Metode i tehnike analize spoljašnjeg i unutrašnjeg okruženje (PEST, SWOT analiza, analiza zainteresovanih strana, mapiranje zainteresovanih strana)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Osnovni principi zdravstvenoekonomskih metoda sakupljanja i analize podataka</w:t>
            </w:r>
          </w:p>
        </w:tc>
      </w:tr>
      <w:tr w:rsidR="00116E96" w:rsidRPr="00116E96" w:rsidTr="00116E96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116E96">
              <w:rPr>
                <w:rFonts w:ascii="Arial" w:hAnsi="Arial" w:cs="Arial"/>
              </w:rPr>
              <w:t>Alokacija finansijskih sredstava u javnozdravstvenom sektoru</w:t>
            </w:r>
          </w:p>
        </w:tc>
      </w:tr>
      <w:tr w:rsidR="00116E96" w:rsidRPr="00116E96" w:rsidTr="00116E9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116E96">
              <w:rPr>
                <w:rFonts w:ascii="Arial" w:hAnsi="Arial" w:cs="Arial"/>
                <w:bCs/>
                <w:lang w:val="sr-Cyrl-CS"/>
              </w:rPr>
              <w:t>Časovi pod nadzorom se sastoje od predavanja i praktičnih sesija (studije slučaja, seminari, diskusije i v</w:t>
            </w:r>
            <w:r w:rsidRPr="00116E96">
              <w:rPr>
                <w:rFonts w:ascii="Arial" w:hAnsi="Arial" w:cs="Arial"/>
                <w:bCs/>
                <w:lang w:val="sr-Latn-ME"/>
              </w:rPr>
              <w:t>j</w:t>
            </w:r>
            <w:r w:rsidRPr="00116E96">
              <w:rPr>
                <w:rFonts w:ascii="Arial" w:hAnsi="Arial" w:cs="Arial"/>
                <w:bCs/>
                <w:lang w:val="sr-Cyrl-CS"/>
              </w:rPr>
              <w:t>ežbe i obrada podataka, grupni rad i pripreme za grupne i individualne prezentacije slučaja) u blended learning - kombinaciji elektronskog učenja i učenja u učionici. Od studenta se očekuje da samostalno radi na domaćim zadacima i priprema za svaki čas. Od učesnika se očekuje da aktivno učestvuju (čitaju preporučene tekstove, pripremaju se za predavanja, seminare i v</w:t>
            </w:r>
            <w:r w:rsidRPr="00116E96">
              <w:rPr>
                <w:rFonts w:ascii="Arial" w:hAnsi="Arial" w:cs="Arial"/>
                <w:bCs/>
                <w:lang w:val="sr-Latn-ME"/>
              </w:rPr>
              <w:t>j</w:t>
            </w:r>
            <w:r w:rsidRPr="00116E96">
              <w:rPr>
                <w:rFonts w:ascii="Arial" w:hAnsi="Arial" w:cs="Arial"/>
                <w:bCs/>
                <w:lang w:val="sr-Cyrl-CS"/>
              </w:rPr>
              <w:t>ežbe, i rade domaće zadatke)</w:t>
            </w:r>
          </w:p>
        </w:tc>
      </w:tr>
      <w:tr w:rsidR="00116E96" w:rsidRPr="00116E96" w:rsidTr="00116E9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E96" w:rsidRPr="00116E96" w:rsidRDefault="00116E96" w:rsidP="00116E9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116E9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116E96" w:rsidRPr="00116E96" w:rsidTr="00116E96">
        <w:trPr>
          <w:cantSplit/>
          <w:trHeight w:val="755"/>
        </w:trPr>
        <w:tc>
          <w:tcPr>
            <w:tcW w:w="193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116E96" w:rsidRPr="007A33C0" w:rsidRDefault="00116E96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 xml:space="preserve">5 kredita x 40/30 = 6,66 sati. </w:t>
            </w:r>
          </w:p>
          <w:p w:rsidR="00116E96" w:rsidRPr="007A33C0" w:rsidRDefault="007A33C0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>Struktura:  1 sat</w:t>
            </w:r>
            <w:r w:rsidR="00116E96" w:rsidRPr="007A33C0">
              <w:rPr>
                <w:rFonts w:ascii="Arial" w:hAnsi="Arial" w:cs="Arial"/>
                <w:lang w:val="sr-Latn-RS"/>
              </w:rPr>
              <w:t xml:space="preserve"> predavanja</w:t>
            </w:r>
          </w:p>
          <w:p w:rsidR="007A33C0" w:rsidRPr="007A33C0" w:rsidRDefault="007A33C0" w:rsidP="00116E96">
            <w:pPr>
              <w:spacing w:after="0"/>
              <w:rPr>
                <w:rFonts w:ascii="Arial" w:hAnsi="Arial" w:cs="Arial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>1sat seminarski rad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hAnsi="Arial" w:cs="Arial"/>
                <w:lang w:val="sr-Latn-RS"/>
              </w:rPr>
              <w:t>4,66 sati samostalnog rada st</w:t>
            </w:r>
            <w:bookmarkStart w:id="0" w:name="_GoBack"/>
            <w:bookmarkEnd w:id="0"/>
            <w:r w:rsidRPr="007A33C0">
              <w:rPr>
                <w:rFonts w:ascii="Arial" w:hAnsi="Arial" w:cs="Arial"/>
                <w:lang w:val="sr-Latn-RS"/>
              </w:rPr>
              <w:t xml:space="preserve">udenta uključujući i konsultacije </w:t>
            </w:r>
          </w:p>
        </w:tc>
        <w:tc>
          <w:tcPr>
            <w:tcW w:w="3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7A33C0" w:rsidRDefault="00116E96" w:rsidP="00116E9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7A33C0">
              <w:rPr>
                <w:rFonts w:ascii="Arial" w:hAnsi="Arial" w:cs="Arial"/>
                <w:b/>
              </w:rPr>
              <w:t>Nastava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</w:t>
            </w:r>
            <w:r w:rsidRPr="007A33C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završni</w:t>
            </w:r>
            <w:r w:rsidRPr="007A33C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ispit</w:t>
            </w:r>
            <w:r w:rsidRPr="007A33C0">
              <w:rPr>
                <w:rFonts w:ascii="Arial" w:hAnsi="Arial" w:cs="Arial"/>
              </w:rPr>
              <w:t xml:space="preserve">: (6,66 sati) x 16 = </w:t>
            </w:r>
            <w:r w:rsidRPr="007A33C0">
              <w:rPr>
                <w:rFonts w:ascii="Arial" w:hAnsi="Arial" w:cs="Arial"/>
                <w:b/>
                <w:u w:val="single"/>
              </w:rPr>
              <w:t>106,56 sat</w:t>
            </w:r>
            <w:r w:rsidRPr="007A33C0">
              <w:rPr>
                <w:rFonts w:ascii="Arial" w:hAnsi="Arial" w:cs="Arial"/>
                <w:b/>
                <w:spacing w:val="-38"/>
              </w:rPr>
              <w:t xml:space="preserve">i  </w:t>
            </w:r>
          </w:p>
          <w:p w:rsidR="00116E96" w:rsidRPr="007A33C0" w:rsidRDefault="00116E96" w:rsidP="00116E9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7A33C0">
              <w:rPr>
                <w:rFonts w:ascii="Arial" w:hAnsi="Arial" w:cs="Arial"/>
                <w:b/>
              </w:rPr>
              <w:t xml:space="preserve">Neophodne pripreme </w:t>
            </w:r>
            <w:r w:rsidRPr="007A33C0">
              <w:rPr>
                <w:rFonts w:ascii="Arial" w:hAnsi="Arial" w:cs="Arial"/>
              </w:rPr>
              <w:t>prije početka semestra</w:t>
            </w:r>
            <w:r w:rsidRPr="007A33C0">
              <w:rPr>
                <w:rFonts w:ascii="Arial" w:hAnsi="Arial" w:cs="Arial"/>
                <w:spacing w:val="1"/>
              </w:rPr>
              <w:t xml:space="preserve"> </w:t>
            </w:r>
            <w:r w:rsidRPr="007A33C0">
              <w:rPr>
                <w:rFonts w:ascii="Arial" w:hAnsi="Arial" w:cs="Arial"/>
              </w:rPr>
              <w:t>(administracija,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upis, ovjera): (6,66 sati)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x</w:t>
            </w:r>
            <w:r w:rsidRPr="007A33C0">
              <w:rPr>
                <w:rFonts w:ascii="Arial" w:hAnsi="Arial" w:cs="Arial"/>
                <w:spacing w:val="44"/>
              </w:rPr>
              <w:t xml:space="preserve"> </w:t>
            </w:r>
            <w:r w:rsidRPr="007A33C0">
              <w:rPr>
                <w:rFonts w:ascii="Arial" w:hAnsi="Arial" w:cs="Arial"/>
              </w:rPr>
              <w:t>2</w:t>
            </w:r>
            <w:r w:rsidRPr="007A33C0">
              <w:rPr>
                <w:rFonts w:ascii="Arial" w:hAnsi="Arial" w:cs="Arial"/>
                <w:spacing w:val="-1"/>
              </w:rPr>
              <w:t xml:space="preserve"> </w:t>
            </w:r>
            <w:r w:rsidRPr="007A33C0">
              <w:rPr>
                <w:rFonts w:ascii="Arial" w:hAnsi="Arial" w:cs="Arial"/>
              </w:rPr>
              <w:t>=</w:t>
            </w:r>
            <w:r w:rsidRPr="007A33C0">
              <w:rPr>
                <w:rFonts w:ascii="Arial" w:hAnsi="Arial" w:cs="Arial"/>
                <w:spacing w:val="83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13,32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sata</w:t>
            </w:r>
          </w:p>
          <w:p w:rsidR="00116E96" w:rsidRPr="007A33C0" w:rsidRDefault="00116E96" w:rsidP="00116E96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7A33C0">
              <w:rPr>
                <w:rFonts w:ascii="Arial" w:hAnsi="Arial" w:cs="Arial"/>
                <w:b/>
              </w:rPr>
              <w:t>Ukupno</w:t>
            </w:r>
            <w:r w:rsidRPr="007A33C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A33C0">
              <w:rPr>
                <w:rFonts w:ascii="Arial" w:hAnsi="Arial" w:cs="Arial"/>
                <w:b/>
              </w:rPr>
              <w:t>opterećenje za predmet</w:t>
            </w:r>
            <w:r w:rsidRPr="007A33C0">
              <w:rPr>
                <w:rFonts w:ascii="Arial" w:hAnsi="Arial" w:cs="Arial"/>
              </w:rPr>
              <w:t xml:space="preserve">: </w:t>
            </w:r>
            <w:r w:rsidRPr="007A33C0">
              <w:rPr>
                <w:rFonts w:ascii="Arial" w:hAnsi="Arial" w:cs="Arial"/>
                <w:b/>
                <w:u w:val="single"/>
              </w:rPr>
              <w:t>5 x</w:t>
            </w:r>
            <w:r w:rsidRPr="007A33C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30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=</w:t>
            </w:r>
            <w:r w:rsidRPr="007A33C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7A33C0">
              <w:rPr>
                <w:rFonts w:ascii="Arial" w:hAnsi="Arial" w:cs="Arial"/>
                <w:b/>
                <w:u w:val="single"/>
              </w:rPr>
              <w:t>150 sati</w:t>
            </w:r>
          </w:p>
          <w:p w:rsidR="00116E96" w:rsidRPr="007A33C0" w:rsidRDefault="00116E96" w:rsidP="00116E9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7A33C0">
              <w:rPr>
                <w:rFonts w:ascii="Arial" w:hAnsi="Arial" w:cs="Arial"/>
                <w:b/>
                <w:lang w:val="sr-Latn-RS"/>
              </w:rPr>
              <w:t>Struktura</w:t>
            </w:r>
            <w:r w:rsidRPr="007A33C0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b/>
                <w:lang w:val="sr-Latn-RS"/>
              </w:rPr>
              <w:t>opterećenja</w:t>
            </w:r>
            <w:r w:rsidRPr="007A33C0">
              <w:rPr>
                <w:rFonts w:ascii="Arial" w:hAnsi="Arial" w:cs="Arial"/>
                <w:lang w:val="sr-Latn-RS"/>
              </w:rPr>
              <w:t>: 106,56 sati (nastava i završni ispit)+ 13,32 sata (priprema) +</w:t>
            </w:r>
            <w:r w:rsidRPr="007A33C0">
              <w:rPr>
                <w:rFonts w:ascii="Arial" w:hAnsi="Arial" w:cs="Arial"/>
                <w:spacing w:val="-39"/>
                <w:lang w:val="sr-Latn-RS"/>
              </w:rPr>
              <w:t xml:space="preserve">  </w:t>
            </w:r>
            <w:r w:rsidRPr="007A33C0">
              <w:rPr>
                <w:rFonts w:ascii="Arial" w:hAnsi="Arial" w:cs="Arial"/>
                <w:lang w:val="sr-Latn-RS"/>
              </w:rPr>
              <w:t>30 sati</w:t>
            </w:r>
            <w:r w:rsidRPr="007A33C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lang w:val="sr-Latn-RS"/>
              </w:rPr>
              <w:t>(dopunski</w:t>
            </w:r>
            <w:r w:rsidRPr="007A33C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7A33C0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116E96" w:rsidRPr="00116E96" w:rsidTr="00116E9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 </w:t>
            </w:r>
            <w:r w:rsidRPr="00116E96">
              <w:rPr>
                <w:rFonts w:ascii="Arial" w:hAnsi="Arial" w:cs="Arial"/>
              </w:rPr>
              <w:t xml:space="preserve">Studenti su obavezni da pohađaju nastavu, da rade i predaju seminarske radove </w:t>
            </w:r>
          </w:p>
        </w:tc>
      </w:tr>
      <w:tr w:rsidR="00116E96" w:rsidRPr="00116E96" w:rsidTr="00116E9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n"/>
              </w:rPr>
            </w:pPr>
            <w:r w:rsidRPr="00116E96">
              <w:rPr>
                <w:rFonts w:ascii="Arial" w:hAnsi="Arial" w:cs="Arial"/>
                <w:lang w:val="sr-Cyrl-CS"/>
              </w:rPr>
              <w:t>Armstrong M. A handbook of management techniques</w:t>
            </w:r>
            <w:r w:rsidRPr="00116E96">
              <w:rPr>
                <w:rFonts w:ascii="Arial" w:hAnsi="Arial" w:cs="Arial"/>
              </w:rPr>
              <w:t>. 3</w:t>
            </w:r>
            <w:r w:rsidRPr="00116E96">
              <w:rPr>
                <w:rFonts w:ascii="Arial" w:hAnsi="Arial" w:cs="Arial"/>
                <w:vertAlign w:val="superscript"/>
              </w:rPr>
              <w:t>rd</w:t>
            </w:r>
            <w:r w:rsidRPr="00116E96">
              <w:rPr>
                <w:rFonts w:ascii="Arial" w:hAnsi="Arial" w:cs="Arial"/>
              </w:rPr>
              <w:t xml:space="preserve"> edition. London: Kogan Page Limited 2001.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iCs/>
                <w:lang w:val="en"/>
              </w:rPr>
              <w:t>UN. Universal Declaration of Human Rights</w:t>
            </w:r>
            <w:r w:rsidRPr="00116E96">
              <w:rPr>
                <w:rFonts w:ascii="Arial" w:hAnsi="Arial" w:cs="Arial"/>
                <w:lang w:val="en"/>
              </w:rPr>
              <w:t xml:space="preserve"> (</w:t>
            </w:r>
            <w:hyperlink r:id="rId14" w:history="1">
              <w:r w:rsidRPr="00116E96">
                <w:rPr>
                  <w:rStyle w:val="Hyperlink"/>
                  <w:rFonts w:ascii="Arial" w:hAnsi="Arial" w:cs="Arial"/>
                </w:rPr>
                <w:t>www.un.org/en/documents/udhr/index.shtml</w:t>
              </w:r>
            </w:hyperlink>
            <w:r w:rsidRPr="00116E96">
              <w:rPr>
                <w:rFonts w:ascii="Arial" w:hAnsi="Arial" w:cs="Arial"/>
              </w:rPr>
              <w:t>)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n"/>
              </w:rPr>
            </w:pPr>
            <w:r w:rsidRPr="00116E96">
              <w:rPr>
                <w:rStyle w:val="citationbook"/>
                <w:rFonts w:ascii="Arial" w:hAnsi="Arial" w:cs="Arial"/>
                <w:lang w:val="en"/>
              </w:rPr>
              <w:t xml:space="preserve">Donnelly J. </w:t>
            </w:r>
            <w:r w:rsidRPr="00116E96">
              <w:rPr>
                <w:rStyle w:val="citationbook"/>
                <w:rFonts w:ascii="Arial" w:hAnsi="Arial" w:cs="Arial"/>
                <w:iCs/>
                <w:lang w:val="en"/>
              </w:rPr>
              <w:t>Universal human rights in theory and practice</w:t>
            </w:r>
            <w:r w:rsidRPr="00116E96">
              <w:rPr>
                <w:rStyle w:val="citationbook"/>
                <w:rFonts w:ascii="Arial" w:hAnsi="Arial" w:cs="Arial"/>
                <w:lang w:val="en"/>
              </w:rPr>
              <w:t xml:space="preserve"> (2nd </w:t>
            </w:r>
            <w:proofErr w:type="gramStart"/>
            <w:r w:rsidRPr="00116E96">
              <w:rPr>
                <w:rStyle w:val="citationbook"/>
                <w:rFonts w:ascii="Arial" w:hAnsi="Arial" w:cs="Arial"/>
                <w:lang w:val="en"/>
              </w:rPr>
              <w:t>ed</w:t>
            </w:r>
            <w:proofErr w:type="gramEnd"/>
            <w:r w:rsidRPr="00116E96">
              <w:rPr>
                <w:rStyle w:val="citationbook"/>
                <w:rFonts w:ascii="Arial" w:hAnsi="Arial" w:cs="Arial"/>
                <w:lang w:val="en"/>
              </w:rPr>
              <w:t>.). Ithaca: Cornell University Press, 2003.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sr-Cyrl-CS"/>
              </w:rPr>
            </w:pPr>
            <w:r w:rsidRPr="00116E96">
              <w:rPr>
                <w:rFonts w:ascii="Arial" w:hAnsi="Arial" w:cs="Arial"/>
                <w:lang w:val="sr-Cyrl-CS"/>
              </w:rPr>
              <w:t>Longest BB, Rakich JS, Darr K. Managing Health Services Organizations and Systems: Strategic Planning and Marketing. 4</w:t>
            </w:r>
            <w:r w:rsidRPr="00116E96">
              <w:rPr>
                <w:rFonts w:ascii="Arial" w:hAnsi="Arial" w:cs="Arial"/>
                <w:vertAlign w:val="superscript"/>
                <w:lang w:val="sr-Cyrl-CS"/>
              </w:rPr>
              <w:t>th</w:t>
            </w:r>
            <w:r w:rsidRPr="00116E96">
              <w:rPr>
                <w:rFonts w:ascii="Arial" w:hAnsi="Arial" w:cs="Arial"/>
                <w:lang w:val="sr-Cyrl-CS"/>
              </w:rPr>
              <w:t xml:space="preserve"> edition. Baltimore, Maryland: Health Professional Press 2004.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116E96">
              <w:rPr>
                <w:rFonts w:ascii="Arial" w:hAnsi="Arial" w:cs="Arial"/>
              </w:rPr>
              <w:t>International Health Regulations (“IHR (2005)”) and related World Health Assembly resolution. (</w:t>
            </w:r>
            <w:hyperlink r:id="rId15" w:history="1">
              <w:r w:rsidRPr="00116E96">
                <w:rPr>
                  <w:rStyle w:val="Hyperlink"/>
                  <w:rFonts w:ascii="Arial" w:hAnsi="Arial" w:cs="Arial"/>
                </w:rPr>
                <w:t>www.who.int/gb/ebwha/pdf_files/WHA58/A58_55-en.pdf</w:t>
              </w:r>
            </w:hyperlink>
            <w:r w:rsidRPr="00116E96">
              <w:rPr>
                <w:rStyle w:val="Emphasis"/>
                <w:rFonts w:ascii="Arial" w:hAnsi="Arial" w:cs="Arial"/>
                <w:i w:val="0"/>
              </w:rPr>
              <w:t>), 2005.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Shortell SM and Kaluzny AD. Health Care Management Organization. Design and Behavior. 5</w:t>
            </w:r>
            <w:r w:rsidRPr="00116E96">
              <w:rPr>
                <w:rFonts w:ascii="Arial" w:hAnsi="Arial" w:cs="Arial"/>
                <w:vertAlign w:val="superscript"/>
              </w:rPr>
              <w:t>th</w:t>
            </w:r>
            <w:r w:rsidRPr="00116E96">
              <w:rPr>
                <w:rFonts w:ascii="Arial" w:hAnsi="Arial" w:cs="Arial"/>
                <w:lang w:val="sr-Cyrl-CS"/>
              </w:rPr>
              <w:t xml:space="preserve"> edition</w:t>
            </w:r>
            <w:r w:rsidRPr="00116E96">
              <w:rPr>
                <w:rFonts w:ascii="Arial" w:hAnsi="Arial" w:cs="Arial"/>
              </w:rPr>
              <w:t>. USA, Tomson Delmar Learnig 2006.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sr-Cyrl-CS"/>
              </w:rPr>
            </w:pPr>
            <w:r w:rsidRPr="00116E96">
              <w:rPr>
                <w:rFonts w:ascii="Arial" w:hAnsi="Arial" w:cs="Arial"/>
                <w:lang w:val="sr-Cyrl-CS"/>
              </w:rPr>
              <w:t>Swayne LE, Duncan WJ, Ginter PM, ed. Strategic Management of Health Care Organizations. 5</w:t>
            </w:r>
            <w:r w:rsidRPr="00116E96">
              <w:rPr>
                <w:rFonts w:ascii="Arial" w:hAnsi="Arial" w:cs="Arial"/>
                <w:vertAlign w:val="superscript"/>
                <w:lang w:val="sr-Cyrl-CS"/>
              </w:rPr>
              <w:t xml:space="preserve"> th</w:t>
            </w:r>
            <w:r w:rsidRPr="00116E96">
              <w:rPr>
                <w:rFonts w:ascii="Arial" w:hAnsi="Arial" w:cs="Arial"/>
                <w:lang w:val="sr-Cyrl-CS"/>
              </w:rPr>
              <w:t xml:space="preserve"> edition. Oxford: Blackwell Publishing 2006.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Health and Human Rights. A resource guide for the Open Society Institute and Soros Foundations Network. Equitas, June, 2007.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sr-Cyrl-CS"/>
              </w:rPr>
            </w:pPr>
            <w:r w:rsidRPr="00116E96">
              <w:rPr>
                <w:rFonts w:ascii="Arial" w:hAnsi="Arial" w:cs="Arial"/>
                <w:lang w:val="sr-Cyrl-CS"/>
              </w:rPr>
              <w:t>Glaser RG, Traznor RM. Strategic Practice Management. A Patient-C</w:t>
            </w:r>
            <w:r w:rsidRPr="00116E96">
              <w:rPr>
                <w:rFonts w:ascii="Arial" w:hAnsi="Arial" w:cs="Arial"/>
              </w:rPr>
              <w:t>entric Approach. United Kingdom: Plural PublishingInc., 2008.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sr-Cyrl-CS"/>
              </w:rPr>
            </w:pPr>
            <w:r w:rsidRPr="00116E96">
              <w:rPr>
                <w:rFonts w:ascii="Arial" w:hAnsi="Arial" w:cs="Arial"/>
                <w:lang w:val="sr-Cyrl-CS"/>
              </w:rPr>
              <w:t>Carpenter MA, Sanders WG. Strategic Management: A Dynamic Perspective, Concepts and Cases. 2</w:t>
            </w:r>
            <w:r w:rsidRPr="00116E96">
              <w:rPr>
                <w:rFonts w:ascii="Arial" w:hAnsi="Arial" w:cs="Arial"/>
                <w:vertAlign w:val="superscript"/>
                <w:lang w:val="sr-Cyrl-CS"/>
              </w:rPr>
              <w:t>nd</w:t>
            </w:r>
            <w:r w:rsidRPr="00116E96">
              <w:rPr>
                <w:rFonts w:ascii="Arial" w:hAnsi="Arial" w:cs="Arial"/>
                <w:lang w:val="sr-Cyrl-CS"/>
              </w:rPr>
              <w:t xml:space="preserve"> edition. Upper Saddle River, NJ: Pearson Education International 2009.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n"/>
              </w:rPr>
            </w:pPr>
            <w:r w:rsidRPr="00116E96">
              <w:rPr>
                <w:rFonts w:ascii="Arial" w:hAnsi="Arial" w:cs="Arial"/>
                <w:lang w:val="en"/>
              </w:rPr>
              <w:t xml:space="preserve">Forsythe, FP. </w:t>
            </w:r>
            <w:r w:rsidRPr="00116E96">
              <w:rPr>
                <w:rFonts w:ascii="Arial" w:hAnsi="Arial" w:cs="Arial"/>
                <w:iCs/>
                <w:lang w:val="en"/>
              </w:rPr>
              <w:t>Encyclopedia of Human Rights</w:t>
            </w:r>
            <w:r w:rsidRPr="00116E96">
              <w:rPr>
                <w:rFonts w:ascii="Arial" w:hAnsi="Arial" w:cs="Arial"/>
                <w:lang w:val="en"/>
              </w:rPr>
              <w:t xml:space="preserve">. New York: Oxford University Press, 2009. 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  <w:color w:val="1F1A17"/>
                <w:lang w:val="sr-Cyrl-RS"/>
              </w:rPr>
              <w:t>Gruskin, S., Bogescho, D., Ferguson, L.“Rught/based approaches“ to health policies and programmes: Articulation</w:t>
            </w:r>
            <w:r w:rsidRPr="00116E96">
              <w:rPr>
                <w:rFonts w:ascii="Arial" w:hAnsi="Arial" w:cs="Arial"/>
                <w:lang w:val="sr-Cyrl-RS"/>
              </w:rPr>
              <w:t>, ambiguities, and assessment. Jounal of Public Health Policy, 31(2), 129-45, 2010</w:t>
            </w:r>
          </w:p>
          <w:p w:rsidR="00116E96" w:rsidRPr="00116E96" w:rsidRDefault="00116E96" w:rsidP="00116E96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Proctor T. Creative Problem Solving for Managers: Developing Skills for Decision Making and Innovation, 3rd edition, Routledge, 2010.</w:t>
            </w:r>
          </w:p>
          <w:p w:rsidR="00116E96" w:rsidRPr="00116E96" w:rsidRDefault="00116E96" w:rsidP="00116E9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Proctor T. Creative Problem Solving for Managers: Developing Skills for Decision Making and Innovation, 3rd edition, Routledge, 2010.</w:t>
            </w:r>
          </w:p>
        </w:tc>
      </w:tr>
      <w:tr w:rsidR="00116E96" w:rsidRPr="00116E96" w:rsidTr="00116E9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Očekuje se da će student nakon položenog ispita iz ovog predmeta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 steći neophodna teorijska znanja iz oblasti zdravlja i ljudskih prava, kao i vještine neophodne za primjenu ovih znanja u praksi. Razumijevanje ovih prava je od velikog značaja za sve učesnike u zdravstvenom sistemu. Razvijanje pozitivnih stavova i ponašanja u vezi sa ljudskim pravima je osnova uspješnog rada na očuvanju i unaprijeđenju zdravlja korisnika.</w:t>
            </w:r>
          </w:p>
          <w:p w:rsidR="00116E96" w:rsidRPr="00116E96" w:rsidRDefault="00116E96" w:rsidP="00116E96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bCs/>
                <w:lang w:val="sr-Latn-ME"/>
              </w:rPr>
              <w:t>Osim toga, o</w:t>
            </w:r>
            <w:r w:rsidRPr="00116E96">
              <w:rPr>
                <w:rFonts w:ascii="Arial" w:hAnsi="Arial" w:cs="Arial"/>
                <w:bCs/>
                <w:lang w:val="sr-Cyrl-CS"/>
              </w:rPr>
              <w:t>čekivani ishodi i kompetencije su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 i</w:t>
            </w:r>
            <w:r w:rsidRPr="00116E96">
              <w:rPr>
                <w:rFonts w:ascii="Arial" w:hAnsi="Arial" w:cs="Arial"/>
                <w:bCs/>
                <w:lang w:val="sr-Cyrl-CS"/>
              </w:rPr>
              <w:t xml:space="preserve">: 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znanja i sposobnosti vezani za </w:t>
            </w:r>
            <w:r w:rsidRPr="00116E96">
              <w:rPr>
                <w:rFonts w:ascii="Arial" w:hAnsi="Arial" w:cs="Arial"/>
                <w:bCs/>
                <w:lang w:val="sr-Cyrl-CS"/>
              </w:rPr>
              <w:t xml:space="preserve">upravljanje ljudskim resursima, 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prepoznavanje </w:t>
            </w:r>
            <w:r w:rsidRPr="00116E96">
              <w:rPr>
                <w:rFonts w:ascii="Arial" w:hAnsi="Arial" w:cs="Arial"/>
                <w:bCs/>
                <w:lang w:val="sr-Cyrl-CS"/>
              </w:rPr>
              <w:t>uloga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 i</w:t>
            </w:r>
            <w:r w:rsidRPr="00116E96">
              <w:rPr>
                <w:rFonts w:ascii="Arial" w:hAnsi="Arial" w:cs="Arial"/>
                <w:bCs/>
                <w:lang w:val="sr-Cyrl-CS"/>
              </w:rPr>
              <w:t xml:space="preserve"> funkcij</w:t>
            </w:r>
            <w:r w:rsidRPr="00116E96">
              <w:rPr>
                <w:rFonts w:ascii="Arial" w:hAnsi="Arial" w:cs="Arial"/>
                <w:bCs/>
                <w:lang w:val="sr-Latn-ME"/>
              </w:rPr>
              <w:t>a</w:t>
            </w:r>
            <w:r w:rsidRPr="00116E96">
              <w:rPr>
                <w:rFonts w:ascii="Arial" w:hAnsi="Arial" w:cs="Arial"/>
                <w:bCs/>
                <w:lang w:val="sr-Cyrl-CS"/>
              </w:rPr>
              <w:t xml:space="preserve"> menadžera ljudskim resursima, strateško upravljanje ljudskim resursima u javnom zdravlju, 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prepoznavanje značaja </w:t>
            </w:r>
            <w:r w:rsidRPr="00116E96">
              <w:rPr>
                <w:rFonts w:ascii="Arial" w:hAnsi="Arial" w:cs="Arial"/>
                <w:bCs/>
                <w:lang w:val="sr-Cyrl-CS"/>
              </w:rPr>
              <w:t xml:space="preserve">učenje i obuka, </w:t>
            </w:r>
            <w:r w:rsidRPr="00116E96">
              <w:rPr>
                <w:rFonts w:ascii="Arial" w:hAnsi="Arial" w:cs="Arial"/>
                <w:bCs/>
                <w:lang w:val="sr-Latn-ME"/>
              </w:rPr>
              <w:t xml:space="preserve">kao i </w:t>
            </w:r>
            <w:r w:rsidRPr="00116E96">
              <w:rPr>
                <w:rFonts w:ascii="Arial" w:hAnsi="Arial" w:cs="Arial"/>
                <w:bCs/>
                <w:lang w:val="sr-Cyrl-CS"/>
              </w:rPr>
              <w:t>upravljanje i nagrađivanje prema performansama. Pored dobrog razum</w:t>
            </w:r>
            <w:r w:rsidRPr="00116E96">
              <w:rPr>
                <w:rFonts w:ascii="Arial" w:hAnsi="Arial" w:cs="Arial"/>
                <w:bCs/>
                <w:lang w:val="sr-Latn-ME"/>
              </w:rPr>
              <w:t>ij</w:t>
            </w:r>
            <w:r w:rsidRPr="00116E96">
              <w:rPr>
                <w:rFonts w:ascii="Arial" w:hAnsi="Arial" w:cs="Arial"/>
                <w:bCs/>
                <w:lang w:val="sr-Cyrl-CS"/>
              </w:rPr>
              <w:t>evanja i sposobnost prim</w:t>
            </w:r>
            <w:r w:rsidRPr="00116E96">
              <w:rPr>
                <w:rFonts w:ascii="Arial" w:hAnsi="Arial" w:cs="Arial"/>
                <w:bCs/>
                <w:lang w:val="sr-Latn-ME"/>
              </w:rPr>
              <w:t>j</w:t>
            </w:r>
            <w:r w:rsidRPr="00116E96">
              <w:rPr>
                <w:rFonts w:ascii="Arial" w:hAnsi="Arial" w:cs="Arial"/>
                <w:bCs/>
                <w:lang w:val="sr-Cyrl-CS"/>
              </w:rPr>
              <w:t>ene znanja, polaznici će razviti v</w:t>
            </w:r>
            <w:r w:rsidRPr="00116E96">
              <w:rPr>
                <w:rFonts w:ascii="Arial" w:hAnsi="Arial" w:cs="Arial"/>
                <w:bCs/>
                <w:lang w:val="sr-Latn-ME"/>
              </w:rPr>
              <w:t>j</w:t>
            </w:r>
            <w:r w:rsidRPr="00116E96">
              <w:rPr>
                <w:rFonts w:ascii="Arial" w:hAnsi="Arial" w:cs="Arial"/>
                <w:bCs/>
                <w:lang w:val="sr-Cyrl-CS"/>
              </w:rPr>
              <w:t>eštine za istraživanje i kritičku analizu uloge savremenog menadžera i sistema upravljanja ljudskim resursima, kao i da u pisanoj formi analiziraju efekte politika i procedura na performanse zdravstvenih organizacija.</w:t>
            </w:r>
          </w:p>
          <w:p w:rsidR="00116E96" w:rsidRPr="00116E96" w:rsidRDefault="00116E96" w:rsidP="00116E96">
            <w:pPr>
              <w:jc w:val="both"/>
              <w:rPr>
                <w:rFonts w:ascii="Arial" w:hAnsi="Arial" w:cs="Arial"/>
              </w:rPr>
            </w:pPr>
            <w:r w:rsidRPr="00116E96">
              <w:rPr>
                <w:rFonts w:ascii="Arial" w:hAnsi="Arial" w:cs="Arial"/>
              </w:rPr>
              <w:t>Nakon završetka predmeta javni zdravstveni profesionalci će biti u stanju da: (a) razumiju ključne koncepte teorije liderstva, nivoe i stilove liderstva i razlike između menadžmenta i liderstva; (b) kritički analiziraju složenost vođenja i motivacije ljudi; (c ) razumiju svoju ulogu javnog zdravlja lidera za poboljšanje kvaliteta javno-zdravstvene prakse; (d) primijenjuju relevantne pojmove liderstva na sopstvenom profesionalnom radnom mjestu i razviju liderske vještine (mentorstvo, razumijevanje sebe i sledbenika, doživotno učenje); (e) znaju izazove zajedničkog vođenja; (f) prevazilaze prepreke i olakšaju promjene.</w:t>
            </w:r>
          </w:p>
          <w:p w:rsidR="00116E96" w:rsidRPr="00116E96" w:rsidRDefault="00116E96" w:rsidP="00116E96">
            <w:pPr>
              <w:jc w:val="both"/>
              <w:rPr>
                <w:rFonts w:ascii="Arial" w:hAnsi="Arial" w:cs="Arial"/>
                <w:lang w:val="en-GB"/>
              </w:rPr>
            </w:pPr>
            <w:r w:rsidRPr="00116E96">
              <w:rPr>
                <w:rFonts w:ascii="Arial" w:hAnsi="Arial" w:cs="Arial"/>
                <w:lang w:val="en-GB"/>
              </w:rPr>
              <w:t xml:space="preserve">Studenti će steći znanja o značaju planiranja, razlikama između operativnog i strateškog planiranja, modelu strateškog </w:t>
            </w:r>
            <w:r w:rsidRPr="00116E96">
              <w:rPr>
                <w:rFonts w:ascii="Arial" w:hAnsi="Arial" w:cs="Arial"/>
                <w:bCs/>
                <w:lang w:val="sr-Latn-ME"/>
              </w:rPr>
              <w:t>menadžmenta, načinima donošenja odluka i razlikama između grupnog i timskog rada, procesu i modelima menadžmenta promjenama.</w:t>
            </w:r>
            <w:r w:rsidRPr="00116E96">
              <w:rPr>
                <w:rFonts w:ascii="Arial" w:hAnsi="Arial" w:cs="Arial"/>
                <w:lang w:val="en-GB"/>
              </w:rPr>
              <w:t xml:space="preserve"> Studenti će znati da definišu misiju, viziju, vrijednosti i principe ustanove, opšte i specifične ciljeve, poštujući smjernice SMART tehnike. Naučiće kako da analiziraju spoljašnje i unutrašnje okruženje primjenom odgovarajućih metoda i tehnika (PEST, SWOT analiza, analiza zainteresovanih strana i mapiranje zainteresovanih strana) tehnika.</w:t>
            </w:r>
          </w:p>
          <w:p w:rsidR="00116E96" w:rsidRPr="00116E96" w:rsidRDefault="00116E96" w:rsidP="00116E96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116E96">
              <w:rPr>
                <w:rFonts w:ascii="Arial" w:hAnsi="Arial" w:cs="Arial"/>
                <w:bCs/>
                <w:lang w:val="sr-Latn-ME"/>
              </w:rPr>
              <w:t>Nakon sprovedenih aktivnosti na predmetu studenti će biti osposobljeni i za analiziranje i primjenu modela finansiranja zdravstvene zaštite, kao i za usvajanje principa ekonosmičnosti, efikasnosti i efektivnosti zdravstvene zaštite stanovništva.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116E96" w:rsidRPr="00116E96" w:rsidTr="00116E9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hAnsi="Arial" w:cs="Arial"/>
              </w:rPr>
              <w:t>Prisustvo nastavi do 5 poena, domaći rad do 5 poena, izlaganje seminarskog rada  do 40 poena, završni ispit se ocjenjuje najviše sa 50 poena; prelazna ocjena se dobija ako se kumulativno sakupi  50 poena i više.</w:t>
            </w:r>
          </w:p>
        </w:tc>
      </w:tr>
      <w:tr w:rsidR="00116E96" w:rsidRPr="00116E96" w:rsidTr="00116E9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 </w:t>
            </w:r>
            <w:r w:rsidRPr="00116E96">
              <w:rPr>
                <w:rFonts w:ascii="Arial" w:eastAsiaTheme="minorHAnsi" w:hAnsi="Arial" w:cs="Arial"/>
                <w:iCs/>
                <w:lang w:val="sr-Latn-RS"/>
              </w:rPr>
              <w:t>Prof dr Boban Mugoša, Prof dr Miodrag Radunović</w:t>
            </w:r>
          </w:p>
        </w:tc>
      </w:tr>
      <w:tr w:rsidR="00116E96" w:rsidRPr="00116E96" w:rsidTr="00116E9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116E96" w:rsidRDefault="00116E96" w:rsidP="00116E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116E9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116E96" w:rsidRPr="00116E96" w:rsidTr="00116E9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6" w:rsidRPr="00460225" w:rsidRDefault="00116E96" w:rsidP="00116E9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460225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116E96" w:rsidRPr="00116E96" w:rsidRDefault="00116E96" w:rsidP="00116E96">
      <w:pPr>
        <w:rPr>
          <w:rFonts w:ascii="Arial" w:hAnsi="Arial" w:cs="Arial"/>
        </w:rPr>
      </w:pPr>
    </w:p>
    <w:p w:rsidR="005C4DBE" w:rsidRDefault="005C4DBE"/>
    <w:sectPr w:rsidR="005C4DBE" w:rsidSect="00116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6D82"/>
    <w:multiLevelType w:val="hybridMultilevel"/>
    <w:tmpl w:val="C28046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968"/>
    <w:multiLevelType w:val="hybridMultilevel"/>
    <w:tmpl w:val="EA8A34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18F0"/>
    <w:multiLevelType w:val="hybridMultilevel"/>
    <w:tmpl w:val="D4902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6638"/>
    <w:multiLevelType w:val="hybridMultilevel"/>
    <w:tmpl w:val="868062BC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C11EC"/>
    <w:multiLevelType w:val="hybridMultilevel"/>
    <w:tmpl w:val="6E841746"/>
    <w:lvl w:ilvl="0" w:tplc="AB36E0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0451"/>
    <w:multiLevelType w:val="hybridMultilevel"/>
    <w:tmpl w:val="8FA2D8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96"/>
    <w:rsid w:val="00116E96"/>
    <w:rsid w:val="00460225"/>
    <w:rsid w:val="005C4DBE"/>
    <w:rsid w:val="007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9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96"/>
    <w:pPr>
      <w:spacing w:after="160" w:line="256" w:lineRule="auto"/>
      <w:ind w:left="720"/>
      <w:contextualSpacing/>
    </w:pPr>
    <w:rPr>
      <w:rFonts w:eastAsiaTheme="minorHAnsi"/>
      <w:lang w:val="sr-Latn-ME" w:eastAsia="en-US"/>
    </w:rPr>
  </w:style>
  <w:style w:type="paragraph" w:customStyle="1" w:styleId="TableParagraph">
    <w:name w:val="Table Paragraph"/>
    <w:basedOn w:val="Normal"/>
    <w:uiPriority w:val="1"/>
    <w:qFormat/>
    <w:rsid w:val="00116E96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Grid3">
    <w:name w:val="Table Grid3"/>
    <w:basedOn w:val="TableNormal"/>
    <w:uiPriority w:val="59"/>
    <w:rsid w:val="00116E9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Bold,Italic,Centered"/>
    <w:basedOn w:val="Heading3"/>
    <w:link w:val="NormalArial1"/>
    <w:rsid w:val="00116E9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116E9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E9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paragraph" w:customStyle="1" w:styleId="TableContents">
    <w:name w:val="Table Contents"/>
    <w:basedOn w:val="Normal"/>
    <w:qFormat/>
    <w:rsid w:val="00116E96"/>
    <w:pPr>
      <w:suppressLineNumbers/>
    </w:pPr>
    <w:rPr>
      <w:color w:val="00000A"/>
      <w:lang w:val="en-US" w:eastAsia="en-US"/>
    </w:rPr>
  </w:style>
  <w:style w:type="character" w:styleId="Hyperlink">
    <w:name w:val="Hyperlink"/>
    <w:unhideWhenUsed/>
    <w:rsid w:val="00116E96"/>
    <w:rPr>
      <w:color w:val="0000FF"/>
      <w:u w:val="single"/>
    </w:rPr>
  </w:style>
  <w:style w:type="character" w:customStyle="1" w:styleId="ref-title">
    <w:name w:val="ref-title"/>
    <w:rsid w:val="00116E96"/>
  </w:style>
  <w:style w:type="character" w:customStyle="1" w:styleId="mixed-citation">
    <w:name w:val="mixed-citation"/>
    <w:rsid w:val="00116E96"/>
  </w:style>
  <w:style w:type="character" w:customStyle="1" w:styleId="ref-journal">
    <w:name w:val="ref-journal"/>
    <w:rsid w:val="00116E96"/>
  </w:style>
  <w:style w:type="character" w:customStyle="1" w:styleId="nowrap">
    <w:name w:val="nowrap"/>
    <w:rsid w:val="00116E96"/>
  </w:style>
  <w:style w:type="table" w:styleId="TableGrid">
    <w:name w:val="Table Grid"/>
    <w:basedOn w:val="TableNormal"/>
    <w:uiPriority w:val="59"/>
    <w:rsid w:val="00116E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16E96"/>
    <w:rPr>
      <w:i/>
      <w:iCs/>
    </w:rPr>
  </w:style>
  <w:style w:type="character" w:customStyle="1" w:styleId="citationbook">
    <w:name w:val="citation book"/>
    <w:rsid w:val="00116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9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96"/>
    <w:pPr>
      <w:spacing w:after="160" w:line="256" w:lineRule="auto"/>
      <w:ind w:left="720"/>
      <w:contextualSpacing/>
    </w:pPr>
    <w:rPr>
      <w:rFonts w:eastAsiaTheme="minorHAnsi"/>
      <w:lang w:val="sr-Latn-ME" w:eastAsia="en-US"/>
    </w:rPr>
  </w:style>
  <w:style w:type="paragraph" w:customStyle="1" w:styleId="TableParagraph">
    <w:name w:val="Table Paragraph"/>
    <w:basedOn w:val="Normal"/>
    <w:uiPriority w:val="1"/>
    <w:qFormat/>
    <w:rsid w:val="00116E96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Grid3">
    <w:name w:val="Table Grid3"/>
    <w:basedOn w:val="TableNormal"/>
    <w:uiPriority w:val="59"/>
    <w:rsid w:val="00116E9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Bold,Italic,Centered"/>
    <w:basedOn w:val="Heading3"/>
    <w:link w:val="NormalArial1"/>
    <w:rsid w:val="00116E9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116E9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E9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paragraph" w:customStyle="1" w:styleId="TableContents">
    <w:name w:val="Table Contents"/>
    <w:basedOn w:val="Normal"/>
    <w:qFormat/>
    <w:rsid w:val="00116E96"/>
    <w:pPr>
      <w:suppressLineNumbers/>
    </w:pPr>
    <w:rPr>
      <w:color w:val="00000A"/>
      <w:lang w:val="en-US" w:eastAsia="en-US"/>
    </w:rPr>
  </w:style>
  <w:style w:type="character" w:styleId="Hyperlink">
    <w:name w:val="Hyperlink"/>
    <w:unhideWhenUsed/>
    <w:rsid w:val="00116E96"/>
    <w:rPr>
      <w:color w:val="0000FF"/>
      <w:u w:val="single"/>
    </w:rPr>
  </w:style>
  <w:style w:type="character" w:customStyle="1" w:styleId="ref-title">
    <w:name w:val="ref-title"/>
    <w:rsid w:val="00116E96"/>
  </w:style>
  <w:style w:type="character" w:customStyle="1" w:styleId="mixed-citation">
    <w:name w:val="mixed-citation"/>
    <w:rsid w:val="00116E96"/>
  </w:style>
  <w:style w:type="character" w:customStyle="1" w:styleId="ref-journal">
    <w:name w:val="ref-journal"/>
    <w:rsid w:val="00116E96"/>
  </w:style>
  <w:style w:type="character" w:customStyle="1" w:styleId="nowrap">
    <w:name w:val="nowrap"/>
    <w:rsid w:val="00116E96"/>
  </w:style>
  <w:style w:type="table" w:styleId="TableGrid">
    <w:name w:val="Table Grid"/>
    <w:basedOn w:val="TableNormal"/>
    <w:uiPriority w:val="59"/>
    <w:rsid w:val="00116E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16E96"/>
    <w:rPr>
      <w:i/>
      <w:iCs/>
    </w:rPr>
  </w:style>
  <w:style w:type="character" w:customStyle="1" w:styleId="citationbook">
    <w:name w:val="citation book"/>
    <w:rsid w:val="0011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phi.pophealth.wisc.edu/about/advisory/public-vs-population-health-conversation.pdf" TargetMode="External"/><Relationship Id="rId13" Type="http://schemas.openxmlformats.org/officeDocument/2006/relationships/hyperlink" Target="https://scholar.google.com/scholar_lookup?title=Public+health+leadership&amp;author=D+Bhattacharya&amp;author=J+Bhatt&amp;publication_year=2017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althyamericans.org/assets/files/TFAH-2015-InvestInAmericaRpt-FINAL.pdf" TargetMode="External"/><Relationship Id="rId12" Type="http://schemas.openxmlformats.org/officeDocument/2006/relationships/hyperlink" Target="https://dx.doi.org/10.1089%2Fpop.2016.01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dc.gov/stltpublichealth/policy" TargetMode="External"/><Relationship Id="rId11" Type="http://schemas.openxmlformats.org/officeDocument/2006/relationships/hyperlink" Target="https://www.ncbi.nlm.nih.gov/pmc/articles/PMC56493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gb/ebwha/pdf_files/WHA58/A58_55-en.pdf" TargetMode="External"/><Relationship Id="rId10" Type="http://schemas.openxmlformats.org/officeDocument/2006/relationships/hyperlink" Target="https://www.ncbi.nlm.nih.gov/pubmed/?term=Bhatt%20J%5BAuthor%5D&amp;cauthor=true&amp;cauthor_uid=28192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Bhattacharya%20D%5BAuthor%5D&amp;cauthor=true&amp;cauthor_uid=28192033" TargetMode="External"/><Relationship Id="rId14" Type="http://schemas.openxmlformats.org/officeDocument/2006/relationships/hyperlink" Target="http://www.un.org/en/documents/udhr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2022-02-14T14:41:00Z</dcterms:created>
  <dcterms:modified xsi:type="dcterms:W3CDTF">2022-02-14T15:21:00Z</dcterms:modified>
</cp:coreProperties>
</file>