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7639DB49"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56679">
        <w:rPr>
          <w:rStyle w:val="tlid-translation"/>
          <w:sz w:val="24"/>
          <w:szCs w:val="24"/>
          <w:lang w:val="en-GB"/>
        </w:rPr>
        <w:t>Montenegro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B76658">
        <w:rPr>
          <w:rStyle w:val="tlid-translation"/>
          <w:sz w:val="24"/>
          <w:szCs w:val="24"/>
          <w:lang w:val="en-GB"/>
        </w:rPr>
        <w:t>implementation period in 2024</w:t>
      </w:r>
      <w:r w:rsidR="009437FD" w:rsidRPr="009437FD">
        <w:rPr>
          <w:rStyle w:val="tlid-translation"/>
          <w:sz w:val="24"/>
          <w:szCs w:val="24"/>
          <w:lang w:val="en-GB"/>
        </w:rPr>
        <w:t>.</w:t>
      </w:r>
    </w:p>
    <w:p w14:paraId="066003CA" w14:textId="2C5E2102" w:rsidR="009437FD" w:rsidRPr="009437FD" w:rsidRDefault="009437FD" w:rsidP="007A7954">
      <w:pPr>
        <w:shd w:val="clear" w:color="auto" w:fill="FFFFFF"/>
        <w:spacing w:after="0" w:line="240" w:lineRule="auto"/>
        <w:rPr>
          <w:rStyle w:val="tlid-translation"/>
          <w:sz w:val="24"/>
          <w:szCs w:val="24"/>
          <w:lang w:val="en-GB"/>
        </w:rPr>
      </w:pPr>
    </w:p>
    <w:p w14:paraId="649E65CD" w14:textId="347993F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EC23EB">
        <w:rPr>
          <w:rStyle w:val="tlid-translation"/>
          <w:b/>
          <w:sz w:val="24"/>
          <w:szCs w:val="24"/>
          <w:lang w:val="en-GB"/>
        </w:rPr>
        <w:t xml:space="preserve">Montenegro: </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0A50CCF0"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inclusive and quality education and improving school infrastructure;</w:t>
      </w:r>
    </w:p>
    <w:p w14:paraId="58D2C03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Protection and guarantee of human rights with special attention to women, children, people with disabilities and other vulnerable groups;</w:t>
      </w:r>
    </w:p>
    <w:p w14:paraId="2825048E"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economic development and support for sustainable employment;</w:t>
      </w:r>
    </w:p>
    <w:p w14:paraId="2F2C77C1"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management of natural resources, nature protection and mitigation of the effects of climate change;</w:t>
      </w:r>
    </w:p>
    <w:p w14:paraId="3D6EED37" w14:textId="211578E7" w:rsidR="009437FD" w:rsidRPr="009437FD"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universal health coverage and access to quality health services.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70A4656" w14:textId="1A2C897C"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Supporting innovative teaching methods and educational approaches, modernization of schools and centres for daily care for children and youth, centres for children with disabilities and disadvantaged children</w:t>
      </w:r>
      <w:r w:rsidR="00F10AAB">
        <w:rPr>
          <w:rFonts w:eastAsia="Times New Roman" w:cstheme="minorHAnsi"/>
          <w:i/>
          <w:iCs/>
          <w:color w:val="212121"/>
          <w:sz w:val="24"/>
          <w:szCs w:val="24"/>
          <w:lang w:val="bg-BG"/>
        </w:rPr>
        <w:t xml:space="preserve"> – </w:t>
      </w:r>
      <w:r w:rsidR="00F10AAB" w:rsidRPr="00F10AAB">
        <w:rPr>
          <w:rFonts w:eastAsia="Times New Roman" w:cstheme="minorHAnsi"/>
          <w:b/>
          <w:i/>
          <w:iCs/>
          <w:color w:val="212121"/>
          <w:sz w:val="24"/>
          <w:szCs w:val="24"/>
        </w:rPr>
        <w:t>Goal 4: Quality Education and Goal 16: Peace, Justice and Strong Institutions</w:t>
      </w:r>
      <w:r w:rsidRPr="0039678C">
        <w:rPr>
          <w:rFonts w:eastAsia="Times New Roman" w:cstheme="minorHAnsi"/>
          <w:i/>
          <w:iCs/>
          <w:color w:val="212121"/>
          <w:sz w:val="24"/>
          <w:szCs w:val="24"/>
          <w:lang w:val="en-GB"/>
        </w:rPr>
        <w:t>;</w:t>
      </w:r>
    </w:p>
    <w:p w14:paraId="3038F5D9" w14:textId="64800326"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Implementation of good European practices for protection of the rights of children with disabilities and disadvantaged children</w:t>
      </w:r>
      <w:r w:rsidR="00F10AAB">
        <w:rPr>
          <w:rFonts w:eastAsia="Times New Roman" w:cstheme="minorHAnsi"/>
          <w:i/>
          <w:iCs/>
          <w:color w:val="212121"/>
          <w:sz w:val="24"/>
          <w:szCs w:val="24"/>
          <w:lang w:val="en-GB"/>
        </w:rPr>
        <w:t xml:space="preserve"> - </w:t>
      </w:r>
      <w:r w:rsidR="00F10AAB" w:rsidRPr="00F10AAB">
        <w:rPr>
          <w:rFonts w:eastAsia="Times New Roman" w:cstheme="minorHAnsi"/>
          <w:b/>
          <w:i/>
          <w:iCs/>
          <w:color w:val="212121"/>
          <w:sz w:val="24"/>
          <w:szCs w:val="24"/>
        </w:rPr>
        <w:t>Goal 16: Peace, Justice and Strong Institutions</w:t>
      </w:r>
      <w:r w:rsidRPr="0039678C">
        <w:rPr>
          <w:rFonts w:eastAsia="Times New Roman" w:cstheme="minorHAnsi"/>
          <w:i/>
          <w:iCs/>
          <w:color w:val="212121"/>
          <w:sz w:val="24"/>
          <w:szCs w:val="24"/>
          <w:lang w:val="en-GB"/>
        </w:rPr>
        <w:t>;</w:t>
      </w:r>
    </w:p>
    <w:p w14:paraId="143C4231" w14:textId="79868281"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Protection and guarantee of human rights with special attention to women, children, people with disabilities and other vulnerable groups</w:t>
      </w:r>
      <w:r w:rsidR="00BA7F7F">
        <w:rPr>
          <w:rFonts w:eastAsia="Times New Roman" w:cstheme="minorHAnsi"/>
          <w:i/>
          <w:iCs/>
          <w:color w:val="212121"/>
          <w:sz w:val="24"/>
          <w:szCs w:val="24"/>
          <w:lang w:val="en-GB"/>
        </w:rPr>
        <w:t xml:space="preserve"> – </w:t>
      </w:r>
      <w:r w:rsidR="00BA7F7F" w:rsidRPr="00BA7F7F">
        <w:rPr>
          <w:rFonts w:eastAsia="Times New Roman" w:cstheme="minorHAnsi"/>
          <w:b/>
          <w:i/>
          <w:iCs/>
          <w:color w:val="212121"/>
          <w:sz w:val="24"/>
          <w:szCs w:val="24"/>
          <w:lang w:val="en-GB"/>
        </w:rPr>
        <w:t>Goal 5: Gender Equality and Goal 16: Peace, Justice and Strong Institutions</w:t>
      </w:r>
      <w:r w:rsidRPr="0039678C">
        <w:rPr>
          <w:rFonts w:eastAsia="Times New Roman" w:cstheme="minorHAnsi"/>
          <w:i/>
          <w:iCs/>
          <w:color w:val="212121"/>
          <w:sz w:val="24"/>
          <w:szCs w:val="24"/>
          <w:lang w:val="en-GB"/>
        </w:rPr>
        <w:t>;</w:t>
      </w:r>
    </w:p>
    <w:p w14:paraId="66C3FE0B" w14:textId="15C152B2"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Promoting sustainable and inclusive economic growth, full and productive employment and decent work for all</w:t>
      </w:r>
      <w:r w:rsidR="00447182">
        <w:rPr>
          <w:rFonts w:eastAsia="Times New Roman" w:cstheme="minorHAnsi"/>
          <w:i/>
          <w:iCs/>
          <w:color w:val="212121"/>
          <w:sz w:val="24"/>
          <w:szCs w:val="24"/>
          <w:lang w:val="en-GB"/>
        </w:rPr>
        <w:t xml:space="preserve"> – </w:t>
      </w:r>
      <w:r w:rsidR="00447182" w:rsidRPr="00447182">
        <w:rPr>
          <w:rFonts w:eastAsia="Times New Roman" w:cstheme="minorHAnsi"/>
          <w:b/>
          <w:i/>
          <w:iCs/>
          <w:color w:val="212121"/>
          <w:sz w:val="24"/>
          <w:szCs w:val="24"/>
          <w:lang w:val="en-GB"/>
        </w:rPr>
        <w:t>Goal 8: Decent Work and Economic Growth and Goal 11: Sustainable Cities and Communities</w:t>
      </w:r>
      <w:r w:rsidRPr="0039678C">
        <w:rPr>
          <w:rFonts w:eastAsia="Times New Roman" w:cstheme="minorHAnsi"/>
          <w:i/>
          <w:iCs/>
          <w:color w:val="212121"/>
          <w:sz w:val="24"/>
          <w:szCs w:val="24"/>
          <w:lang w:val="en-GB"/>
        </w:rPr>
        <w:t>;</w:t>
      </w:r>
    </w:p>
    <w:p w14:paraId="07F5E2F3" w14:textId="70E8DE7B"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 xml:space="preserve">Conservation of biodiversity, air and nature, water and waste management, innovative clean technologies, construction of treatment plants, waste processing plants and financing of </w:t>
      </w:r>
      <w:r w:rsidRPr="0039678C">
        <w:rPr>
          <w:rFonts w:eastAsia="Times New Roman" w:cstheme="minorHAnsi"/>
          <w:i/>
          <w:iCs/>
          <w:color w:val="212121"/>
          <w:sz w:val="24"/>
          <w:szCs w:val="24"/>
          <w:lang w:val="en-GB"/>
        </w:rPr>
        <w:lastRenderedPageBreak/>
        <w:t xml:space="preserve">activities related to the fulfilment of the criteria under Chapter 27 </w:t>
      </w:r>
      <w:r w:rsidR="004162CB">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 xml:space="preserve"> Environment</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13: Climate Action</w:t>
      </w:r>
      <w:r w:rsidRPr="0039678C">
        <w:rPr>
          <w:rFonts w:eastAsia="Times New Roman" w:cstheme="minorHAnsi"/>
          <w:i/>
          <w:iCs/>
          <w:color w:val="212121"/>
          <w:sz w:val="24"/>
          <w:szCs w:val="24"/>
          <w:lang w:val="en-GB"/>
        </w:rPr>
        <w:t>;</w:t>
      </w:r>
    </w:p>
    <w:p w14:paraId="6EC319D1" w14:textId="27BAA4E6" w:rsidR="009437FD" w:rsidRPr="006A66C7"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Improving the infrastructure and preparedness of medical institutions in Montenegro to respond to the COVID-19 pandemic</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3: Good Health and Well-being</w:t>
      </w:r>
      <w:r w:rsidRPr="0039678C">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8A2E4E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state institutions;</w:t>
      </w:r>
    </w:p>
    <w:p w14:paraId="6C33B09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municipalities;</w:t>
      </w:r>
    </w:p>
    <w:p w14:paraId="160A0EFC"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hospitals, polyclinics, health centers and their employees;</w:t>
      </w:r>
    </w:p>
    <w:p w14:paraId="1AED9EB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NGOs;</w:t>
      </w:r>
    </w:p>
    <w:p w14:paraId="28EE525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educational institutions;</w:t>
      </w:r>
    </w:p>
    <w:p w14:paraId="59D952C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pupils and students (including people with special needs and disadvantaged people);</w:t>
      </w:r>
    </w:p>
    <w:p w14:paraId="01499C93"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teachers and administrative staff of schools and universities;</w:t>
      </w:r>
    </w:p>
    <w:p w14:paraId="000865AF"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employees of the state and local administration;</w:t>
      </w:r>
    </w:p>
    <w:p w14:paraId="3C27B57E" w14:textId="1E05A584" w:rsidR="009437FD" w:rsidRPr="0039678C" w:rsidRDefault="0039678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9678C">
        <w:rPr>
          <w:rFonts w:eastAsia="Times New Roman" w:cstheme="minorHAnsi"/>
          <w:i/>
          <w:color w:val="212121"/>
          <w:sz w:val="24"/>
          <w:szCs w:val="24"/>
          <w:lang w:val="en"/>
        </w:rPr>
        <w:t>- people with disabilities, disadvantaged people or representatives of other vulnerable groups.</w:t>
      </w:r>
    </w:p>
    <w:p w14:paraId="02DD9B70" w14:textId="58774D58" w:rsidR="00793D48" w:rsidRPr="009437FD" w:rsidRDefault="00793D48"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26CB3A5"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socio-economic development and good governance, leading to sustainable and inclusive economic growth;</w:t>
      </w:r>
    </w:p>
    <w:p w14:paraId="0F349850"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the well-being and health of people;</w:t>
      </w:r>
    </w:p>
    <w:p w14:paraId="6FC3E098"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providing quality education;</w:t>
      </w:r>
    </w:p>
    <w:p w14:paraId="488C1583"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protection of human rights;</w:t>
      </w:r>
    </w:p>
    <w:p w14:paraId="41222AD1"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administrative capacity;</w:t>
      </w:r>
    </w:p>
    <w:p w14:paraId="149D705A" w14:textId="56D160CD" w:rsidR="00CB184B" w:rsidRPr="009437FD"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261074">
        <w:rPr>
          <w:rFonts w:eastAsia="Times New Roman" w:cstheme="minorHAnsi"/>
          <w:i/>
          <w:color w:val="212121"/>
          <w:sz w:val="24"/>
          <w:szCs w:val="24"/>
          <w:lang w:val="en"/>
        </w:rPr>
        <w:t>- affirmation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793D48">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56646EF7" w:rsidR="00CB184B"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C83778" w:rsidRPr="0039678C">
        <w:rPr>
          <w:rFonts w:eastAsia="Times New Roman" w:cstheme="minorHAnsi"/>
          <w:b/>
          <w:iCs/>
          <w:sz w:val="24"/>
          <w:szCs w:val="24"/>
          <w:lang w:val="en-GB"/>
        </w:rPr>
        <w:t>10</w:t>
      </w:r>
      <w:r w:rsidR="003D383B" w:rsidRPr="0039678C">
        <w:rPr>
          <w:rFonts w:eastAsia="Times New Roman" w:cstheme="minorHAnsi"/>
          <w:b/>
          <w:iCs/>
          <w:sz w:val="24"/>
          <w:szCs w:val="24"/>
          <w:lang w:val="en-GB"/>
        </w:rPr>
        <w:t xml:space="preserve"> 000 </w:t>
      </w:r>
      <w:r w:rsidRPr="0039678C">
        <w:rPr>
          <w:rFonts w:eastAsia="Times New Roman" w:cstheme="minorHAnsi"/>
          <w:b/>
          <w:iCs/>
          <w:sz w:val="24"/>
          <w:szCs w:val="24"/>
          <w:lang w:val="en-GB"/>
        </w:rPr>
        <w:t>BGN</w:t>
      </w:r>
      <w:r w:rsidR="0039678C" w:rsidRPr="0039678C">
        <w:rPr>
          <w:rFonts w:eastAsia="Times New Roman" w:cstheme="minorHAnsi"/>
          <w:b/>
          <w:iCs/>
          <w:sz w:val="24"/>
          <w:szCs w:val="24"/>
          <w:lang w:val="en-GB"/>
        </w:rPr>
        <w:t xml:space="preserve"> (5000 EUR)</w:t>
      </w:r>
      <w:r w:rsidRPr="0039678C">
        <w:rPr>
          <w:rFonts w:eastAsia="Times New Roman" w:cstheme="minorHAnsi"/>
          <w:b/>
          <w:iCs/>
          <w:sz w:val="24"/>
          <w:szCs w:val="24"/>
          <w:lang w:val="en-GB"/>
        </w:rPr>
        <w:t>.</w:t>
      </w:r>
    </w:p>
    <w:p w14:paraId="1FEED020" w14:textId="346AE3BE" w:rsidR="00754B52"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1747E136" w14:textId="77777777" w:rsidR="008B570D" w:rsidRPr="008B570D" w:rsidRDefault="006F3CB4" w:rsidP="00793D48">
      <w:pPr>
        <w:pStyle w:val="a4"/>
        <w:numPr>
          <w:ilvl w:val="0"/>
          <w:numId w:val="11"/>
        </w:numPr>
        <w:shd w:val="clear" w:color="auto" w:fill="FFFFFF"/>
        <w:spacing w:before="0" w:beforeAutospacing="0"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B570D">
        <w:rPr>
          <w:rStyle w:val="tlid-translation"/>
          <w:rFonts w:asciiTheme="minorHAnsi" w:hAnsiTheme="minorHAnsi" w:cstheme="minorHAnsi"/>
          <w:b/>
          <w:lang w:val="en-GB"/>
        </w:rPr>
        <w:t>u</w:t>
      </w:r>
      <w:r w:rsidR="008B570D" w:rsidRPr="008B570D">
        <w:rPr>
          <w:rStyle w:val="tlid-translation"/>
          <w:rFonts w:asciiTheme="minorHAnsi" w:hAnsiTheme="minorHAnsi" w:cstheme="minorHAnsi"/>
          <w:b/>
          <w:lang w:val="en-GB"/>
        </w:rPr>
        <w:t>p to 70 000 BGN (35 790 EUR)</w:t>
      </w:r>
      <w:r w:rsidR="008B570D">
        <w:rPr>
          <w:rStyle w:val="tlid-translation"/>
          <w:rFonts w:asciiTheme="minorHAnsi" w:hAnsiTheme="minorHAnsi" w:cstheme="minorHAnsi"/>
          <w:b/>
          <w:lang w:val="en-GB"/>
        </w:rPr>
        <w:t>;</w:t>
      </w:r>
    </w:p>
    <w:p w14:paraId="48CC0322" w14:textId="61635986" w:rsidR="003D6175" w:rsidRPr="008B570D" w:rsidRDefault="00036557" w:rsidP="00991749">
      <w:pPr>
        <w:pStyle w:val="a4"/>
        <w:numPr>
          <w:ilvl w:val="0"/>
          <w:numId w:val="11"/>
        </w:numPr>
        <w:spacing w:before="0" w:beforeAutospacing="0" w:after="0" w:afterAutospacing="0"/>
        <w:rPr>
          <w:rStyle w:val="tlid-translation"/>
          <w:rFonts w:asciiTheme="minorHAnsi" w:hAnsiTheme="minorHAnsi" w:cstheme="minorHAnsi"/>
          <w:lang w:val="en-GB"/>
        </w:rPr>
      </w:pPr>
      <w:r w:rsidRPr="008B570D">
        <w:rPr>
          <w:rStyle w:val="tlid-translation"/>
          <w:rFonts w:asciiTheme="minorHAnsi" w:hAnsiTheme="minorHAnsi" w:cstheme="minorHAnsi"/>
          <w:lang w:val="en-GB"/>
        </w:rPr>
        <w:t xml:space="preserve">for projects </w:t>
      </w:r>
      <w:r w:rsidR="004C5F14" w:rsidRPr="008B570D">
        <w:rPr>
          <w:rStyle w:val="tlid-translation"/>
          <w:rFonts w:asciiTheme="minorHAnsi" w:hAnsiTheme="minorHAnsi" w:cstheme="minorHAnsi"/>
          <w:lang w:val="en-GB"/>
        </w:rPr>
        <w:t>with</w:t>
      </w:r>
      <w:r w:rsidRPr="008B570D">
        <w:rPr>
          <w:rStyle w:val="tlid-translation"/>
          <w:rFonts w:asciiTheme="minorHAnsi" w:hAnsiTheme="minorHAnsi" w:cstheme="minorHAnsi"/>
          <w:lang w:val="en-GB"/>
        </w:rPr>
        <w:t xml:space="preserve"> main purpose to carry out repairs and /or construction </w:t>
      </w:r>
      <w:r w:rsidR="00BB7363" w:rsidRPr="008B570D">
        <w:rPr>
          <w:rStyle w:val="tlid-translation"/>
          <w:rFonts w:asciiTheme="minorHAnsi" w:hAnsiTheme="minorHAnsi" w:cstheme="minorHAnsi"/>
          <w:lang w:val="en-GB"/>
        </w:rPr>
        <w:t xml:space="preserve">activities </w:t>
      </w:r>
      <w:r w:rsidRPr="008B570D">
        <w:rPr>
          <w:rStyle w:val="tlid-translation"/>
          <w:rFonts w:asciiTheme="minorHAnsi" w:hAnsiTheme="minorHAnsi" w:cstheme="minorHAnsi"/>
          <w:lang w:val="en-GB"/>
        </w:rPr>
        <w:t xml:space="preserve">- </w:t>
      </w:r>
      <w:r w:rsidR="008B570D" w:rsidRPr="008B570D">
        <w:rPr>
          <w:rStyle w:val="tlid-translation"/>
          <w:rFonts w:asciiTheme="minorHAnsi" w:hAnsiTheme="minorHAnsi" w:cstheme="minorHAnsi"/>
          <w:b/>
          <w:lang w:val="en-GB"/>
        </w:rPr>
        <w:t>up to 120 000 BGN (61 355 EUR).</w:t>
      </w:r>
    </w:p>
    <w:p w14:paraId="4F029B87" w14:textId="0E0F1E7C" w:rsidR="00A323D1" w:rsidRPr="00554221" w:rsidRDefault="00A323D1" w:rsidP="00991749">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0880FB6C" w:rsidR="00A323D1" w:rsidRDefault="00A02F53" w:rsidP="00793D48">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573A102C" w14:textId="77777777" w:rsidR="00793D48" w:rsidRPr="008225FA" w:rsidRDefault="00793D48"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1B5EDA47" w14:textId="5F14C5AF" w:rsidR="00DC4C18" w:rsidRPr="00CD48F4" w:rsidRDefault="006810BF" w:rsidP="00CD48F4">
      <w:pPr>
        <w:shd w:val="clear" w:color="auto" w:fill="FFFFFF"/>
        <w:spacing w:after="0" w:line="240" w:lineRule="auto"/>
        <w:jc w:val="both"/>
        <w:rPr>
          <w:rFonts w:eastAsia="Times New Roman" w:cstheme="minorHAnsi"/>
          <w:b/>
          <w:color w:val="212121"/>
          <w:sz w:val="24"/>
          <w:szCs w:val="24"/>
          <w:lang w:val="en"/>
        </w:rPr>
      </w:pPr>
      <w:r w:rsidRPr="00325197">
        <w:rPr>
          <w:rFonts w:eastAsia="Times New Roman" w:cstheme="minorHAnsi"/>
          <w:color w:val="212121"/>
          <w:sz w:val="24"/>
          <w:szCs w:val="24"/>
          <w:lang w:val="en-GB"/>
        </w:rPr>
        <w:lastRenderedPageBreak/>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E2A1742" w14:textId="69444809" w:rsidR="00CE2175" w:rsidRPr="00325197" w:rsidRDefault="00E95F20" w:rsidP="00CD48F4">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687320C7" w14:textId="77777777"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Primary and secondary budget spenders - legal entities of Montenegro;</w:t>
      </w:r>
    </w:p>
    <w:p w14:paraId="23BD6F5A" w14:textId="3357317F"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and local non-governmental organizations;</w:t>
      </w:r>
    </w:p>
    <w:p w14:paraId="3565893E" w14:textId="6D6E96FA"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Municipalities and their associations;</w:t>
      </w:r>
    </w:p>
    <w:p w14:paraId="134ED62F" w14:textId="502505D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Educational, health and social institutions;</w:t>
      </w:r>
    </w:p>
    <w:p w14:paraId="527B8790" w14:textId="3AE63B9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humanitarian organisations;</w:t>
      </w:r>
    </w:p>
    <w:p w14:paraId="680C8BE2" w14:textId="45C1BBA9"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Other organizations or entities who do not hold political aims or have political participation and are not commercial by nature. </w:t>
      </w:r>
    </w:p>
    <w:p w14:paraId="253E0310" w14:textId="77777777" w:rsidR="008225FA" w:rsidRPr="00CF4AE6" w:rsidRDefault="008225FA" w:rsidP="00793D48">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lastRenderedPageBreak/>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proofErr w:type="gramStart"/>
      <w:r w:rsidR="00FE70C9" w:rsidRPr="00FE70C9">
        <w:rPr>
          <w:rStyle w:val="rynqvb"/>
          <w:sz w:val="24"/>
          <w:szCs w:val="24"/>
        </w:rPr>
        <w:t xml:space="preserve">; </w:t>
      </w:r>
      <w:r w:rsidRPr="00FE70C9">
        <w:rPr>
          <w:rStyle w:val="rynqvb"/>
          <w:sz w:val="24"/>
          <w:szCs w:val="24"/>
        </w:rPr>
        <w:t xml:space="preserve"> Construction</w:t>
      </w:r>
      <w:proofErr w:type="gramEnd"/>
      <w:r w:rsidRPr="00FE70C9">
        <w:rPr>
          <w:rStyle w:val="rynqvb"/>
          <w:sz w:val="24"/>
          <w:szCs w:val="24"/>
        </w:rPr>
        <w:t xml:space="preserve">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a4"/>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6E7A70C7" w:rsidR="008225FA" w:rsidRPr="008225FA" w:rsidRDefault="008225FA" w:rsidP="008225FA">
      <w:pPr>
        <w:pStyle w:val="a4"/>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a4"/>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a4"/>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a6"/>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A2579F"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a6"/>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1C48288"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14095B">
        <w:rPr>
          <w:rFonts w:cstheme="minorHAnsi"/>
          <w:color w:val="212121"/>
          <w:lang w:val="en-GB"/>
        </w:rPr>
        <w:t>Montenegro</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42D7BC42" w:rsidR="00926850" w:rsidRPr="00DD46C9" w:rsidRDefault="00DD46C9"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D46C9">
        <w:rPr>
          <w:rFonts w:eastAsia="Times New Roman" w:cstheme="minorHAnsi"/>
          <w:i/>
          <w:color w:val="212121"/>
          <w:sz w:val="24"/>
          <w:szCs w:val="24"/>
          <w:lang w:val="en-GB"/>
        </w:rPr>
        <w:t xml:space="preserve">Project proposals will be accepted </w:t>
      </w:r>
      <w:r w:rsidRPr="00DD46C9">
        <w:rPr>
          <w:rFonts w:eastAsia="Times New Roman" w:cstheme="minorHAnsi"/>
          <w:b/>
          <w:i/>
          <w:color w:val="212121"/>
          <w:sz w:val="24"/>
          <w:szCs w:val="24"/>
          <w:lang w:val="en-GB"/>
        </w:rPr>
        <w:t xml:space="preserve">until </w:t>
      </w:r>
      <w:r>
        <w:rPr>
          <w:rFonts w:eastAsia="Times New Roman" w:cstheme="minorHAnsi"/>
          <w:b/>
          <w:i/>
          <w:color w:val="212121"/>
          <w:sz w:val="24"/>
          <w:szCs w:val="24"/>
          <w:lang w:val="en-GB"/>
        </w:rPr>
        <w:t>30 May 2023</w:t>
      </w:r>
      <w:r w:rsidRPr="00DD46C9">
        <w:rPr>
          <w:rFonts w:eastAsia="Times New Roman" w:cstheme="minorHAnsi"/>
          <w:b/>
          <w:i/>
          <w:color w:val="212121"/>
          <w:sz w:val="24"/>
          <w:szCs w:val="24"/>
          <w:lang w:val="en-GB"/>
        </w:rPr>
        <w:t xml:space="preserve"> (inclusive)</w:t>
      </w:r>
      <w:r w:rsidRPr="00DD46C9">
        <w:rPr>
          <w:rFonts w:eastAsia="Times New Roman" w:cstheme="minorHAnsi"/>
          <w:i/>
          <w:color w:val="212121"/>
          <w:sz w:val="24"/>
          <w:szCs w:val="24"/>
          <w:lang w:val="en-GB"/>
        </w:rPr>
        <w:t xml:space="preserve"> at the Embassy of the Rep</w:t>
      </w:r>
      <w:r>
        <w:rPr>
          <w:rFonts w:eastAsia="Times New Roman" w:cstheme="minorHAnsi"/>
          <w:i/>
          <w:color w:val="212121"/>
          <w:sz w:val="24"/>
          <w:szCs w:val="24"/>
          <w:lang w:val="en-GB"/>
        </w:rPr>
        <w:t>ublic of Bulgaria to Montenegro e-mail</w:t>
      </w:r>
      <w:r w:rsidRPr="00DD46C9">
        <w:rPr>
          <w:rFonts w:eastAsia="Times New Roman" w:cstheme="minorHAnsi"/>
          <w:i/>
          <w:color w:val="212121"/>
          <w:sz w:val="24"/>
          <w:szCs w:val="24"/>
          <w:lang w:val="en-GB"/>
        </w:rPr>
        <w:t xml:space="preserve"> address: </w:t>
      </w:r>
      <w:hyperlink r:id="rId10" w:history="1">
        <w:r w:rsidRPr="00A6720C">
          <w:rPr>
            <w:rStyle w:val="a6"/>
            <w:rFonts w:eastAsia="Times New Roman" w:cstheme="minorHAnsi"/>
            <w:i/>
            <w:sz w:val="24"/>
            <w:szCs w:val="24"/>
            <w:lang w:val="en-GB"/>
          </w:rPr>
          <w:t>Embassy.Podgorica@mfa.bg</w:t>
        </w:r>
      </w:hyperlink>
      <w:r>
        <w:rPr>
          <w:rFonts w:eastAsia="Times New Roman" w:cstheme="minorHAnsi"/>
          <w:i/>
          <w:color w:val="212121"/>
          <w:sz w:val="24"/>
          <w:szCs w:val="24"/>
          <w:lang w:val="en-GB"/>
        </w:rPr>
        <w:t xml:space="preserve"> </w:t>
      </w:r>
      <w:r w:rsidRPr="00DD46C9">
        <w:rPr>
          <w:rFonts w:eastAsia="Times New Roman" w:cstheme="minorHAnsi"/>
          <w:i/>
          <w:color w:val="212121"/>
          <w:sz w:val="24"/>
          <w:szCs w:val="24"/>
          <w:lang w:val="en-GB"/>
        </w:rPr>
        <w:t>(</w:t>
      </w:r>
      <w:r w:rsidRPr="00DD46C9">
        <w:rPr>
          <w:rFonts w:eastAsia="Times New Roman" w:cstheme="minorHAnsi"/>
          <w:b/>
          <w:i/>
          <w:color w:val="212121"/>
          <w:sz w:val="24"/>
          <w:szCs w:val="24"/>
          <w:lang w:val="en-GB"/>
        </w:rPr>
        <w:t>both</w:t>
      </w:r>
      <w:r w:rsidRPr="00DD46C9">
        <w:rPr>
          <w:rFonts w:eastAsia="Times New Roman" w:cstheme="minorHAnsi"/>
          <w:i/>
          <w:color w:val="212121"/>
          <w:sz w:val="24"/>
          <w:szCs w:val="24"/>
          <w:lang w:val="en-GB"/>
        </w:rPr>
        <w:t xml:space="preserve"> </w:t>
      </w:r>
      <w:r w:rsidRPr="00DD46C9">
        <w:rPr>
          <w:rFonts w:eastAsia="Times New Roman" w:cstheme="minorHAnsi"/>
          <w:b/>
          <w:i/>
          <w:color w:val="212121"/>
          <w:sz w:val="24"/>
          <w:szCs w:val="24"/>
          <w:lang w:val="en-GB"/>
        </w:rPr>
        <w:t>in PDF and MS Word</w:t>
      </w:r>
      <w:r w:rsidRPr="00DD46C9">
        <w:rPr>
          <w:rFonts w:eastAsia="Times New Roman" w:cstheme="minorHAnsi"/>
          <w:i/>
          <w:color w:val="212121"/>
          <w:sz w:val="24"/>
          <w:szCs w:val="24"/>
          <w:lang w:val="en-GB"/>
        </w:rPr>
        <w:t xml:space="preserve"> - .doc, .</w:t>
      </w:r>
      <w:proofErr w:type="spellStart"/>
      <w:r w:rsidRPr="00DD46C9">
        <w:rPr>
          <w:rFonts w:eastAsia="Times New Roman" w:cstheme="minorHAnsi"/>
          <w:i/>
          <w:color w:val="212121"/>
          <w:sz w:val="24"/>
          <w:szCs w:val="24"/>
          <w:lang w:val="en-GB"/>
        </w:rPr>
        <w:t>docx</w:t>
      </w:r>
      <w:proofErr w:type="spellEnd"/>
      <w:r w:rsidRPr="00DD46C9">
        <w:rPr>
          <w:rFonts w:eastAsia="Times New Roman" w:cstheme="minorHAnsi"/>
          <w:i/>
          <w:color w:val="212121"/>
          <w:sz w:val="24"/>
          <w:szCs w:val="24"/>
          <w:lang w:val="en-GB"/>
        </w:rPr>
        <w:t xml:space="preserve">) </w:t>
      </w:r>
      <w:r>
        <w:rPr>
          <w:rFonts w:eastAsia="Times New Roman" w:cstheme="minorHAnsi"/>
          <w:i/>
          <w:color w:val="212121"/>
          <w:sz w:val="24"/>
          <w:szCs w:val="24"/>
          <w:lang w:val="en-GB"/>
        </w:rPr>
        <w:t xml:space="preserve">and should also be sent in original signed and stamped to: </w:t>
      </w:r>
      <w:r w:rsidRPr="00DD46C9">
        <w:rPr>
          <w:rFonts w:eastAsia="Times New Roman" w:cstheme="minorHAnsi"/>
          <w:i/>
          <w:color w:val="212121"/>
          <w:sz w:val="24"/>
          <w:szCs w:val="24"/>
          <w:lang w:val="en-GB"/>
        </w:rPr>
        <w:t xml:space="preserve">Podgorica, bul. Ivana </w:t>
      </w:r>
      <w:proofErr w:type="spellStart"/>
      <w:r w:rsidRPr="00DD46C9">
        <w:rPr>
          <w:rFonts w:eastAsia="Times New Roman" w:cstheme="minorHAnsi"/>
          <w:i/>
          <w:color w:val="212121"/>
          <w:sz w:val="24"/>
          <w:szCs w:val="24"/>
          <w:lang w:val="en-GB"/>
        </w:rPr>
        <w:t>Crnojevica</w:t>
      </w:r>
      <w:proofErr w:type="spellEnd"/>
      <w:r w:rsidRPr="00DD46C9">
        <w:rPr>
          <w:rFonts w:eastAsia="Times New Roman" w:cstheme="minorHAnsi"/>
          <w:i/>
          <w:color w:val="212121"/>
          <w:sz w:val="24"/>
          <w:szCs w:val="24"/>
          <w:lang w:val="en-GB"/>
        </w:rPr>
        <w:t xml:space="preserve"> 99/2</w:t>
      </w:r>
      <w:r>
        <w:rPr>
          <w:rFonts w:eastAsia="Times New Roman" w:cstheme="minorHAnsi"/>
          <w:i/>
          <w:color w:val="212121"/>
          <w:sz w:val="24"/>
          <w:szCs w:val="24"/>
          <w:lang w:val="en-GB"/>
        </w:rPr>
        <w:t>.</w:t>
      </w:r>
      <w:r w:rsidRPr="00DD46C9">
        <w:rPr>
          <w:rFonts w:eastAsia="Times New Roman" w:cstheme="minorHAnsi"/>
          <w:i/>
          <w:color w:val="212121"/>
          <w:sz w:val="24"/>
          <w:szCs w:val="24"/>
          <w:lang w:val="en-GB"/>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r w:rsidR="00CC0D15">
        <w:rPr>
          <w:rStyle w:val="rynqvb"/>
          <w:sz w:val="24"/>
          <w:szCs w:val="24"/>
          <w:lang w:val="en"/>
        </w:rPr>
        <w:t xml:space="preserve">Programme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0030EB81"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w:t>
      </w:r>
      <w:bookmarkStart w:id="0" w:name="_GoBack"/>
      <w:bookmarkEnd w:id="0"/>
      <w:r w:rsidRPr="00926850">
        <w:rPr>
          <w:rStyle w:val="tlid-translation"/>
          <w:sz w:val="24"/>
          <w:szCs w:val="24"/>
          <w:lang w:val="en-GB"/>
        </w:rPr>
        <w:t>n</w:t>
      </w:r>
      <w:r>
        <w:rPr>
          <w:rStyle w:val="tlid-translation"/>
          <w:sz w:val="24"/>
          <w:szCs w:val="24"/>
          <w:lang w:val="en-GB"/>
        </w:rPr>
        <w:t xml:space="preserve"> </w:t>
      </w:r>
      <w:r w:rsidR="008271CF" w:rsidRPr="00CE0C8C">
        <w:rPr>
          <w:rFonts w:cstheme="minorHAnsi"/>
          <w:color w:val="212121"/>
          <w:sz w:val="24"/>
          <w:lang w:val="en-GB"/>
        </w:rPr>
        <w:t xml:space="preserve">Montenegro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64BC" w14:textId="77777777" w:rsidR="00A2579F" w:rsidRDefault="00A2579F" w:rsidP="003E46F1">
      <w:pPr>
        <w:spacing w:after="0" w:line="240" w:lineRule="auto"/>
      </w:pPr>
      <w:r>
        <w:separator/>
      </w:r>
    </w:p>
  </w:endnote>
  <w:endnote w:type="continuationSeparator" w:id="0">
    <w:p w14:paraId="44AC8886" w14:textId="77777777" w:rsidR="00A2579F" w:rsidRDefault="00A2579F"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4B4B5BF" w:rsidR="007A7954" w:rsidRDefault="007A7954">
        <w:pPr>
          <w:pStyle w:val="af7"/>
          <w:jc w:val="center"/>
        </w:pPr>
        <w:r>
          <w:fldChar w:fldCharType="begin"/>
        </w:r>
        <w:r>
          <w:instrText xml:space="preserve"> PAGE   \* MERGEFORMAT </w:instrText>
        </w:r>
        <w:r>
          <w:fldChar w:fldCharType="separate"/>
        </w:r>
        <w:r w:rsidR="00CE0C8C">
          <w:rPr>
            <w:noProof/>
          </w:rPr>
          <w:t>8</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E1D24" w14:textId="77777777" w:rsidR="00A2579F" w:rsidRDefault="00A2579F" w:rsidP="003E46F1">
      <w:pPr>
        <w:spacing w:after="0" w:line="240" w:lineRule="auto"/>
      </w:pPr>
      <w:r>
        <w:separator/>
      </w:r>
    </w:p>
  </w:footnote>
  <w:footnote w:type="continuationSeparator" w:id="0">
    <w:p w14:paraId="0A230C7D" w14:textId="77777777" w:rsidR="00A2579F" w:rsidRDefault="00A2579F"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095B"/>
    <w:rsid w:val="001445D1"/>
    <w:rsid w:val="00151834"/>
    <w:rsid w:val="00156679"/>
    <w:rsid w:val="0016578E"/>
    <w:rsid w:val="0016641D"/>
    <w:rsid w:val="0017461F"/>
    <w:rsid w:val="00176FE2"/>
    <w:rsid w:val="00182362"/>
    <w:rsid w:val="0019009E"/>
    <w:rsid w:val="00190FA0"/>
    <w:rsid w:val="00195027"/>
    <w:rsid w:val="001A1179"/>
    <w:rsid w:val="001A3B32"/>
    <w:rsid w:val="001B3B61"/>
    <w:rsid w:val="001C6EE5"/>
    <w:rsid w:val="001C7329"/>
    <w:rsid w:val="001D1D81"/>
    <w:rsid w:val="001D674B"/>
    <w:rsid w:val="001E535E"/>
    <w:rsid w:val="001E6A0E"/>
    <w:rsid w:val="00202479"/>
    <w:rsid w:val="00220D70"/>
    <w:rsid w:val="00222C05"/>
    <w:rsid w:val="00226C4A"/>
    <w:rsid w:val="00226D16"/>
    <w:rsid w:val="002279D2"/>
    <w:rsid w:val="002310AA"/>
    <w:rsid w:val="00261074"/>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9678C"/>
    <w:rsid w:val="003B106F"/>
    <w:rsid w:val="003B61BC"/>
    <w:rsid w:val="003D383B"/>
    <w:rsid w:val="003D6175"/>
    <w:rsid w:val="003D68E9"/>
    <w:rsid w:val="003E2E59"/>
    <w:rsid w:val="003E46F1"/>
    <w:rsid w:val="00403339"/>
    <w:rsid w:val="00403775"/>
    <w:rsid w:val="0041066A"/>
    <w:rsid w:val="004162CB"/>
    <w:rsid w:val="004249B4"/>
    <w:rsid w:val="00440E41"/>
    <w:rsid w:val="00447182"/>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A66C7"/>
    <w:rsid w:val="006B2799"/>
    <w:rsid w:val="006B7BDC"/>
    <w:rsid w:val="006D3A0D"/>
    <w:rsid w:val="006F3CB4"/>
    <w:rsid w:val="00705933"/>
    <w:rsid w:val="0071166B"/>
    <w:rsid w:val="00734E60"/>
    <w:rsid w:val="00754B52"/>
    <w:rsid w:val="00773F2E"/>
    <w:rsid w:val="00776D81"/>
    <w:rsid w:val="00780B28"/>
    <w:rsid w:val="007937AA"/>
    <w:rsid w:val="00793D48"/>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271CF"/>
    <w:rsid w:val="00833378"/>
    <w:rsid w:val="00837C58"/>
    <w:rsid w:val="00843AC8"/>
    <w:rsid w:val="0086609E"/>
    <w:rsid w:val="00896D8E"/>
    <w:rsid w:val="008975A0"/>
    <w:rsid w:val="008A00F0"/>
    <w:rsid w:val="008B570D"/>
    <w:rsid w:val="008B6F1C"/>
    <w:rsid w:val="008C6984"/>
    <w:rsid w:val="008D49E9"/>
    <w:rsid w:val="0090759E"/>
    <w:rsid w:val="00926850"/>
    <w:rsid w:val="00935EFD"/>
    <w:rsid w:val="009437FD"/>
    <w:rsid w:val="00953829"/>
    <w:rsid w:val="0095606D"/>
    <w:rsid w:val="0097308E"/>
    <w:rsid w:val="009749A6"/>
    <w:rsid w:val="00975BA8"/>
    <w:rsid w:val="009831F6"/>
    <w:rsid w:val="00991749"/>
    <w:rsid w:val="0099314B"/>
    <w:rsid w:val="009B327C"/>
    <w:rsid w:val="009C3EE1"/>
    <w:rsid w:val="009C7279"/>
    <w:rsid w:val="009F1DF5"/>
    <w:rsid w:val="009F1F38"/>
    <w:rsid w:val="009F2B56"/>
    <w:rsid w:val="00A02F53"/>
    <w:rsid w:val="00A04C0D"/>
    <w:rsid w:val="00A200EF"/>
    <w:rsid w:val="00A2065C"/>
    <w:rsid w:val="00A22BCC"/>
    <w:rsid w:val="00A2579F"/>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76658"/>
    <w:rsid w:val="00B9176B"/>
    <w:rsid w:val="00B93894"/>
    <w:rsid w:val="00BA1059"/>
    <w:rsid w:val="00BA7F7F"/>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48F4"/>
    <w:rsid w:val="00CD6079"/>
    <w:rsid w:val="00CD6767"/>
    <w:rsid w:val="00CE0C8C"/>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6C9"/>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3EB"/>
    <w:rsid w:val="00EC2E95"/>
    <w:rsid w:val="00EC777C"/>
    <w:rsid w:val="00EE0328"/>
    <w:rsid w:val="00F10AAB"/>
    <w:rsid w:val="00F11136"/>
    <w:rsid w:val="00F810C5"/>
    <w:rsid w:val="00F93201"/>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02F53"/>
  </w:style>
  <w:style w:type="character" w:customStyle="1" w:styleId="hwtze">
    <w:name w:val="hwtze"/>
    <w:basedOn w:val="a0"/>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Podgoric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B134A65-466E-4759-95C5-D3DB8C9E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30</cp:revision>
  <cp:lastPrinted>2019-03-21T13:40:00Z</cp:lastPrinted>
  <dcterms:created xsi:type="dcterms:W3CDTF">2023-04-10T12:19:00Z</dcterms:created>
  <dcterms:modified xsi:type="dcterms:W3CDTF">2023-04-18T09:30:00Z</dcterms:modified>
</cp:coreProperties>
</file>