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30" w:rsidRPr="00B9367A" w:rsidRDefault="00F56730" w:rsidP="00F56730">
      <w:pPr>
        <w:spacing w:after="0" w:line="240" w:lineRule="auto"/>
        <w:jc w:val="both"/>
        <w:rPr>
          <w:rFonts w:eastAsia="GillSansMT" w:cstheme="minorHAnsi"/>
          <w:color w:val="000000"/>
          <w:lang w:val="en-GB" w:eastAsia="zh-CN" w:bidi="ar"/>
        </w:rPr>
      </w:pPr>
    </w:p>
    <w:p w:rsidR="00F56730" w:rsidRPr="004A4CAC" w:rsidRDefault="00F56730" w:rsidP="00F56730">
      <w:pPr>
        <w:spacing w:after="0" w:line="240" w:lineRule="auto"/>
        <w:jc w:val="center"/>
        <w:rPr>
          <w:rFonts w:cstheme="minorHAnsi"/>
          <w:b/>
          <w:sz w:val="32"/>
          <w:szCs w:val="32"/>
          <w:lang w:val="en-GB"/>
        </w:rPr>
      </w:pPr>
      <w:r w:rsidRPr="004A4CAC">
        <w:rPr>
          <w:rFonts w:cstheme="minorHAnsi"/>
          <w:b/>
          <w:sz w:val="32"/>
          <w:szCs w:val="32"/>
          <w:lang w:val="en-GB"/>
        </w:rPr>
        <w:t xml:space="preserve">The list of </w:t>
      </w:r>
      <w:r w:rsidR="00DB7899">
        <w:rPr>
          <w:rFonts w:cstheme="minorHAnsi"/>
          <w:b/>
          <w:sz w:val="32"/>
          <w:szCs w:val="32"/>
          <w:lang w:val="en-GB"/>
        </w:rPr>
        <w:t xml:space="preserve">suggested </w:t>
      </w:r>
      <w:r w:rsidRPr="004A4CAC">
        <w:rPr>
          <w:rFonts w:cstheme="minorHAnsi"/>
          <w:b/>
          <w:sz w:val="32"/>
          <w:szCs w:val="32"/>
          <w:lang w:val="en-GB"/>
        </w:rPr>
        <w:t>essay</w:t>
      </w:r>
      <w:r w:rsidR="00B0316C">
        <w:rPr>
          <w:rFonts w:cstheme="minorHAnsi"/>
          <w:b/>
          <w:sz w:val="32"/>
          <w:szCs w:val="32"/>
          <w:lang w:val="en-GB"/>
        </w:rPr>
        <w:t>s’</w:t>
      </w:r>
      <w:r w:rsidRPr="004A4CAC">
        <w:rPr>
          <w:rFonts w:cstheme="minorHAnsi"/>
          <w:b/>
          <w:sz w:val="32"/>
          <w:szCs w:val="32"/>
          <w:lang w:val="en-GB"/>
        </w:rPr>
        <w:t xml:space="preserve"> topics in accordance with the ANETREC </w:t>
      </w:r>
      <w:r w:rsidR="00F01CF8">
        <w:rPr>
          <w:rFonts w:cstheme="minorHAnsi"/>
          <w:b/>
          <w:sz w:val="32"/>
          <w:szCs w:val="32"/>
          <w:lang w:val="en-GB"/>
        </w:rPr>
        <w:t xml:space="preserve">project contents </w:t>
      </w:r>
    </w:p>
    <w:p w:rsidR="004A4CAC" w:rsidRDefault="004A4CAC" w:rsidP="004A4CAC">
      <w:pPr>
        <w:spacing w:after="0" w:line="240" w:lineRule="auto"/>
        <w:jc w:val="center"/>
        <w:rPr>
          <w:rFonts w:cstheme="minorHAnsi"/>
          <w:lang w:val="en-GB"/>
        </w:rPr>
      </w:pPr>
    </w:p>
    <w:p w:rsidR="00B71B42" w:rsidRPr="00F01CF8" w:rsidRDefault="004A4CAC" w:rsidP="0039277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B9367A">
        <w:rPr>
          <w:rFonts w:cstheme="minorHAnsi"/>
          <w:lang w:val="en-GB"/>
        </w:rPr>
        <w:t>The list is not mandatory</w:t>
      </w:r>
      <w:r w:rsidR="00F01CF8">
        <w:rPr>
          <w:rFonts w:cstheme="minorHAnsi"/>
          <w:lang w:val="en-GB"/>
        </w:rPr>
        <w:t>;</w:t>
      </w:r>
      <w:r w:rsidRPr="00B9367A">
        <w:rPr>
          <w:rFonts w:cstheme="minorHAnsi"/>
          <w:lang w:val="en-GB"/>
        </w:rPr>
        <w:t xml:space="preserve"> students can select another topic that represent the specific problem of her / his country in relation with the EU policy of WB6 enlargement</w:t>
      </w:r>
      <w:r w:rsidR="00392773">
        <w:rPr>
          <w:rFonts w:cstheme="minorHAnsi"/>
          <w:lang w:val="en-GB"/>
        </w:rPr>
        <w:t xml:space="preserve">. </w:t>
      </w:r>
      <w:bookmarkStart w:id="0" w:name="_GoBack"/>
      <w:bookmarkEnd w:id="0"/>
      <w:r w:rsidR="008F489B" w:rsidRPr="00F01CF8">
        <w:rPr>
          <w:rFonts w:cstheme="minorHAnsi"/>
          <w:b/>
          <w:sz w:val="24"/>
          <w:szCs w:val="24"/>
          <w:lang w:val="en-GB"/>
        </w:rPr>
        <w:t>Focus should be on students` innovative ideas</w:t>
      </w:r>
      <w:r w:rsidR="00037047">
        <w:rPr>
          <w:rFonts w:cstheme="minorHAnsi"/>
          <w:b/>
          <w:sz w:val="24"/>
          <w:szCs w:val="24"/>
          <w:lang w:val="en-GB"/>
        </w:rPr>
        <w:t xml:space="preserve"> and</w:t>
      </w:r>
      <w:r w:rsidR="00BE640E" w:rsidRPr="00F01CF8">
        <w:rPr>
          <w:rFonts w:cstheme="minorHAnsi"/>
          <w:b/>
          <w:sz w:val="24"/>
          <w:szCs w:val="24"/>
          <w:lang w:val="en-GB"/>
        </w:rPr>
        <w:t xml:space="preserve"> fresh approaches</w:t>
      </w:r>
    </w:p>
    <w:p w:rsidR="001159ED" w:rsidRPr="00F01CF8" w:rsidRDefault="001159ED" w:rsidP="00B71B42">
      <w:pPr>
        <w:spacing w:after="0" w:line="240" w:lineRule="auto"/>
        <w:jc w:val="both"/>
        <w:rPr>
          <w:rFonts w:eastAsia="GillSansMT-Bold" w:cstheme="minorHAnsi"/>
          <w:bCs/>
          <w:color w:val="000000"/>
          <w:sz w:val="24"/>
          <w:szCs w:val="24"/>
          <w:lang w:val="en-GB" w:eastAsia="zh-CN"/>
        </w:rPr>
      </w:pPr>
    </w:p>
    <w:p w:rsidR="00BA2690" w:rsidRPr="00AA563D" w:rsidRDefault="00BA2690" w:rsidP="00BA2690">
      <w:pPr>
        <w:numPr>
          <w:ilvl w:val="0"/>
          <w:numId w:val="9"/>
        </w:numPr>
        <w:spacing w:after="0" w:line="240" w:lineRule="auto"/>
        <w:jc w:val="both"/>
        <w:rPr>
          <w:rFonts w:eastAsia="GillSansMT-Bold" w:cstheme="minorHAnsi"/>
          <w:b/>
          <w:color w:val="000000"/>
          <w:lang w:val="en-GB" w:eastAsia="zh-CN"/>
        </w:rPr>
      </w:pPr>
      <w:r w:rsidRPr="00AA563D">
        <w:rPr>
          <w:rFonts w:eastAsia="GillSansMT-Bold" w:cstheme="minorHAnsi"/>
          <w:b/>
          <w:color w:val="000000"/>
          <w:lang w:val="en-GB" w:eastAsia="zh-CN"/>
        </w:rPr>
        <w:t xml:space="preserve">EU policy toward Western Balkans </w:t>
      </w:r>
    </w:p>
    <w:p w:rsidR="00BA2690" w:rsidRPr="00AA563D" w:rsidRDefault="00BA2690" w:rsidP="00BA2690">
      <w:pPr>
        <w:spacing w:after="0" w:line="240" w:lineRule="auto"/>
        <w:jc w:val="both"/>
        <w:rPr>
          <w:rFonts w:eastAsia="GillSansMT-Bold" w:cstheme="minorHAnsi"/>
          <w:b/>
          <w:color w:val="000000"/>
          <w:lang w:val="en-GB" w:eastAsia="zh-CN"/>
        </w:rPr>
      </w:pPr>
    </w:p>
    <w:p w:rsidR="00BA2690" w:rsidRPr="00AA563D" w:rsidRDefault="00BA2690" w:rsidP="00915C2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AA563D">
        <w:rPr>
          <w:rFonts w:cstheme="minorHAnsi"/>
          <w:bCs/>
          <w:lang w:val="en-GB"/>
        </w:rPr>
        <w:t xml:space="preserve">The EU policy toward the Western Balkans countries – </w:t>
      </w:r>
      <w:r w:rsidR="00915C2D" w:rsidRPr="00AA563D">
        <w:rPr>
          <w:rFonts w:cstheme="minorHAnsi"/>
          <w:bCs/>
          <w:lang w:val="en-GB"/>
        </w:rPr>
        <w:t>current and future challenges</w:t>
      </w:r>
      <w:r w:rsidR="00DA6A2C" w:rsidRPr="00AA563D">
        <w:rPr>
          <w:rFonts w:cstheme="minorHAnsi"/>
          <w:bCs/>
          <w:lang w:val="en-GB"/>
        </w:rPr>
        <w:t xml:space="preserve"> </w:t>
      </w:r>
    </w:p>
    <w:p w:rsidR="00DA6A2C" w:rsidRPr="00AA563D" w:rsidRDefault="00DA6A2C" w:rsidP="00DA6A2C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AA563D">
        <w:rPr>
          <w:rFonts w:cstheme="minorHAnsi"/>
          <w:bCs/>
          <w:lang w:val="en-GB"/>
        </w:rPr>
        <w:t xml:space="preserve">The benefits and weak points of the European integration </w:t>
      </w:r>
      <w:r w:rsidR="004A4CAC">
        <w:rPr>
          <w:rFonts w:cstheme="minorHAnsi"/>
          <w:bCs/>
          <w:lang w:val="en-GB"/>
        </w:rPr>
        <w:t>of</w:t>
      </w:r>
      <w:r w:rsidRPr="00AA563D">
        <w:rPr>
          <w:rFonts w:cstheme="minorHAnsi"/>
          <w:bCs/>
          <w:lang w:val="en-GB"/>
        </w:rPr>
        <w:t xml:space="preserve"> my country </w:t>
      </w:r>
    </w:p>
    <w:p w:rsidR="00915C2D" w:rsidRPr="00AA563D" w:rsidRDefault="00915C2D" w:rsidP="001704F1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AA563D">
        <w:rPr>
          <w:rFonts w:cstheme="minorHAnsi"/>
          <w:bCs/>
          <w:lang w:val="en-GB"/>
        </w:rPr>
        <w:t>The Berlin Initiative</w:t>
      </w:r>
      <w:r w:rsidR="00200558" w:rsidRPr="00AA563D">
        <w:rPr>
          <w:rFonts w:cstheme="minorHAnsi"/>
          <w:bCs/>
          <w:lang w:val="en-GB"/>
        </w:rPr>
        <w:t xml:space="preserve"> - the</w:t>
      </w:r>
      <w:r w:rsidRPr="00AA563D">
        <w:rPr>
          <w:rFonts w:cstheme="minorHAnsi"/>
          <w:bCs/>
          <w:lang w:val="en-GB"/>
        </w:rPr>
        <w:t xml:space="preserve"> Ge</w:t>
      </w:r>
      <w:r w:rsidR="00200558" w:rsidRPr="00AA563D">
        <w:rPr>
          <w:rFonts w:cstheme="minorHAnsi"/>
          <w:bCs/>
          <w:lang w:val="en-GB"/>
        </w:rPr>
        <w:t xml:space="preserve">rman </w:t>
      </w:r>
      <w:r w:rsidR="00DA6A2C" w:rsidRPr="00AA563D">
        <w:rPr>
          <w:rFonts w:cstheme="minorHAnsi"/>
          <w:bCs/>
          <w:lang w:val="en-GB"/>
        </w:rPr>
        <w:t xml:space="preserve">sponsored project regarding </w:t>
      </w:r>
      <w:r w:rsidR="00200558" w:rsidRPr="00AA563D">
        <w:rPr>
          <w:rFonts w:cstheme="minorHAnsi"/>
          <w:bCs/>
          <w:lang w:val="en-GB"/>
        </w:rPr>
        <w:t>Western Balkans`</w:t>
      </w:r>
      <w:r w:rsidRPr="00AA563D">
        <w:rPr>
          <w:rFonts w:cstheme="minorHAnsi"/>
          <w:bCs/>
          <w:lang w:val="en-GB"/>
        </w:rPr>
        <w:t xml:space="preserve"> European integration process</w:t>
      </w:r>
    </w:p>
    <w:p w:rsidR="00BA2690" w:rsidRPr="00AA563D" w:rsidRDefault="009C698E" w:rsidP="00BA2690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AA563D">
        <w:rPr>
          <w:rFonts w:cstheme="minorHAnsi"/>
          <w:bCs/>
          <w:lang w:val="en-GB"/>
        </w:rPr>
        <w:t xml:space="preserve">Regional cooperation between WB countries in the context of </w:t>
      </w:r>
      <w:r w:rsidR="00200558" w:rsidRPr="00AA563D">
        <w:rPr>
          <w:rFonts w:cstheme="minorHAnsi"/>
          <w:bCs/>
          <w:lang w:val="en-GB"/>
        </w:rPr>
        <w:t xml:space="preserve">the </w:t>
      </w:r>
      <w:r w:rsidRPr="00AA563D">
        <w:rPr>
          <w:rFonts w:cstheme="minorHAnsi"/>
          <w:bCs/>
          <w:lang w:val="en-GB"/>
        </w:rPr>
        <w:t xml:space="preserve">EU </w:t>
      </w:r>
      <w:r w:rsidR="004A4CAC">
        <w:rPr>
          <w:rFonts w:cstheme="minorHAnsi"/>
          <w:bCs/>
          <w:lang w:val="en-GB"/>
        </w:rPr>
        <w:t xml:space="preserve"> WB 6 </w:t>
      </w:r>
      <w:r w:rsidRPr="00AA563D">
        <w:rPr>
          <w:rFonts w:cstheme="minorHAnsi"/>
          <w:bCs/>
          <w:lang w:val="en-GB"/>
        </w:rPr>
        <w:t xml:space="preserve">enlargement </w:t>
      </w:r>
    </w:p>
    <w:p w:rsidR="00915C2D" w:rsidRPr="00AA563D" w:rsidRDefault="00DA6A2C" w:rsidP="00915C2D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70C0"/>
          <w:lang w:val="en-GB"/>
        </w:rPr>
      </w:pPr>
      <w:r w:rsidRPr="00AA563D">
        <w:rPr>
          <w:rFonts w:cstheme="minorHAnsi"/>
          <w:bCs/>
          <w:lang w:val="en-GB"/>
        </w:rPr>
        <w:t>I</w:t>
      </w:r>
      <w:r w:rsidR="00915C2D" w:rsidRPr="00AA563D">
        <w:rPr>
          <w:rFonts w:cstheme="minorHAnsi"/>
          <w:bCs/>
          <w:lang w:val="en-GB"/>
        </w:rPr>
        <w:t xml:space="preserve">nitiatives </w:t>
      </w:r>
      <w:r w:rsidRPr="00AA563D">
        <w:rPr>
          <w:rFonts w:cstheme="minorHAnsi"/>
          <w:bCs/>
          <w:lang w:val="en-GB"/>
        </w:rPr>
        <w:t xml:space="preserve">for regional cooperation that could contribute to </w:t>
      </w:r>
      <w:r w:rsidR="00915C2D" w:rsidRPr="00AA563D">
        <w:rPr>
          <w:rFonts w:cstheme="minorHAnsi"/>
          <w:bCs/>
          <w:lang w:val="en-GB"/>
        </w:rPr>
        <w:t>reconciliation</w:t>
      </w:r>
      <w:r w:rsidRPr="00AA563D">
        <w:rPr>
          <w:rFonts w:cstheme="minorHAnsi"/>
          <w:bCs/>
          <w:lang w:val="en-GB"/>
        </w:rPr>
        <w:t xml:space="preserve"> between nations and states of WB</w:t>
      </w:r>
    </w:p>
    <w:p w:rsidR="00ED4F60" w:rsidRDefault="00ED4F60" w:rsidP="00ED4F60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AA563D">
        <w:rPr>
          <w:rFonts w:cstheme="minorHAnsi"/>
          <w:bCs/>
          <w:lang w:val="en-GB"/>
        </w:rPr>
        <w:t xml:space="preserve">The </w:t>
      </w:r>
      <w:r w:rsidR="00AA563D">
        <w:rPr>
          <w:rFonts w:cstheme="minorHAnsi"/>
          <w:bCs/>
          <w:lang w:val="en-GB"/>
        </w:rPr>
        <w:t xml:space="preserve">policy of </w:t>
      </w:r>
      <w:r w:rsidRPr="00AA563D">
        <w:rPr>
          <w:rFonts w:cstheme="minorHAnsi"/>
          <w:bCs/>
          <w:lang w:val="en-GB"/>
        </w:rPr>
        <w:t xml:space="preserve">non-EU countries or actors </w:t>
      </w:r>
      <w:r w:rsidR="00AA563D">
        <w:rPr>
          <w:rFonts w:cstheme="minorHAnsi"/>
          <w:bCs/>
          <w:lang w:val="en-GB"/>
        </w:rPr>
        <w:t>towards the Western Balkans region and countries (select one of them)</w:t>
      </w:r>
    </w:p>
    <w:p w:rsidR="00AA563D" w:rsidRDefault="00AA563D" w:rsidP="00ED4F60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What should be the role of Croatia in the realisation of the EU policy towards WB 6</w:t>
      </w:r>
    </w:p>
    <w:p w:rsidR="00AA563D" w:rsidRPr="00AA563D" w:rsidRDefault="00AA563D" w:rsidP="00ED4F60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What should be the role of Slovenia in the realisation of the EU policy towards WB 6</w:t>
      </w:r>
    </w:p>
    <w:p w:rsidR="00BA2690" w:rsidRPr="00AA563D" w:rsidRDefault="00BA2690" w:rsidP="00BA2690">
      <w:pPr>
        <w:pStyle w:val="Odstavekseznama"/>
        <w:spacing w:after="0" w:line="240" w:lineRule="auto"/>
        <w:ind w:left="0"/>
        <w:jc w:val="both"/>
        <w:rPr>
          <w:rFonts w:cstheme="minorHAnsi"/>
          <w:bCs/>
          <w:lang w:val="en-GB"/>
        </w:rPr>
      </w:pPr>
    </w:p>
    <w:p w:rsidR="00BA2690" w:rsidRDefault="00BA2690" w:rsidP="00BA269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Reconciliation in the post-conflict environment in the Western Balkans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F01CF8" w:rsidRDefault="004A4CAC" w:rsidP="00086D1B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F01CF8">
        <w:rPr>
          <w:rFonts w:cstheme="minorHAnsi"/>
          <w:bCs/>
          <w:lang w:val="en-GB"/>
        </w:rPr>
        <w:t xml:space="preserve">The reconciliation and peace building – what should be done in finding solutions for particular conflict situation (students should </w:t>
      </w:r>
      <w:r w:rsidR="00F01CF8" w:rsidRPr="00F01CF8">
        <w:rPr>
          <w:rFonts w:cstheme="minorHAnsi"/>
          <w:bCs/>
          <w:lang w:val="en-GB"/>
        </w:rPr>
        <w:t xml:space="preserve">write a case </w:t>
      </w:r>
      <w:r w:rsidRPr="00F01CF8">
        <w:rPr>
          <w:rFonts w:cstheme="minorHAnsi"/>
          <w:bCs/>
          <w:lang w:val="en-GB"/>
        </w:rPr>
        <w:t>study related to the existent conflict situations</w:t>
      </w:r>
      <w:r w:rsidR="00F01CF8" w:rsidRPr="00F01CF8">
        <w:rPr>
          <w:rFonts w:cstheme="minorHAnsi"/>
          <w:bCs/>
          <w:lang w:val="en-GB"/>
        </w:rPr>
        <w:t xml:space="preserve"> as are </w:t>
      </w:r>
      <w:r w:rsidRPr="00F01CF8">
        <w:rPr>
          <w:rFonts w:cstheme="minorHAnsi"/>
          <w:bCs/>
          <w:lang w:val="en-GB"/>
        </w:rPr>
        <w:t>borders</w:t>
      </w:r>
      <w:r w:rsidR="00F01CF8" w:rsidRPr="00F01CF8">
        <w:rPr>
          <w:rFonts w:cstheme="minorHAnsi"/>
          <w:bCs/>
          <w:lang w:val="en-GB"/>
        </w:rPr>
        <w:t xml:space="preserve"> disputes</w:t>
      </w:r>
      <w:r w:rsidRPr="00F01CF8">
        <w:rPr>
          <w:rFonts w:cstheme="minorHAnsi"/>
          <w:bCs/>
          <w:lang w:val="en-GB"/>
        </w:rPr>
        <w:t xml:space="preserve">, mutual recognition, the legal system in the Adriatic </w:t>
      </w:r>
      <w:proofErr w:type="gramStart"/>
      <w:r w:rsidRPr="00F01CF8">
        <w:rPr>
          <w:rFonts w:cstheme="minorHAnsi"/>
          <w:bCs/>
          <w:lang w:val="en-GB"/>
        </w:rPr>
        <w:t>sea</w:t>
      </w:r>
      <w:proofErr w:type="gramEnd"/>
      <w:r w:rsidRPr="00F01CF8">
        <w:rPr>
          <w:rFonts w:cstheme="minorHAnsi"/>
          <w:bCs/>
          <w:lang w:val="en-GB"/>
        </w:rPr>
        <w:t>, economic discrimination, divided cities, respect of minorities’ rights, and similar issues)</w:t>
      </w:r>
      <w:r w:rsidR="00F01CF8" w:rsidRPr="00F01CF8">
        <w:rPr>
          <w:rFonts w:cstheme="minorHAnsi"/>
          <w:bCs/>
          <w:lang w:val="en-GB"/>
        </w:rPr>
        <w:t>.</w:t>
      </w:r>
    </w:p>
    <w:p w:rsidR="00BA2690" w:rsidRPr="00F01CF8" w:rsidRDefault="00BA2690" w:rsidP="00086D1B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F01CF8">
        <w:rPr>
          <w:rFonts w:cstheme="minorHAnsi"/>
          <w:bCs/>
          <w:lang w:val="en-GB"/>
        </w:rPr>
        <w:t xml:space="preserve">The role of </w:t>
      </w:r>
      <w:r w:rsidR="00BE640E" w:rsidRPr="00F01CF8">
        <w:rPr>
          <w:rFonts w:cstheme="minorHAnsi"/>
          <w:bCs/>
          <w:lang w:val="en-GB"/>
        </w:rPr>
        <w:t xml:space="preserve">the </w:t>
      </w:r>
      <w:r w:rsidRPr="00F01CF8">
        <w:rPr>
          <w:rFonts w:cstheme="minorHAnsi"/>
          <w:bCs/>
          <w:lang w:val="en-GB"/>
        </w:rPr>
        <w:t>EU in reconciliation processes between the Western Balkans countries</w:t>
      </w:r>
    </w:p>
    <w:p w:rsidR="00BA2690" w:rsidRDefault="00BA2690" w:rsidP="00BA2690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The role of civil society in the developing reconciliation processes and good </w:t>
      </w:r>
    </w:p>
    <w:p w:rsidR="00BA2690" w:rsidRDefault="00BE640E" w:rsidP="00BA2690">
      <w:pPr>
        <w:spacing w:after="0" w:line="240" w:lineRule="auto"/>
        <w:ind w:firstLine="420"/>
        <w:jc w:val="both"/>
        <w:rPr>
          <w:rFonts w:cstheme="minorHAnsi"/>
          <w:bCs/>
          <w:lang w:val="en-GB"/>
        </w:rPr>
      </w:pPr>
      <w:proofErr w:type="gramStart"/>
      <w:r>
        <w:rPr>
          <w:rFonts w:cstheme="minorHAnsi"/>
          <w:bCs/>
          <w:lang w:val="en-GB"/>
        </w:rPr>
        <w:t>neighbourhoo</w:t>
      </w:r>
      <w:r w:rsidR="00BA2690">
        <w:rPr>
          <w:rFonts w:cstheme="minorHAnsi"/>
          <w:bCs/>
          <w:lang w:val="en-GB"/>
        </w:rPr>
        <w:t>d</w:t>
      </w:r>
      <w:proofErr w:type="gramEnd"/>
      <w:r w:rsidR="00BA2690">
        <w:rPr>
          <w:rFonts w:cstheme="minorHAnsi"/>
          <w:bCs/>
          <w:lang w:val="en-GB"/>
        </w:rPr>
        <w:t xml:space="preserve"> relations between the Western Balkans </w:t>
      </w:r>
      <w:r w:rsidR="009D4709">
        <w:rPr>
          <w:rFonts w:cstheme="minorHAnsi"/>
          <w:bCs/>
          <w:lang w:val="en-GB"/>
        </w:rPr>
        <w:t>nations and countries</w:t>
      </w:r>
    </w:p>
    <w:p w:rsidR="00BA2690" w:rsidRDefault="00BA2690" w:rsidP="00BA2690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The role of youth in</w:t>
      </w:r>
      <w:r w:rsidR="00BE640E">
        <w:rPr>
          <w:rFonts w:cstheme="minorHAnsi"/>
          <w:bCs/>
          <w:lang w:val="en-GB"/>
        </w:rPr>
        <w:t xml:space="preserve"> developing reconciliation and good </w:t>
      </w:r>
      <w:r>
        <w:rPr>
          <w:rFonts w:cstheme="minorHAnsi"/>
          <w:bCs/>
          <w:lang w:val="en-GB"/>
        </w:rPr>
        <w:t xml:space="preserve">relations between the </w:t>
      </w:r>
    </w:p>
    <w:p w:rsidR="00BA2690" w:rsidRDefault="00BA2690" w:rsidP="00BA2690">
      <w:pPr>
        <w:spacing w:after="0" w:line="240" w:lineRule="auto"/>
        <w:ind w:firstLine="420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Western Balkans </w:t>
      </w:r>
      <w:r w:rsidR="009D4709">
        <w:rPr>
          <w:rFonts w:cstheme="minorHAnsi"/>
          <w:bCs/>
          <w:lang w:val="en-GB"/>
        </w:rPr>
        <w:t xml:space="preserve">nations and </w:t>
      </w:r>
      <w:r>
        <w:rPr>
          <w:rFonts w:cstheme="minorHAnsi"/>
          <w:bCs/>
          <w:lang w:val="en-GB"/>
        </w:rPr>
        <w:t>countries</w:t>
      </w:r>
    </w:p>
    <w:p w:rsidR="00BA2690" w:rsidRDefault="00BA2690" w:rsidP="00BA2690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Cross</w:t>
      </w:r>
      <w:r w:rsidR="00ED4F60">
        <w:rPr>
          <w:rFonts w:cstheme="minorHAnsi"/>
          <w:bCs/>
          <w:lang w:val="en-GB"/>
        </w:rPr>
        <w:t>-</w:t>
      </w:r>
      <w:r>
        <w:rPr>
          <w:rFonts w:cstheme="minorHAnsi"/>
          <w:bCs/>
          <w:lang w:val="en-GB"/>
        </w:rPr>
        <w:t>border cooperation as a way of developing reconciliation, cooperation and good neighbourhood relations between the Western Balkans countries.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Cs/>
          <w:lang w:val="en-GB"/>
        </w:rPr>
      </w:pPr>
    </w:p>
    <w:p w:rsidR="00BA2690" w:rsidRDefault="00BA2690" w:rsidP="00BA269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Multiculturalism and ethnicity</w:t>
      </w:r>
    </w:p>
    <w:p w:rsidR="00BA2690" w:rsidRDefault="00BA2690" w:rsidP="007330C6">
      <w:pPr>
        <w:tabs>
          <w:tab w:val="left" w:pos="425"/>
        </w:tabs>
        <w:spacing w:after="0" w:line="240" w:lineRule="auto"/>
        <w:ind w:left="425"/>
        <w:jc w:val="both"/>
        <w:rPr>
          <w:rFonts w:cstheme="minorHAnsi"/>
          <w:bCs/>
          <w:lang w:val="en-GB"/>
        </w:rPr>
      </w:pPr>
    </w:p>
    <w:p w:rsidR="004E2F5D" w:rsidRDefault="00611844" w:rsidP="000F3525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4E2F5D">
        <w:rPr>
          <w:rFonts w:cstheme="minorHAnsi"/>
          <w:bCs/>
          <w:lang w:val="en-GB"/>
        </w:rPr>
        <w:t xml:space="preserve">The </w:t>
      </w:r>
      <w:r w:rsidR="004E2F5D" w:rsidRPr="004E2F5D">
        <w:rPr>
          <w:rFonts w:cstheme="minorHAnsi"/>
          <w:bCs/>
          <w:lang w:val="en-GB"/>
        </w:rPr>
        <w:t xml:space="preserve">theoretical and legal </w:t>
      </w:r>
      <w:r w:rsidRPr="004E2F5D">
        <w:rPr>
          <w:rFonts w:cstheme="minorHAnsi"/>
          <w:bCs/>
          <w:lang w:val="en-GB"/>
        </w:rPr>
        <w:t>concept</w:t>
      </w:r>
      <w:r w:rsidR="004E2F5D">
        <w:rPr>
          <w:rFonts w:cstheme="minorHAnsi"/>
          <w:bCs/>
          <w:lang w:val="en-GB"/>
        </w:rPr>
        <w:t>s</w:t>
      </w:r>
      <w:r w:rsidRPr="004E2F5D">
        <w:rPr>
          <w:rFonts w:cstheme="minorHAnsi"/>
          <w:bCs/>
          <w:lang w:val="en-GB"/>
        </w:rPr>
        <w:t xml:space="preserve"> </w:t>
      </w:r>
      <w:r w:rsidR="008F489B" w:rsidRPr="004E2F5D">
        <w:rPr>
          <w:rFonts w:cstheme="minorHAnsi"/>
          <w:bCs/>
          <w:lang w:val="en-GB"/>
        </w:rPr>
        <w:t>and practice</w:t>
      </w:r>
      <w:r w:rsidR="004E2F5D">
        <w:rPr>
          <w:rFonts w:cstheme="minorHAnsi"/>
          <w:bCs/>
          <w:lang w:val="en-GB"/>
        </w:rPr>
        <w:t>s</w:t>
      </w:r>
      <w:r w:rsidR="008F489B" w:rsidRPr="004E2F5D">
        <w:rPr>
          <w:rFonts w:cstheme="minorHAnsi"/>
          <w:bCs/>
          <w:lang w:val="en-GB"/>
        </w:rPr>
        <w:t xml:space="preserve"> </w:t>
      </w:r>
      <w:r w:rsidRPr="004E2F5D">
        <w:rPr>
          <w:rFonts w:cstheme="minorHAnsi"/>
          <w:bCs/>
          <w:lang w:val="en-GB"/>
        </w:rPr>
        <w:t>of multiculturalism</w:t>
      </w:r>
      <w:r w:rsidR="00ED4F60" w:rsidRPr="004E2F5D">
        <w:rPr>
          <w:rFonts w:cstheme="minorHAnsi"/>
          <w:bCs/>
          <w:lang w:val="en-GB"/>
        </w:rPr>
        <w:t xml:space="preserve"> in the Western Balkan</w:t>
      </w:r>
      <w:r w:rsidR="00200558" w:rsidRPr="004E2F5D">
        <w:rPr>
          <w:rFonts w:cstheme="minorHAnsi"/>
          <w:bCs/>
          <w:lang w:val="en-GB"/>
        </w:rPr>
        <w:t>s</w:t>
      </w:r>
      <w:r w:rsidR="00E37F16" w:rsidRPr="004E2F5D">
        <w:rPr>
          <w:rFonts w:cstheme="minorHAnsi"/>
          <w:bCs/>
          <w:lang w:val="en-GB"/>
        </w:rPr>
        <w:t xml:space="preserve"> countr</w:t>
      </w:r>
      <w:r w:rsidR="00ED4F60" w:rsidRPr="004E2F5D">
        <w:rPr>
          <w:rFonts w:cstheme="minorHAnsi"/>
          <w:bCs/>
          <w:lang w:val="en-GB"/>
        </w:rPr>
        <w:t>ies</w:t>
      </w:r>
    </w:p>
    <w:p w:rsidR="00BA2690" w:rsidRPr="004E2F5D" w:rsidRDefault="00BA2690" w:rsidP="000F3525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4E2F5D">
        <w:rPr>
          <w:rFonts w:cstheme="minorHAnsi"/>
          <w:bCs/>
          <w:lang w:val="en-GB"/>
        </w:rPr>
        <w:t xml:space="preserve">The contribution of multicultural policies to the stability of Western Balkans </w:t>
      </w:r>
    </w:p>
    <w:p w:rsidR="00BA2690" w:rsidRDefault="004E2F5D" w:rsidP="008F489B">
      <w:pPr>
        <w:spacing w:after="0" w:line="240" w:lineRule="auto"/>
        <w:ind w:firstLine="420"/>
        <w:jc w:val="both"/>
        <w:rPr>
          <w:rFonts w:cstheme="minorHAnsi"/>
          <w:bCs/>
          <w:lang w:val="en-GB"/>
        </w:rPr>
      </w:pPr>
      <w:proofErr w:type="gramStart"/>
      <w:r>
        <w:rPr>
          <w:rFonts w:cstheme="minorHAnsi"/>
          <w:bCs/>
          <w:lang w:val="en-GB"/>
        </w:rPr>
        <w:t>countries</w:t>
      </w:r>
      <w:proofErr w:type="gramEnd"/>
      <w:r>
        <w:rPr>
          <w:rFonts w:cstheme="minorHAnsi"/>
          <w:bCs/>
          <w:lang w:val="en-GB"/>
        </w:rPr>
        <w:t xml:space="preserve"> (</w:t>
      </w:r>
      <w:r w:rsidR="00BE640E">
        <w:rPr>
          <w:rFonts w:cstheme="minorHAnsi"/>
          <w:bCs/>
          <w:lang w:val="en-GB"/>
        </w:rPr>
        <w:t xml:space="preserve">a </w:t>
      </w:r>
      <w:r w:rsidR="008F489B" w:rsidRPr="008F489B">
        <w:rPr>
          <w:rFonts w:cstheme="minorHAnsi"/>
          <w:bCs/>
          <w:lang w:val="en-GB"/>
        </w:rPr>
        <w:t>particular case study to be chosen</w:t>
      </w:r>
      <w:r w:rsidR="008F489B">
        <w:rPr>
          <w:rFonts w:cstheme="minorHAnsi"/>
          <w:bCs/>
          <w:lang w:val="en-GB"/>
        </w:rPr>
        <w:t>)</w:t>
      </w:r>
    </w:p>
    <w:p w:rsidR="004E2F5D" w:rsidRPr="004E2F5D" w:rsidRDefault="004E2F5D" w:rsidP="004E2F5D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4E2F5D">
        <w:rPr>
          <w:rFonts w:cstheme="minorHAnsi"/>
          <w:bCs/>
          <w:lang w:val="en-GB"/>
        </w:rPr>
        <w:t>The legal and factual position of national minorities in my country- challenges and ideas for improvement</w:t>
      </w:r>
    </w:p>
    <w:p w:rsidR="00BA2690" w:rsidRPr="001704F1" w:rsidRDefault="00BA2690" w:rsidP="001704F1">
      <w:pPr>
        <w:pStyle w:val="Odstavekseznama"/>
        <w:numPr>
          <w:ilvl w:val="0"/>
          <w:numId w:val="12"/>
        </w:numPr>
        <w:spacing w:after="0" w:line="240" w:lineRule="auto"/>
        <w:ind w:left="432" w:hanging="432"/>
        <w:rPr>
          <w:lang w:val="en-GB"/>
        </w:rPr>
      </w:pPr>
      <w:r w:rsidRPr="001704F1">
        <w:rPr>
          <w:rFonts w:cstheme="minorHAnsi"/>
          <w:bCs/>
          <w:lang w:val="en-GB"/>
        </w:rPr>
        <w:lastRenderedPageBreak/>
        <w:t xml:space="preserve">The role of national minorities in developing good neighbourhood relations between </w:t>
      </w:r>
      <w:r w:rsidR="00ED4F60" w:rsidRPr="001704F1">
        <w:rPr>
          <w:rFonts w:cstheme="minorHAnsi"/>
          <w:bCs/>
          <w:lang w:val="en-GB"/>
        </w:rPr>
        <w:t xml:space="preserve"> </w:t>
      </w:r>
      <w:r w:rsidRPr="001704F1">
        <w:rPr>
          <w:lang w:val="en-GB"/>
        </w:rPr>
        <w:t>Western Balkan countries</w:t>
      </w:r>
    </w:p>
    <w:p w:rsidR="00ED4F60" w:rsidRDefault="00611844" w:rsidP="001704F1">
      <w:pPr>
        <w:numPr>
          <w:ilvl w:val="0"/>
          <w:numId w:val="12"/>
        </w:numPr>
        <w:spacing w:after="0" w:line="240" w:lineRule="auto"/>
        <w:ind w:left="432" w:hanging="432"/>
        <w:jc w:val="both"/>
        <w:rPr>
          <w:rFonts w:cstheme="minorHAnsi"/>
          <w:bCs/>
          <w:lang w:val="en-GB"/>
        </w:rPr>
      </w:pPr>
      <w:r w:rsidRPr="009D025E">
        <w:rPr>
          <w:rFonts w:cstheme="minorHAnsi"/>
          <w:bCs/>
          <w:lang w:val="en-GB"/>
        </w:rPr>
        <w:t>Language’s policy</w:t>
      </w:r>
      <w:r w:rsidR="004E2F5D">
        <w:rPr>
          <w:rFonts w:cstheme="minorHAnsi"/>
          <w:bCs/>
          <w:lang w:val="en-GB"/>
        </w:rPr>
        <w:t xml:space="preserve"> </w:t>
      </w:r>
      <w:r w:rsidRPr="009D025E">
        <w:rPr>
          <w:rFonts w:cstheme="minorHAnsi"/>
          <w:bCs/>
          <w:lang w:val="en-GB"/>
        </w:rPr>
        <w:t>as</w:t>
      </w:r>
      <w:r w:rsidR="008F489B">
        <w:rPr>
          <w:rFonts w:cstheme="minorHAnsi"/>
          <w:bCs/>
          <w:lang w:val="en-GB"/>
        </w:rPr>
        <w:t xml:space="preserve"> source of con</w:t>
      </w:r>
      <w:r w:rsidR="00BE640E">
        <w:rPr>
          <w:rFonts w:cstheme="minorHAnsi"/>
          <w:bCs/>
          <w:lang w:val="en-GB"/>
        </w:rPr>
        <w:t xml:space="preserve">flicts </w:t>
      </w:r>
      <w:r w:rsidR="004E2F5D">
        <w:rPr>
          <w:rFonts w:cstheme="minorHAnsi"/>
          <w:bCs/>
          <w:lang w:val="en-GB"/>
        </w:rPr>
        <w:t xml:space="preserve">or a tool for </w:t>
      </w:r>
      <w:r w:rsidR="00BE640E">
        <w:rPr>
          <w:rFonts w:cstheme="minorHAnsi"/>
          <w:bCs/>
          <w:lang w:val="en-GB"/>
        </w:rPr>
        <w:t>reconciliation</w:t>
      </w:r>
      <w:r w:rsidR="004E2F5D">
        <w:rPr>
          <w:rFonts w:cstheme="minorHAnsi"/>
          <w:bCs/>
          <w:lang w:val="en-GB"/>
        </w:rPr>
        <w:t xml:space="preserve">  within or between Western Balkans countries </w:t>
      </w:r>
      <w:r w:rsidR="00BE640E">
        <w:rPr>
          <w:rFonts w:cstheme="minorHAnsi"/>
          <w:bCs/>
          <w:lang w:val="en-GB"/>
        </w:rPr>
        <w:t xml:space="preserve"> (a</w:t>
      </w:r>
      <w:r w:rsidR="004E2F5D">
        <w:rPr>
          <w:rFonts w:cstheme="minorHAnsi"/>
          <w:bCs/>
          <w:lang w:val="en-GB"/>
        </w:rPr>
        <w:t xml:space="preserve"> particular </w:t>
      </w:r>
      <w:r w:rsidR="008F489B">
        <w:rPr>
          <w:rFonts w:cstheme="minorHAnsi"/>
          <w:bCs/>
          <w:lang w:val="en-GB"/>
        </w:rPr>
        <w:t>case study to be chosen)</w:t>
      </w:r>
    </w:p>
    <w:p w:rsidR="009A1B9C" w:rsidRPr="007330C6" w:rsidRDefault="009A1B9C" w:rsidP="007330C6">
      <w:pPr>
        <w:tabs>
          <w:tab w:val="left" w:pos="425"/>
        </w:tabs>
        <w:spacing w:after="0" w:line="240" w:lineRule="auto"/>
        <w:ind w:left="425"/>
        <w:jc w:val="both"/>
        <w:rPr>
          <w:rFonts w:cstheme="minorHAnsi"/>
          <w:b/>
          <w:lang w:val="en-GB"/>
        </w:rPr>
      </w:pPr>
    </w:p>
    <w:p w:rsidR="00BA2690" w:rsidRPr="009A1B9C" w:rsidRDefault="00BA2690" w:rsidP="009A1B9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lang w:val="en-GB"/>
        </w:rPr>
      </w:pPr>
      <w:r w:rsidRPr="009A1B9C">
        <w:rPr>
          <w:rFonts w:cstheme="minorHAnsi"/>
          <w:b/>
          <w:lang w:val="en-GB"/>
        </w:rPr>
        <w:t xml:space="preserve">Protection of </w:t>
      </w:r>
      <w:r w:rsidR="00E73F4B">
        <w:rPr>
          <w:rFonts w:cstheme="minorHAnsi"/>
          <w:b/>
          <w:lang w:val="en-GB"/>
        </w:rPr>
        <w:t>h</w:t>
      </w:r>
      <w:r w:rsidRPr="009A1B9C">
        <w:rPr>
          <w:rFonts w:cstheme="minorHAnsi"/>
          <w:b/>
          <w:lang w:val="en-GB"/>
        </w:rPr>
        <w:t xml:space="preserve">uman rights and non-discrimination 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C37B2C" w:rsidRPr="00E73F4B" w:rsidRDefault="00200558" w:rsidP="00611844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E73F4B">
        <w:rPr>
          <w:rFonts w:cstheme="minorHAnsi"/>
          <w:bCs/>
          <w:lang w:val="en-GB"/>
        </w:rPr>
        <w:t>Protection of human r</w:t>
      </w:r>
      <w:r w:rsidR="00C37B2C" w:rsidRPr="00E73F4B">
        <w:rPr>
          <w:rFonts w:cstheme="minorHAnsi"/>
          <w:bCs/>
          <w:lang w:val="en-GB"/>
        </w:rPr>
        <w:t xml:space="preserve">ights and </w:t>
      </w:r>
      <w:r w:rsidR="00E73F4B">
        <w:rPr>
          <w:rFonts w:cstheme="minorHAnsi"/>
          <w:bCs/>
          <w:lang w:val="en-GB"/>
        </w:rPr>
        <w:t xml:space="preserve">of </w:t>
      </w:r>
      <w:r w:rsidR="00C37B2C" w:rsidRPr="00E73F4B">
        <w:rPr>
          <w:rFonts w:cstheme="minorHAnsi"/>
          <w:bCs/>
          <w:lang w:val="en-GB"/>
        </w:rPr>
        <w:t xml:space="preserve">non-discrimination in the context of the EU integration process in my country – what </w:t>
      </w:r>
      <w:r w:rsidR="00E73F4B" w:rsidRPr="00E73F4B">
        <w:rPr>
          <w:rFonts w:cstheme="minorHAnsi"/>
          <w:bCs/>
          <w:lang w:val="en-GB"/>
        </w:rPr>
        <w:t xml:space="preserve">has been </w:t>
      </w:r>
      <w:r w:rsidR="00C37B2C" w:rsidRPr="00E73F4B">
        <w:rPr>
          <w:rFonts w:cstheme="minorHAnsi"/>
          <w:bCs/>
          <w:lang w:val="en-GB"/>
        </w:rPr>
        <w:t xml:space="preserve">and what </w:t>
      </w:r>
      <w:r w:rsidR="004A5CE7">
        <w:rPr>
          <w:rFonts w:cstheme="minorHAnsi"/>
          <w:bCs/>
          <w:lang w:val="en-GB"/>
        </w:rPr>
        <w:t>is necessary to do</w:t>
      </w:r>
      <w:r w:rsidR="00BE640E" w:rsidRPr="00E73F4B">
        <w:rPr>
          <w:rFonts w:cstheme="minorHAnsi"/>
          <w:bCs/>
          <w:lang w:val="en-GB"/>
        </w:rPr>
        <w:t>?</w:t>
      </w:r>
    </w:p>
    <w:p w:rsidR="00E73F4B" w:rsidRDefault="008F489B" w:rsidP="00BA2690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E73F4B">
        <w:rPr>
          <w:rFonts w:cstheme="minorHAnsi"/>
          <w:bCs/>
          <w:lang w:val="en-GB"/>
        </w:rPr>
        <w:t xml:space="preserve">How to overcome </w:t>
      </w:r>
      <w:r w:rsidR="00E73F4B">
        <w:rPr>
          <w:rFonts w:cstheme="minorHAnsi"/>
          <w:bCs/>
          <w:lang w:val="en-GB"/>
        </w:rPr>
        <w:t xml:space="preserve">the </w:t>
      </w:r>
      <w:r w:rsidR="00611844" w:rsidRPr="00E73F4B">
        <w:rPr>
          <w:rFonts w:cstheme="minorHAnsi"/>
          <w:bCs/>
          <w:lang w:val="en-GB"/>
        </w:rPr>
        <w:t>discrimination</w:t>
      </w:r>
      <w:r w:rsidR="00E73F4B">
        <w:rPr>
          <w:rFonts w:cstheme="minorHAnsi"/>
          <w:bCs/>
          <w:lang w:val="en-GB"/>
        </w:rPr>
        <w:t xml:space="preserve"> </w:t>
      </w:r>
      <w:r w:rsidR="004A5CE7">
        <w:rPr>
          <w:rFonts w:cstheme="minorHAnsi"/>
          <w:bCs/>
          <w:lang w:val="en-GB"/>
        </w:rPr>
        <w:t xml:space="preserve">in my country </w:t>
      </w:r>
      <w:r w:rsidR="00E73F4B">
        <w:rPr>
          <w:rFonts w:cstheme="minorHAnsi"/>
          <w:bCs/>
          <w:lang w:val="en-GB"/>
        </w:rPr>
        <w:t xml:space="preserve">based on </w:t>
      </w:r>
      <w:r w:rsidR="00611844" w:rsidRPr="00E73F4B">
        <w:rPr>
          <w:rFonts w:cstheme="minorHAnsi"/>
          <w:bCs/>
          <w:lang w:val="en-GB"/>
        </w:rPr>
        <w:t>race, sex, age, ethnicity</w:t>
      </w:r>
      <w:r w:rsidR="004A5CE7">
        <w:rPr>
          <w:rFonts w:cstheme="minorHAnsi"/>
          <w:bCs/>
          <w:lang w:val="en-GB"/>
        </w:rPr>
        <w:t xml:space="preserve">, </w:t>
      </w:r>
      <w:r w:rsidR="00E73F4B">
        <w:rPr>
          <w:rFonts w:cstheme="minorHAnsi"/>
          <w:bCs/>
          <w:lang w:val="en-GB"/>
        </w:rPr>
        <w:t>social position</w:t>
      </w:r>
      <w:r w:rsidR="004A5CE7">
        <w:rPr>
          <w:rFonts w:cstheme="minorHAnsi"/>
          <w:bCs/>
          <w:lang w:val="en-GB"/>
        </w:rPr>
        <w:t>?</w:t>
      </w:r>
    </w:p>
    <w:p w:rsidR="00BA2690" w:rsidRDefault="00E73F4B" w:rsidP="00BA2690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 United Nations, Council of Europe and </w:t>
      </w:r>
      <w:r w:rsidR="008F489B">
        <w:rPr>
          <w:rFonts w:cstheme="minorHAnsi"/>
          <w:bCs/>
          <w:lang w:val="en-GB"/>
        </w:rPr>
        <w:t xml:space="preserve">EU </w:t>
      </w:r>
      <w:r w:rsidR="00BA2690">
        <w:rPr>
          <w:rFonts w:cstheme="minorHAnsi"/>
          <w:bCs/>
          <w:lang w:val="en-GB"/>
        </w:rPr>
        <w:t>standards on human rights and non-discrimination</w:t>
      </w:r>
      <w:r w:rsidR="008F489B">
        <w:rPr>
          <w:rFonts w:cstheme="minorHAnsi"/>
          <w:bCs/>
          <w:lang w:val="en-GB"/>
        </w:rPr>
        <w:t xml:space="preserve"> </w:t>
      </w:r>
      <w:r>
        <w:rPr>
          <w:rFonts w:cstheme="minorHAnsi"/>
          <w:bCs/>
          <w:lang w:val="en-GB"/>
        </w:rPr>
        <w:t>-</w:t>
      </w:r>
      <w:r w:rsidR="008F489B">
        <w:rPr>
          <w:rFonts w:cstheme="minorHAnsi"/>
          <w:bCs/>
          <w:lang w:val="en-GB"/>
        </w:rPr>
        <w:t xml:space="preserve"> how to enhance their implementation in WB</w:t>
      </w:r>
      <w:r w:rsidR="00C37B2C">
        <w:rPr>
          <w:rFonts w:cstheme="minorHAnsi"/>
          <w:bCs/>
          <w:lang w:val="en-GB"/>
        </w:rPr>
        <w:t xml:space="preserve"> countries</w:t>
      </w:r>
    </w:p>
    <w:p w:rsidR="00611844" w:rsidRPr="00D303AA" w:rsidRDefault="004A5CE7" w:rsidP="00D303AA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D303AA">
        <w:rPr>
          <w:rFonts w:cstheme="minorHAnsi"/>
          <w:bCs/>
          <w:lang w:val="en-GB"/>
        </w:rPr>
        <w:t>The position of national minorities in the legal system of my country</w:t>
      </w:r>
      <w:r>
        <w:rPr>
          <w:rFonts w:cstheme="minorHAnsi"/>
          <w:bCs/>
          <w:lang w:val="en-GB"/>
        </w:rPr>
        <w:t xml:space="preserve"> – how to surpass the gap </w:t>
      </w:r>
      <w:r w:rsidR="00D303AA" w:rsidRPr="00D303AA">
        <w:rPr>
          <w:rFonts w:cstheme="minorHAnsi"/>
          <w:bCs/>
          <w:lang w:val="en-GB"/>
        </w:rPr>
        <w:t xml:space="preserve">between </w:t>
      </w:r>
      <w:r>
        <w:rPr>
          <w:rFonts w:cstheme="minorHAnsi"/>
          <w:bCs/>
          <w:lang w:val="en-GB"/>
        </w:rPr>
        <w:t>the adopted legal and other norms and their implementation</w:t>
      </w:r>
      <w:r w:rsidR="00D303AA" w:rsidRPr="00D303AA">
        <w:rPr>
          <w:rFonts w:cstheme="minorHAnsi"/>
          <w:bCs/>
          <w:lang w:val="en-GB"/>
        </w:rPr>
        <w:t xml:space="preserve"> </w:t>
      </w:r>
    </w:p>
    <w:p w:rsidR="00FA33A4" w:rsidRPr="00FA33A4" w:rsidRDefault="00FA33A4" w:rsidP="00FA33A4">
      <w:pPr>
        <w:spacing w:after="0" w:line="240" w:lineRule="auto"/>
        <w:ind w:firstLineChars="200" w:firstLine="440"/>
        <w:jc w:val="both"/>
        <w:rPr>
          <w:rFonts w:cstheme="minorHAnsi"/>
          <w:bCs/>
          <w:lang w:val="en-GB"/>
        </w:rPr>
      </w:pPr>
    </w:p>
    <w:p w:rsidR="00BA2690" w:rsidRDefault="00BA2690" w:rsidP="00BA269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 Religion in the process of reconciliation in Western Balkans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/>
          <w:bCs/>
          <w:lang w:val="en-GB"/>
        </w:rPr>
      </w:pPr>
    </w:p>
    <w:p w:rsidR="00BA2690" w:rsidRDefault="00BA2690" w:rsidP="00BA269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US"/>
        </w:rPr>
        <w:t>Inter-religious</w:t>
      </w:r>
      <w:r w:rsidR="00200558">
        <w:rPr>
          <w:rFonts w:cstheme="minorHAnsi"/>
          <w:bCs/>
          <w:lang w:val="en-GB"/>
        </w:rPr>
        <w:t xml:space="preserve"> dialogue as the factor of</w:t>
      </w:r>
      <w:r w:rsidR="00FA33A4">
        <w:rPr>
          <w:rFonts w:cstheme="minorHAnsi"/>
          <w:bCs/>
          <w:lang w:val="en-GB"/>
        </w:rPr>
        <w:t xml:space="preserve"> developing good</w:t>
      </w:r>
      <w:r>
        <w:rPr>
          <w:rFonts w:cstheme="minorHAnsi"/>
          <w:bCs/>
          <w:lang w:val="en-GB"/>
        </w:rPr>
        <w:t xml:space="preserve"> relations between the </w:t>
      </w:r>
    </w:p>
    <w:p w:rsidR="00BA2690" w:rsidRDefault="00BA2690" w:rsidP="00BA2690">
      <w:pPr>
        <w:spacing w:after="0" w:line="240" w:lineRule="auto"/>
        <w:ind w:firstLine="420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Western Balkans countries</w:t>
      </w:r>
    </w:p>
    <w:p w:rsidR="00BA2690" w:rsidRDefault="00BA2690" w:rsidP="00BA269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US"/>
        </w:rPr>
        <w:t xml:space="preserve">Main religion communities and their </w:t>
      </w:r>
      <w:r w:rsidR="004A5CE7">
        <w:rPr>
          <w:rFonts w:cstheme="minorHAnsi"/>
          <w:bCs/>
          <w:lang w:val="en-GB"/>
        </w:rPr>
        <w:t>position</w:t>
      </w:r>
      <w:r>
        <w:rPr>
          <w:rFonts w:cstheme="minorHAnsi"/>
          <w:bCs/>
          <w:lang w:val="en-GB"/>
        </w:rPr>
        <w:t xml:space="preserve"> towards the reconciliation process</w:t>
      </w:r>
      <w:r w:rsidR="004A5CE7">
        <w:rPr>
          <w:rFonts w:cstheme="minorHAnsi"/>
          <w:bCs/>
          <w:lang w:val="en-GB"/>
        </w:rPr>
        <w:t>es</w:t>
      </w:r>
      <w:r>
        <w:rPr>
          <w:rFonts w:cstheme="minorHAnsi"/>
          <w:bCs/>
          <w:lang w:val="en-GB"/>
        </w:rPr>
        <w:t xml:space="preserve"> in Western Balkans </w:t>
      </w:r>
    </w:p>
    <w:p w:rsidR="00FA33A4" w:rsidRPr="00B61C27" w:rsidRDefault="009A1B9C" w:rsidP="001704F1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lang w:val="en-GB"/>
        </w:rPr>
      </w:pPr>
      <w:r w:rsidRPr="009D025E">
        <w:rPr>
          <w:rFonts w:cstheme="minorHAnsi"/>
          <w:bCs/>
          <w:lang w:val="en-GB"/>
        </w:rPr>
        <w:t xml:space="preserve">The role of religious communities in developing stability </w:t>
      </w:r>
      <w:r w:rsidR="00C37B2C">
        <w:rPr>
          <w:rFonts w:cstheme="minorHAnsi"/>
          <w:bCs/>
          <w:lang w:val="en-GB"/>
        </w:rPr>
        <w:t>in</w:t>
      </w:r>
      <w:r w:rsidRPr="009D025E">
        <w:rPr>
          <w:rFonts w:cstheme="minorHAnsi"/>
          <w:bCs/>
          <w:lang w:val="en-GB"/>
        </w:rPr>
        <w:t xml:space="preserve"> my country </w:t>
      </w:r>
    </w:p>
    <w:p w:rsidR="00FA33A4" w:rsidRPr="00FA33A4" w:rsidRDefault="00FA33A4" w:rsidP="00FA33A4">
      <w:pPr>
        <w:pStyle w:val="Odstavekseznama"/>
        <w:tabs>
          <w:tab w:val="left" w:pos="425"/>
        </w:tabs>
        <w:spacing w:after="0" w:line="240" w:lineRule="auto"/>
        <w:ind w:left="425"/>
        <w:jc w:val="both"/>
        <w:rPr>
          <w:rFonts w:cstheme="minorHAnsi"/>
          <w:b/>
          <w:lang w:val="en-GB"/>
        </w:rPr>
      </w:pPr>
    </w:p>
    <w:p w:rsidR="00BA2690" w:rsidRPr="009A1B9C" w:rsidRDefault="00BA2690" w:rsidP="009A1B9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lang w:val="en-GB"/>
        </w:rPr>
      </w:pPr>
      <w:r w:rsidRPr="009A1B9C">
        <w:rPr>
          <w:rFonts w:cstheme="minorHAnsi"/>
          <w:b/>
          <w:lang w:val="en-GB"/>
        </w:rPr>
        <w:t>Migration in the context of EU policy towards Western Balkans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2E530C" w:rsidRDefault="002E530C" w:rsidP="006F65C2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2E530C">
        <w:rPr>
          <w:rFonts w:cstheme="minorHAnsi"/>
          <w:bCs/>
          <w:lang w:val="en-GB"/>
        </w:rPr>
        <w:t>Migration routes to the EU and the position of Western Balkans region</w:t>
      </w:r>
      <w:r w:rsidR="004525E6">
        <w:rPr>
          <w:rFonts w:cstheme="minorHAnsi"/>
          <w:bCs/>
          <w:lang w:val="en-GB"/>
        </w:rPr>
        <w:t xml:space="preserve"> – what are the ways for resolving the connected problems?</w:t>
      </w:r>
    </w:p>
    <w:p w:rsidR="001704F1" w:rsidRPr="002E530C" w:rsidRDefault="001704F1" w:rsidP="006F65C2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2E530C">
        <w:rPr>
          <w:rFonts w:cstheme="minorHAnsi"/>
          <w:bCs/>
          <w:lang w:val="en-GB"/>
        </w:rPr>
        <w:t>New</w:t>
      </w:r>
      <w:r w:rsidR="004525E6">
        <w:rPr>
          <w:rFonts w:cstheme="minorHAnsi"/>
          <w:bCs/>
          <w:lang w:val="en-GB"/>
        </w:rPr>
        <w:t xml:space="preserve"> EU </w:t>
      </w:r>
      <w:r w:rsidR="004A5CE7" w:rsidRPr="002E530C">
        <w:rPr>
          <w:rFonts w:cstheme="minorHAnsi"/>
          <w:bCs/>
          <w:lang w:val="en-GB"/>
        </w:rPr>
        <w:t>P</w:t>
      </w:r>
      <w:r w:rsidRPr="002E530C">
        <w:rPr>
          <w:rFonts w:cstheme="minorHAnsi"/>
          <w:bCs/>
          <w:lang w:val="en-GB"/>
        </w:rPr>
        <w:t xml:space="preserve">act on </w:t>
      </w:r>
      <w:r w:rsidR="004A5CE7" w:rsidRPr="002E530C">
        <w:rPr>
          <w:rFonts w:cstheme="minorHAnsi"/>
          <w:bCs/>
          <w:lang w:val="en-GB"/>
        </w:rPr>
        <w:t>migration and a</w:t>
      </w:r>
      <w:r w:rsidRPr="002E530C">
        <w:rPr>
          <w:rFonts w:cstheme="minorHAnsi"/>
          <w:bCs/>
          <w:lang w:val="en-GB"/>
        </w:rPr>
        <w:t>sylum</w:t>
      </w:r>
      <w:r w:rsidR="00200558" w:rsidRPr="002E530C">
        <w:rPr>
          <w:rFonts w:cstheme="minorHAnsi"/>
          <w:bCs/>
          <w:lang w:val="en-GB"/>
        </w:rPr>
        <w:t xml:space="preserve"> </w:t>
      </w:r>
      <w:r w:rsidR="002E530C" w:rsidRPr="002E530C">
        <w:rPr>
          <w:rFonts w:cstheme="minorHAnsi"/>
          <w:bCs/>
          <w:lang w:val="en-GB"/>
        </w:rPr>
        <w:t>and its consequences for Western Balkans countries</w:t>
      </w:r>
    </w:p>
    <w:p w:rsidR="002E530C" w:rsidRPr="004525E6" w:rsidRDefault="002E530C" w:rsidP="002F57B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4525E6">
        <w:rPr>
          <w:rFonts w:cstheme="minorHAnsi"/>
          <w:bCs/>
          <w:lang w:val="en-GB"/>
        </w:rPr>
        <w:t xml:space="preserve">European Union and the problems of migrants and refugees in Bosnia and </w:t>
      </w:r>
      <w:r w:rsidR="004525E6" w:rsidRPr="004525E6">
        <w:rPr>
          <w:rFonts w:cstheme="minorHAnsi"/>
          <w:bCs/>
          <w:lang w:val="en-GB"/>
        </w:rPr>
        <w:t>Hercegovina –</w:t>
      </w:r>
      <w:r w:rsidRPr="004525E6">
        <w:rPr>
          <w:rFonts w:cstheme="minorHAnsi"/>
          <w:bCs/>
          <w:lang w:val="en-GB"/>
        </w:rPr>
        <w:t xml:space="preserve"> what should the EU do? </w:t>
      </w:r>
    </w:p>
    <w:p w:rsidR="004525E6" w:rsidRDefault="001704F1" w:rsidP="00383C6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4525E6">
        <w:rPr>
          <w:rFonts w:cstheme="minorHAnsi"/>
          <w:bCs/>
          <w:lang w:val="en-GB"/>
        </w:rPr>
        <w:t>The importance of the WB regional cooperation</w:t>
      </w:r>
      <w:r w:rsidR="00200558" w:rsidRPr="004525E6">
        <w:rPr>
          <w:rFonts w:cstheme="minorHAnsi"/>
          <w:bCs/>
          <w:lang w:val="en-GB"/>
        </w:rPr>
        <w:t xml:space="preserve"> and </w:t>
      </w:r>
      <w:r w:rsidR="004525E6" w:rsidRPr="004525E6">
        <w:rPr>
          <w:rFonts w:cstheme="minorHAnsi"/>
          <w:bCs/>
          <w:lang w:val="en-GB"/>
        </w:rPr>
        <w:t xml:space="preserve">of </w:t>
      </w:r>
      <w:r w:rsidR="00200558" w:rsidRPr="004525E6">
        <w:rPr>
          <w:rFonts w:cstheme="minorHAnsi"/>
          <w:bCs/>
          <w:lang w:val="en-GB"/>
        </w:rPr>
        <w:t>regional initiatives</w:t>
      </w:r>
      <w:r w:rsidRPr="004525E6">
        <w:rPr>
          <w:rFonts w:cstheme="minorHAnsi"/>
          <w:bCs/>
          <w:lang w:val="en-GB"/>
        </w:rPr>
        <w:t xml:space="preserve"> </w:t>
      </w:r>
      <w:r w:rsidR="004525E6" w:rsidRPr="004525E6">
        <w:rPr>
          <w:rFonts w:cstheme="minorHAnsi"/>
          <w:bCs/>
          <w:lang w:val="en-GB"/>
        </w:rPr>
        <w:t xml:space="preserve">concerning migrants and refugees 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Cs/>
          <w:lang w:val="en-GB"/>
        </w:rPr>
      </w:pPr>
    </w:p>
    <w:p w:rsidR="00BA2690" w:rsidRDefault="00BA2690" w:rsidP="00BA269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Segregation in education in Bosna and Herzegovina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/>
          <w:bCs/>
          <w:lang w:val="en-GB"/>
        </w:rPr>
      </w:pPr>
    </w:p>
    <w:p w:rsidR="00BA2690" w:rsidRDefault="00BA2690" w:rsidP="00BA269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The impact of segregation in education system of Bosna and Herzegovina on </w:t>
      </w:r>
    </w:p>
    <w:p w:rsidR="00BA2690" w:rsidRDefault="00BA2690" w:rsidP="00FA33A4">
      <w:pPr>
        <w:tabs>
          <w:tab w:val="left" w:pos="425"/>
        </w:tabs>
        <w:spacing w:after="0" w:line="240" w:lineRule="auto"/>
        <w:ind w:left="425"/>
        <w:jc w:val="both"/>
        <w:rPr>
          <w:rFonts w:cstheme="minorHAnsi"/>
          <w:bCs/>
          <w:lang w:val="en-GB"/>
        </w:rPr>
      </w:pPr>
      <w:proofErr w:type="gramStart"/>
      <w:r>
        <w:rPr>
          <w:rFonts w:cstheme="minorHAnsi"/>
          <w:bCs/>
          <w:lang w:val="en-GB"/>
        </w:rPr>
        <w:t>reconciliation</w:t>
      </w:r>
      <w:proofErr w:type="gramEnd"/>
      <w:r>
        <w:rPr>
          <w:rFonts w:cstheme="minorHAnsi"/>
          <w:bCs/>
          <w:lang w:val="en-GB"/>
        </w:rPr>
        <w:t xml:space="preserve"> process in the country</w:t>
      </w:r>
    </w:p>
    <w:p w:rsidR="00BA2690" w:rsidRDefault="00BA2690" w:rsidP="00BA269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The ways and means for overcoming the ethnic-based segregation in schools of Bosnia </w:t>
      </w:r>
    </w:p>
    <w:p w:rsidR="00BA2690" w:rsidRDefault="00BA2690" w:rsidP="00FA33A4">
      <w:pPr>
        <w:tabs>
          <w:tab w:val="left" w:pos="425"/>
        </w:tabs>
        <w:spacing w:after="0" w:line="240" w:lineRule="auto"/>
        <w:ind w:left="425"/>
        <w:jc w:val="both"/>
        <w:rPr>
          <w:rFonts w:cstheme="minorHAnsi"/>
          <w:bCs/>
          <w:lang w:val="en-GB"/>
        </w:rPr>
      </w:pPr>
      <w:proofErr w:type="gramStart"/>
      <w:r>
        <w:rPr>
          <w:rFonts w:cstheme="minorHAnsi"/>
          <w:bCs/>
          <w:lang w:val="en-GB"/>
        </w:rPr>
        <w:t>and</w:t>
      </w:r>
      <w:proofErr w:type="gramEnd"/>
      <w:r>
        <w:rPr>
          <w:rFonts w:cstheme="minorHAnsi"/>
          <w:bCs/>
          <w:lang w:val="en-GB"/>
        </w:rPr>
        <w:t xml:space="preserve"> Hercegovina</w:t>
      </w:r>
    </w:p>
    <w:p w:rsidR="00BA2690" w:rsidRPr="00E34E90" w:rsidRDefault="00BA2690" w:rsidP="002913D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E34E90">
        <w:rPr>
          <w:rFonts w:cstheme="minorHAnsi"/>
          <w:bCs/>
          <w:lang w:val="en-GB"/>
        </w:rPr>
        <w:t xml:space="preserve">Bosnia and Hercegovina </w:t>
      </w:r>
      <w:r w:rsidR="00E34E90" w:rsidRPr="00E34E90">
        <w:rPr>
          <w:rFonts w:cstheme="minorHAnsi"/>
          <w:bCs/>
          <w:lang w:val="en-GB"/>
        </w:rPr>
        <w:t xml:space="preserve">25 years </w:t>
      </w:r>
      <w:r w:rsidRPr="00E34E90">
        <w:rPr>
          <w:rFonts w:cstheme="minorHAnsi"/>
          <w:bCs/>
          <w:lang w:val="en-GB"/>
        </w:rPr>
        <w:t>after the Dayton agreement –</w:t>
      </w:r>
      <w:r w:rsidR="00E34E90" w:rsidRPr="00E34E90">
        <w:rPr>
          <w:rFonts w:cstheme="minorHAnsi"/>
          <w:bCs/>
          <w:lang w:val="en-GB"/>
        </w:rPr>
        <w:t xml:space="preserve"> how to overcome the</w:t>
      </w:r>
      <w:r w:rsidRPr="00E34E90">
        <w:rPr>
          <w:rFonts w:cstheme="minorHAnsi"/>
          <w:bCs/>
          <w:lang w:val="en-GB"/>
        </w:rPr>
        <w:t xml:space="preserve"> shortcomings</w:t>
      </w:r>
      <w:r w:rsidR="00E34E90">
        <w:rPr>
          <w:rFonts w:cstheme="minorHAnsi"/>
          <w:bCs/>
          <w:lang w:val="en-GB"/>
        </w:rPr>
        <w:t>?</w:t>
      </w:r>
    </w:p>
    <w:p w:rsidR="00BA2690" w:rsidRDefault="00BA2690" w:rsidP="00BA2690">
      <w:pPr>
        <w:spacing w:after="0" w:line="240" w:lineRule="auto"/>
        <w:jc w:val="both"/>
        <w:rPr>
          <w:rFonts w:cstheme="minorHAnsi"/>
          <w:bCs/>
          <w:lang w:val="en-GB"/>
        </w:rPr>
      </w:pPr>
    </w:p>
    <w:p w:rsidR="00BA2690" w:rsidRDefault="00BA2690" w:rsidP="00ED01F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lang w:val="en-GB"/>
        </w:rPr>
      </w:pPr>
      <w:r w:rsidRPr="00E34E90">
        <w:rPr>
          <w:rFonts w:cstheme="minorHAnsi"/>
          <w:b/>
          <w:lang w:val="en-GB"/>
        </w:rPr>
        <w:t xml:space="preserve"> Reconciliation process between </w:t>
      </w:r>
      <w:r w:rsidR="000F2273">
        <w:rPr>
          <w:rFonts w:cstheme="minorHAnsi"/>
          <w:b/>
          <w:lang w:val="en-GB"/>
        </w:rPr>
        <w:t>Belgrade and Pristina</w:t>
      </w:r>
    </w:p>
    <w:p w:rsidR="00E34E90" w:rsidRPr="00E34E90" w:rsidRDefault="00E34E90" w:rsidP="00E34E90">
      <w:pPr>
        <w:spacing w:after="0" w:line="240" w:lineRule="auto"/>
        <w:ind w:left="425"/>
        <w:jc w:val="both"/>
        <w:rPr>
          <w:rFonts w:cstheme="minorHAnsi"/>
          <w:b/>
          <w:lang w:val="en-GB"/>
        </w:rPr>
      </w:pPr>
    </w:p>
    <w:p w:rsidR="00E34E90" w:rsidRDefault="00E34E90" w:rsidP="0050159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The main problems concerning the normalisation of relations between Belgrade and Pristina</w:t>
      </w:r>
    </w:p>
    <w:p w:rsidR="001704F1" w:rsidRPr="00501597" w:rsidRDefault="001704F1" w:rsidP="0050159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1704F1">
        <w:rPr>
          <w:rFonts w:cstheme="minorHAnsi"/>
          <w:bCs/>
          <w:lang w:val="en-GB"/>
        </w:rPr>
        <w:lastRenderedPageBreak/>
        <w:t>The importance of Belgrade-Pristina dialogue in the WB stabilisat</w:t>
      </w:r>
      <w:r>
        <w:rPr>
          <w:rFonts w:cstheme="minorHAnsi"/>
          <w:bCs/>
          <w:lang w:val="en-GB"/>
        </w:rPr>
        <w:t>ion and coopera</w:t>
      </w:r>
      <w:r w:rsidRPr="001704F1">
        <w:rPr>
          <w:rFonts w:cstheme="minorHAnsi"/>
          <w:bCs/>
          <w:lang w:val="en-GB"/>
        </w:rPr>
        <w:t>tion</w:t>
      </w:r>
      <w:r w:rsidR="00BE640E">
        <w:rPr>
          <w:rFonts w:cstheme="minorHAnsi"/>
          <w:bCs/>
          <w:lang w:val="en-GB"/>
        </w:rPr>
        <w:t xml:space="preserve"> process</w:t>
      </w:r>
    </w:p>
    <w:p w:rsidR="001704F1" w:rsidRPr="001704F1" w:rsidRDefault="001704F1" w:rsidP="001704F1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1704F1">
        <w:rPr>
          <w:rFonts w:cstheme="minorHAnsi"/>
          <w:bCs/>
          <w:lang w:val="en-GB"/>
        </w:rPr>
        <w:t>The importance of Belgrade-Pristina dialogue in the European integration process</w:t>
      </w:r>
    </w:p>
    <w:p w:rsidR="00E34E90" w:rsidRPr="00E34E90" w:rsidRDefault="00BA2690" w:rsidP="00E34E90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 </w:t>
      </w:r>
      <w:r w:rsidR="00E34E90" w:rsidRPr="00E34E90">
        <w:rPr>
          <w:rFonts w:cstheme="minorHAnsi"/>
          <w:bCs/>
          <w:lang w:val="en-GB"/>
        </w:rPr>
        <w:t xml:space="preserve">The role of students and youth in the reconciliation process </w:t>
      </w:r>
      <w:r w:rsidR="000F2273">
        <w:rPr>
          <w:rFonts w:cstheme="minorHAnsi"/>
          <w:bCs/>
          <w:lang w:val="en-GB"/>
        </w:rPr>
        <w:t xml:space="preserve">and in the normalisation </w:t>
      </w:r>
      <w:r w:rsidR="00E34E90" w:rsidRPr="00E34E90">
        <w:rPr>
          <w:rFonts w:cstheme="minorHAnsi"/>
          <w:bCs/>
          <w:lang w:val="en-GB"/>
        </w:rPr>
        <w:t>of the Belgrade-Pristina relations.</w:t>
      </w:r>
    </w:p>
    <w:p w:rsidR="00BA2690" w:rsidRDefault="00BA2690" w:rsidP="00BA2690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Economic cooperation between</w:t>
      </w:r>
      <w:r w:rsidR="00501597">
        <w:rPr>
          <w:rFonts w:cstheme="minorHAnsi"/>
          <w:bCs/>
          <w:lang w:val="en-GB"/>
        </w:rPr>
        <w:t xml:space="preserve"> Belgrade and Pristina </w:t>
      </w:r>
      <w:r>
        <w:rPr>
          <w:rFonts w:cstheme="minorHAnsi"/>
          <w:bCs/>
          <w:lang w:val="en-GB"/>
        </w:rPr>
        <w:t>– achievements and problems</w:t>
      </w:r>
    </w:p>
    <w:p w:rsidR="009D025E" w:rsidRPr="001704F1" w:rsidRDefault="009D025E" w:rsidP="009D025E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1704F1">
        <w:rPr>
          <w:rFonts w:cstheme="minorHAnsi"/>
          <w:bCs/>
          <w:lang w:val="en-GB"/>
        </w:rPr>
        <w:t>The role of the USA</w:t>
      </w:r>
      <w:r w:rsidR="00BE640E">
        <w:rPr>
          <w:rFonts w:cstheme="minorHAnsi"/>
          <w:bCs/>
          <w:lang w:val="en-GB"/>
        </w:rPr>
        <w:t>, EU and other relevant actors</w:t>
      </w:r>
      <w:r w:rsidRPr="001704F1">
        <w:rPr>
          <w:rFonts w:cstheme="minorHAnsi"/>
          <w:bCs/>
          <w:lang w:val="en-GB"/>
        </w:rPr>
        <w:t xml:space="preserve"> in the reconciliation process </w:t>
      </w:r>
      <w:r w:rsidR="00BE640E">
        <w:rPr>
          <w:rFonts w:cstheme="minorHAnsi"/>
          <w:bCs/>
          <w:lang w:val="en-GB"/>
        </w:rPr>
        <w:t xml:space="preserve">and dialogue </w:t>
      </w:r>
      <w:r w:rsidRPr="001704F1">
        <w:rPr>
          <w:rFonts w:cstheme="minorHAnsi"/>
          <w:bCs/>
          <w:lang w:val="en-GB"/>
        </w:rPr>
        <w:t xml:space="preserve">between </w:t>
      </w:r>
      <w:r w:rsidR="00BE640E">
        <w:rPr>
          <w:rFonts w:cstheme="minorHAnsi"/>
          <w:bCs/>
          <w:lang w:val="en-GB"/>
        </w:rPr>
        <w:t>Belgrade and Pristina</w:t>
      </w:r>
    </w:p>
    <w:p w:rsidR="00B71B42" w:rsidRDefault="00B71B42" w:rsidP="00BA2690">
      <w:pPr>
        <w:spacing w:after="0" w:line="240" w:lineRule="auto"/>
        <w:jc w:val="both"/>
        <w:rPr>
          <w:rFonts w:eastAsia="GillSansMT" w:cstheme="minorHAnsi"/>
          <w:b/>
          <w:color w:val="000000"/>
          <w:lang w:val="en-GB" w:eastAsia="zh-CN"/>
        </w:rPr>
      </w:pPr>
    </w:p>
    <w:sectPr w:rsidR="00B71B42" w:rsidSect="005E3D8E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AB" w:rsidRDefault="003C4FAB" w:rsidP="00017693">
      <w:pPr>
        <w:spacing w:after="0" w:line="240" w:lineRule="auto"/>
      </w:pPr>
      <w:r>
        <w:separator/>
      </w:r>
    </w:p>
  </w:endnote>
  <w:endnote w:type="continuationSeparator" w:id="0">
    <w:p w:rsidR="003C4FAB" w:rsidRDefault="003C4FAB" w:rsidP="0001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-Bold">
    <w:altName w:val="Segoe Print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M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46106"/>
      <w:docPartObj>
        <w:docPartGallery w:val="Page Numbers (Bottom of Page)"/>
        <w:docPartUnique/>
      </w:docPartObj>
    </w:sdtPr>
    <w:sdtEndPr/>
    <w:sdtContent>
      <w:p w:rsidR="00BE640E" w:rsidRDefault="00D7072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7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640E" w:rsidRDefault="00BE640E">
    <w:pPr>
      <w:pStyle w:val="Noga"/>
    </w:pPr>
    <w:r>
      <w:rPr>
        <w:noProof/>
        <w:lang w:eastAsia="sl-SI"/>
      </w:rPr>
      <w:drawing>
        <wp:inline distT="0" distB="0" distL="0" distR="0">
          <wp:extent cx="1950720" cy="4025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AB" w:rsidRDefault="003C4FAB" w:rsidP="00017693">
      <w:pPr>
        <w:spacing w:after="0" w:line="240" w:lineRule="auto"/>
      </w:pPr>
      <w:r>
        <w:separator/>
      </w:r>
    </w:p>
  </w:footnote>
  <w:footnote w:type="continuationSeparator" w:id="0">
    <w:p w:rsidR="003C4FAB" w:rsidRDefault="003C4FAB" w:rsidP="0001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0E" w:rsidRDefault="00BE640E">
    <w:pPr>
      <w:pStyle w:val="Glava"/>
    </w:pPr>
    <w:r>
      <w:rPr>
        <w:noProof/>
        <w:lang w:eastAsia="sl-SI"/>
      </w:rPr>
      <w:drawing>
        <wp:inline distT="0" distB="0" distL="0" distR="0">
          <wp:extent cx="1714500" cy="82673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926" cy="834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640E" w:rsidRDefault="00BE64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07EB48"/>
    <w:multiLevelType w:val="singleLevel"/>
    <w:tmpl w:val="9507EB4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3AAC9A"/>
    <w:multiLevelType w:val="singleLevel"/>
    <w:tmpl w:val="C93AAC9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EFE0870"/>
    <w:multiLevelType w:val="singleLevel"/>
    <w:tmpl w:val="FEFE087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93C4C9C"/>
    <w:multiLevelType w:val="singleLevel"/>
    <w:tmpl w:val="093C4C9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9E66204"/>
    <w:multiLevelType w:val="singleLevel"/>
    <w:tmpl w:val="09E6620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710764B"/>
    <w:multiLevelType w:val="hybridMultilevel"/>
    <w:tmpl w:val="C7BE6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2AED"/>
    <w:multiLevelType w:val="hybridMultilevel"/>
    <w:tmpl w:val="8B1C1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F744E"/>
    <w:multiLevelType w:val="hybridMultilevel"/>
    <w:tmpl w:val="33A494B6"/>
    <w:lvl w:ilvl="0" w:tplc="32649F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F2D45"/>
    <w:multiLevelType w:val="hybridMultilevel"/>
    <w:tmpl w:val="B46AB404"/>
    <w:lvl w:ilvl="0" w:tplc="AC7482A6">
      <w:start w:val="4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AB5D2E"/>
    <w:multiLevelType w:val="hybridMultilevel"/>
    <w:tmpl w:val="06A67B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0D1A"/>
    <w:multiLevelType w:val="hybridMultilevel"/>
    <w:tmpl w:val="6CCC34DC"/>
    <w:lvl w:ilvl="0" w:tplc="F29AAC4C">
      <w:start w:val="3"/>
      <w:numFmt w:val="bullet"/>
      <w:lvlText w:val="-"/>
      <w:lvlJc w:val="left"/>
      <w:pPr>
        <w:ind w:left="720" w:hanging="360"/>
      </w:pPr>
      <w:rPr>
        <w:rFonts w:ascii="Calibri" w:eastAsia="GillSansMT-Bold" w:hAnsi="Calibri" w:cs="Calibri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CBAE"/>
    <w:multiLevelType w:val="singleLevel"/>
    <w:tmpl w:val="672FCBA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7598F49F"/>
    <w:multiLevelType w:val="singleLevel"/>
    <w:tmpl w:val="7598F49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7B0A0E58"/>
    <w:multiLevelType w:val="hybridMultilevel"/>
    <w:tmpl w:val="5F98C15C"/>
    <w:lvl w:ilvl="0" w:tplc="3E9402D8">
      <w:start w:val="1"/>
      <w:numFmt w:val="bullet"/>
      <w:lvlText w:val="-"/>
      <w:lvlJc w:val="left"/>
      <w:pPr>
        <w:ind w:left="720" w:hanging="360"/>
      </w:pPr>
      <w:rPr>
        <w:rFonts w:ascii="Calibri" w:eastAsia="GillSansMT-Bold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D875D"/>
    <w:multiLevelType w:val="singleLevel"/>
    <w:tmpl w:val="7B6D875D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7C7715A8"/>
    <w:multiLevelType w:val="singleLevel"/>
    <w:tmpl w:val="7C7715A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7E4B5771"/>
    <w:multiLevelType w:val="hybridMultilevel"/>
    <w:tmpl w:val="3B8AA06E"/>
    <w:lvl w:ilvl="0" w:tplc="E08E58BA">
      <w:start w:val="4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5"/>
  </w:num>
  <w:num w:numId="5">
    <w:abstractNumId w:val="9"/>
  </w:num>
  <w:num w:numId="6">
    <w:abstractNumId w:val="16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15"/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213FFB"/>
    <w:rsid w:val="00011D67"/>
    <w:rsid w:val="0001595D"/>
    <w:rsid w:val="00017693"/>
    <w:rsid w:val="00037047"/>
    <w:rsid w:val="00061E6D"/>
    <w:rsid w:val="00065B24"/>
    <w:rsid w:val="000815EE"/>
    <w:rsid w:val="000859B9"/>
    <w:rsid w:val="000A2108"/>
    <w:rsid w:val="000D3087"/>
    <w:rsid w:val="000E31B8"/>
    <w:rsid w:val="000F2273"/>
    <w:rsid w:val="000F5356"/>
    <w:rsid w:val="001159ED"/>
    <w:rsid w:val="001704F1"/>
    <w:rsid w:val="001824D9"/>
    <w:rsid w:val="001876CF"/>
    <w:rsid w:val="001F591F"/>
    <w:rsid w:val="00200558"/>
    <w:rsid w:val="00200FFA"/>
    <w:rsid w:val="00241544"/>
    <w:rsid w:val="002E2BB6"/>
    <w:rsid w:val="002E530C"/>
    <w:rsid w:val="003004A0"/>
    <w:rsid w:val="00341C56"/>
    <w:rsid w:val="00392773"/>
    <w:rsid w:val="003B082D"/>
    <w:rsid w:val="003B4A53"/>
    <w:rsid w:val="003C4FAB"/>
    <w:rsid w:val="00425B35"/>
    <w:rsid w:val="004525E6"/>
    <w:rsid w:val="00457278"/>
    <w:rsid w:val="00471DE6"/>
    <w:rsid w:val="00473B72"/>
    <w:rsid w:val="00474A1E"/>
    <w:rsid w:val="00494F2D"/>
    <w:rsid w:val="004A4CAC"/>
    <w:rsid w:val="004A5CE7"/>
    <w:rsid w:val="004C0E07"/>
    <w:rsid w:val="004C173C"/>
    <w:rsid w:val="004D3306"/>
    <w:rsid w:val="004E2F5D"/>
    <w:rsid w:val="00501597"/>
    <w:rsid w:val="00561886"/>
    <w:rsid w:val="005B19B4"/>
    <w:rsid w:val="005C046B"/>
    <w:rsid w:val="005E005B"/>
    <w:rsid w:val="005E3D8E"/>
    <w:rsid w:val="00611844"/>
    <w:rsid w:val="006A56C9"/>
    <w:rsid w:val="007330C6"/>
    <w:rsid w:val="00775288"/>
    <w:rsid w:val="00866F47"/>
    <w:rsid w:val="008F489B"/>
    <w:rsid w:val="009063A4"/>
    <w:rsid w:val="009159F3"/>
    <w:rsid w:val="00915C2D"/>
    <w:rsid w:val="009163F2"/>
    <w:rsid w:val="00935463"/>
    <w:rsid w:val="00987C73"/>
    <w:rsid w:val="009A1B9C"/>
    <w:rsid w:val="009C4009"/>
    <w:rsid w:val="009C698E"/>
    <w:rsid w:val="009C781B"/>
    <w:rsid w:val="009D025E"/>
    <w:rsid w:val="009D4709"/>
    <w:rsid w:val="009D7586"/>
    <w:rsid w:val="009E66F4"/>
    <w:rsid w:val="00A03999"/>
    <w:rsid w:val="00A4573B"/>
    <w:rsid w:val="00A64305"/>
    <w:rsid w:val="00A72254"/>
    <w:rsid w:val="00A7458F"/>
    <w:rsid w:val="00A827E8"/>
    <w:rsid w:val="00AA563D"/>
    <w:rsid w:val="00AA5E97"/>
    <w:rsid w:val="00AB0040"/>
    <w:rsid w:val="00AD3CB3"/>
    <w:rsid w:val="00B0316C"/>
    <w:rsid w:val="00B05DE0"/>
    <w:rsid w:val="00B202F0"/>
    <w:rsid w:val="00B2670B"/>
    <w:rsid w:val="00B43195"/>
    <w:rsid w:val="00B61C27"/>
    <w:rsid w:val="00B71B42"/>
    <w:rsid w:val="00B76726"/>
    <w:rsid w:val="00BA2690"/>
    <w:rsid w:val="00BA58D3"/>
    <w:rsid w:val="00BB3B85"/>
    <w:rsid w:val="00BE640E"/>
    <w:rsid w:val="00C05CAF"/>
    <w:rsid w:val="00C30DC2"/>
    <w:rsid w:val="00C37B2C"/>
    <w:rsid w:val="00C53949"/>
    <w:rsid w:val="00C57B80"/>
    <w:rsid w:val="00C81360"/>
    <w:rsid w:val="00CD0698"/>
    <w:rsid w:val="00CD4E32"/>
    <w:rsid w:val="00CE3074"/>
    <w:rsid w:val="00D303AA"/>
    <w:rsid w:val="00D324C4"/>
    <w:rsid w:val="00D329F6"/>
    <w:rsid w:val="00D36078"/>
    <w:rsid w:val="00D70720"/>
    <w:rsid w:val="00DA6A2C"/>
    <w:rsid w:val="00DB7899"/>
    <w:rsid w:val="00DC5AD4"/>
    <w:rsid w:val="00DD2A79"/>
    <w:rsid w:val="00E017E2"/>
    <w:rsid w:val="00E34E90"/>
    <w:rsid w:val="00E37F16"/>
    <w:rsid w:val="00E5286B"/>
    <w:rsid w:val="00E73F4B"/>
    <w:rsid w:val="00EA1534"/>
    <w:rsid w:val="00ED4F60"/>
    <w:rsid w:val="00EF5821"/>
    <w:rsid w:val="00F01CF8"/>
    <w:rsid w:val="00F049A7"/>
    <w:rsid w:val="00F24DC8"/>
    <w:rsid w:val="00F36EB1"/>
    <w:rsid w:val="00F56730"/>
    <w:rsid w:val="00F64727"/>
    <w:rsid w:val="00F70F1D"/>
    <w:rsid w:val="00F809ED"/>
    <w:rsid w:val="00FA33A4"/>
    <w:rsid w:val="00FA5271"/>
    <w:rsid w:val="00FB19E0"/>
    <w:rsid w:val="0269785D"/>
    <w:rsid w:val="0CAF79F7"/>
    <w:rsid w:val="3921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E0CC5"/>
  <w15:docId w15:val="{49C71582-E02C-457B-80C3-56E21EB5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3D8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1769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rsid w:val="0001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7693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99"/>
    <w:qFormat/>
    <w:rsid w:val="0024154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5E9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F8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809E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0859B9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859B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859B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859B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859B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PC_LENOVO</dc:creator>
  <cp:lastModifiedBy>User</cp:lastModifiedBy>
  <cp:revision>5</cp:revision>
  <cp:lastPrinted>2021-01-28T20:19:00Z</cp:lastPrinted>
  <dcterms:created xsi:type="dcterms:W3CDTF">2021-01-29T13:52:00Z</dcterms:created>
  <dcterms:modified xsi:type="dcterms:W3CDTF">2021-01-31T12:33:00Z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