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7225F" w14:textId="77777777" w:rsidR="00706B30" w:rsidRDefault="00706B30" w:rsidP="0088726B">
      <w:pPr>
        <w:pBdr>
          <w:bottom w:val="single" w:sz="4" w:space="1" w:color="auto"/>
        </w:pBdr>
        <w:shd w:val="clear" w:color="auto" w:fill="FFFFFF"/>
        <w:rPr>
          <w:rFonts w:cs="Calibri"/>
          <w:b/>
          <w:bCs/>
          <w:i/>
          <w:iCs/>
          <w:color w:val="44546A"/>
          <w:sz w:val="28"/>
          <w:szCs w:val="28"/>
          <w:lang w:val="en-US"/>
        </w:rPr>
      </w:pPr>
      <w:r w:rsidRPr="00706B30">
        <w:rPr>
          <w:rFonts w:cs="Calibri"/>
          <w:b/>
          <w:bCs/>
          <w:color w:val="44546A"/>
          <w:sz w:val="28"/>
          <w:szCs w:val="28"/>
          <w:lang w:val="en-US"/>
        </w:rPr>
        <w:t>Call</w:t>
      </w:r>
      <w:r>
        <w:rPr>
          <w:rFonts w:cs="Calibri"/>
          <w:b/>
          <w:bCs/>
          <w:color w:val="44546A"/>
          <w:sz w:val="28"/>
          <w:szCs w:val="28"/>
          <w:lang w:val="en-US"/>
        </w:rPr>
        <w:t xml:space="preserve"> </w:t>
      </w:r>
      <w:r w:rsidRPr="00706B30">
        <w:rPr>
          <w:rFonts w:cs="Calibri"/>
          <w:b/>
          <w:bCs/>
          <w:color w:val="44546A"/>
          <w:sz w:val="28"/>
          <w:szCs w:val="28"/>
          <w:lang w:val="en-US"/>
        </w:rPr>
        <w:t>PoSIG Teacher Academy 202</w:t>
      </w:r>
      <w:r>
        <w:rPr>
          <w:rFonts w:cs="Calibri"/>
          <w:b/>
          <w:bCs/>
          <w:color w:val="44546A"/>
          <w:sz w:val="28"/>
          <w:szCs w:val="28"/>
          <w:lang w:val="en-US"/>
        </w:rPr>
        <w:t>4:</w:t>
      </w:r>
      <w:r w:rsidRPr="00706B30">
        <w:rPr>
          <w:rFonts w:cs="Calibri"/>
          <w:b/>
          <w:bCs/>
          <w:i/>
          <w:iCs/>
          <w:color w:val="44546A"/>
          <w:sz w:val="28"/>
          <w:szCs w:val="28"/>
          <w:lang w:val="en-US"/>
        </w:rPr>
        <w:t xml:space="preserve"> </w:t>
      </w:r>
    </w:p>
    <w:p w14:paraId="29DAC9A0" w14:textId="409F680A" w:rsidR="00706B30" w:rsidRPr="00706B30" w:rsidRDefault="00706B30" w:rsidP="0088726B">
      <w:pPr>
        <w:pBdr>
          <w:bottom w:val="single" w:sz="4" w:space="1" w:color="auto"/>
        </w:pBdr>
        <w:shd w:val="clear" w:color="auto" w:fill="FFFFFF"/>
        <w:rPr>
          <w:rFonts w:cs="Calibri"/>
          <w:b/>
          <w:bCs/>
          <w:i/>
          <w:iCs/>
          <w:color w:val="44546A"/>
          <w:sz w:val="28"/>
          <w:szCs w:val="28"/>
          <w:lang w:val="en-US"/>
        </w:rPr>
      </w:pPr>
      <w:r w:rsidRPr="00706B30">
        <w:rPr>
          <w:rFonts w:cs="Calibri"/>
          <w:b/>
          <w:bCs/>
          <w:i/>
          <w:iCs/>
          <w:color w:val="44546A"/>
          <w:sz w:val="28"/>
          <w:szCs w:val="28"/>
          <w:lang w:val="en-US"/>
        </w:rPr>
        <w:t>S</w:t>
      </w:r>
      <w:r>
        <w:rPr>
          <w:rFonts w:cs="Calibri"/>
          <w:b/>
          <w:bCs/>
          <w:i/>
          <w:iCs/>
          <w:color w:val="44546A"/>
          <w:sz w:val="28"/>
          <w:szCs w:val="28"/>
          <w:lang w:val="en-US"/>
        </w:rPr>
        <w:t>ectoral Integration: New Ways to EU Membership</w:t>
      </w:r>
      <w:r w:rsidRPr="00706B30">
        <w:rPr>
          <w:rFonts w:cs="Calibri"/>
          <w:b/>
          <w:bCs/>
          <w:i/>
          <w:iCs/>
          <w:color w:val="44546A"/>
          <w:sz w:val="28"/>
          <w:szCs w:val="28"/>
          <w:lang w:val="en-US"/>
        </w:rPr>
        <w:t>?</w:t>
      </w:r>
    </w:p>
    <w:p w14:paraId="48259802" w14:textId="77777777" w:rsidR="00706B30" w:rsidRPr="00706B30" w:rsidRDefault="00706B30" w:rsidP="00706B30">
      <w:pPr>
        <w:shd w:val="clear" w:color="auto" w:fill="FFFFFF"/>
        <w:rPr>
          <w:rFonts w:cs="Calibri"/>
          <w:color w:val="44546A"/>
          <w:lang w:val="en-US"/>
        </w:rPr>
      </w:pPr>
      <w:r w:rsidRPr="00706B30">
        <w:rPr>
          <w:rFonts w:cs="Calibri"/>
          <w:color w:val="44546A"/>
          <w:lang w:val="en-US"/>
        </w:rPr>
        <w:t xml:space="preserve">Dear partner! </w:t>
      </w:r>
    </w:p>
    <w:p w14:paraId="301EBFCC" w14:textId="6711A0E4" w:rsidR="00706B30" w:rsidRPr="00706B30" w:rsidRDefault="00706B30" w:rsidP="00706B30">
      <w:pPr>
        <w:shd w:val="clear" w:color="auto" w:fill="FFFFFF"/>
        <w:rPr>
          <w:rFonts w:cs="Calibri"/>
          <w:color w:val="44546A"/>
          <w:lang w:val="en-US"/>
        </w:rPr>
      </w:pPr>
      <w:r w:rsidRPr="00706B30">
        <w:rPr>
          <w:rFonts w:cs="Calibri"/>
          <w:color w:val="44546A"/>
          <w:lang w:val="en-US"/>
        </w:rPr>
        <w:t xml:space="preserve">As in previous years with issues like </w:t>
      </w:r>
      <w:r w:rsidRPr="00706B30">
        <w:rPr>
          <w:rFonts w:cs="Calibri"/>
          <w:i/>
          <w:iCs/>
          <w:color w:val="44546A"/>
          <w:lang w:val="en-US"/>
        </w:rPr>
        <w:t>EU Neighbourhood Policy</w:t>
      </w:r>
      <w:r w:rsidRPr="00706B30">
        <w:rPr>
          <w:rFonts w:cs="Calibri"/>
          <w:color w:val="44546A"/>
          <w:lang w:val="en-US"/>
        </w:rPr>
        <w:t xml:space="preserve"> or </w:t>
      </w:r>
      <w:r w:rsidRPr="00706B30">
        <w:rPr>
          <w:rFonts w:cs="Calibri"/>
          <w:i/>
          <w:iCs/>
          <w:color w:val="44546A"/>
          <w:lang w:val="en-US"/>
        </w:rPr>
        <w:t>Populism</w:t>
      </w:r>
      <w:r w:rsidRPr="00706B30">
        <w:rPr>
          <w:rFonts w:cs="Calibri"/>
          <w:color w:val="44546A"/>
          <w:lang w:val="en-US"/>
        </w:rPr>
        <w:t xml:space="preserve"> </w:t>
      </w:r>
      <w:r>
        <w:rPr>
          <w:rFonts w:cs="Calibri"/>
          <w:color w:val="44546A"/>
          <w:lang w:val="en-US"/>
        </w:rPr>
        <w:t xml:space="preserve">and </w:t>
      </w:r>
      <w:r w:rsidRPr="00706B30">
        <w:rPr>
          <w:rFonts w:cs="Calibri"/>
          <w:i/>
          <w:iCs/>
          <w:color w:val="44546A"/>
          <w:lang w:val="en-US"/>
        </w:rPr>
        <w:t>Trade Policy in the Age of Populism</w:t>
      </w:r>
      <w:r w:rsidRPr="00706B30">
        <w:rPr>
          <w:rFonts w:cs="Calibri"/>
          <w:color w:val="44546A"/>
          <w:lang w:val="en-US"/>
        </w:rPr>
        <w:t xml:space="preserve"> we continue with our PoSIG Teacher Academy in 202</w:t>
      </w:r>
      <w:r>
        <w:rPr>
          <w:rFonts w:cs="Calibri"/>
          <w:color w:val="44546A"/>
          <w:lang w:val="en-US"/>
        </w:rPr>
        <w:t>4</w:t>
      </w:r>
      <w:r w:rsidRPr="00706B30">
        <w:rPr>
          <w:rFonts w:cs="Calibri"/>
          <w:color w:val="44546A"/>
          <w:lang w:val="en-US"/>
        </w:rPr>
        <w:t xml:space="preserve"> with a highly interesting issue</w:t>
      </w:r>
      <w:r>
        <w:rPr>
          <w:rFonts w:cs="Calibri"/>
          <w:color w:val="44546A"/>
          <w:lang w:val="en-US"/>
        </w:rPr>
        <w:t xml:space="preserve"> on integration policy</w:t>
      </w:r>
      <w:r w:rsidRPr="00706B30">
        <w:rPr>
          <w:rFonts w:cs="Calibri"/>
          <w:color w:val="44546A"/>
          <w:lang w:val="en-US"/>
        </w:rPr>
        <w:t>. Of</w:t>
      </w:r>
      <w:r>
        <w:rPr>
          <w:rFonts w:cs="Calibri"/>
          <w:color w:val="44546A"/>
          <w:lang w:val="en-US"/>
        </w:rPr>
        <w:t xml:space="preserve"> </w:t>
      </w:r>
      <w:r w:rsidRPr="00706B30">
        <w:rPr>
          <w:rFonts w:cs="Calibri"/>
          <w:color w:val="44546A"/>
          <w:lang w:val="en-US"/>
        </w:rPr>
        <w:t>c</w:t>
      </w:r>
      <w:r>
        <w:rPr>
          <w:rFonts w:cs="Calibri"/>
          <w:color w:val="44546A"/>
          <w:lang w:val="en-US"/>
        </w:rPr>
        <w:t>o</w:t>
      </w:r>
      <w:r w:rsidRPr="00706B30">
        <w:rPr>
          <w:rFonts w:cs="Calibri"/>
          <w:color w:val="44546A"/>
          <w:lang w:val="en-US"/>
        </w:rPr>
        <w:t xml:space="preserve">urse </w:t>
      </w:r>
      <w:r>
        <w:rPr>
          <w:rFonts w:cs="Calibri"/>
          <w:color w:val="44546A"/>
          <w:lang w:val="en-US"/>
        </w:rPr>
        <w:t xml:space="preserve">this </w:t>
      </w:r>
      <w:r w:rsidRPr="00706B30">
        <w:rPr>
          <w:rFonts w:cs="Calibri"/>
          <w:color w:val="44546A"/>
          <w:lang w:val="en-US"/>
        </w:rPr>
        <w:t xml:space="preserve">may first of all lead to specific pictures from actual politics. But the intention is clearly focused on the </w:t>
      </w:r>
      <w:r>
        <w:rPr>
          <w:rFonts w:cs="Calibri"/>
          <w:color w:val="44546A"/>
          <w:lang w:val="en-US"/>
        </w:rPr>
        <w:t xml:space="preserve">academic </w:t>
      </w:r>
      <w:r w:rsidRPr="00706B30">
        <w:rPr>
          <w:rFonts w:cs="Calibri"/>
          <w:color w:val="44546A"/>
          <w:lang w:val="en-US"/>
        </w:rPr>
        <w:t xml:space="preserve">relevance </w:t>
      </w:r>
      <w:r>
        <w:rPr>
          <w:rFonts w:cs="Calibri"/>
          <w:color w:val="44546A"/>
          <w:lang w:val="en-US"/>
        </w:rPr>
        <w:t>in research and academic teaching.</w:t>
      </w:r>
    </w:p>
    <w:p w14:paraId="26B0D518" w14:textId="18974BD3" w:rsidR="00706B30" w:rsidRDefault="00706B30" w:rsidP="00706B30">
      <w:pPr>
        <w:shd w:val="clear" w:color="auto" w:fill="FFFFFF"/>
        <w:rPr>
          <w:rFonts w:cs="Calibri"/>
          <w:color w:val="44546A"/>
          <w:lang w:val="en-US"/>
        </w:rPr>
      </w:pPr>
      <w:r w:rsidRPr="00706B30">
        <w:rPr>
          <w:rFonts w:cs="Calibri"/>
          <w:color w:val="44546A"/>
          <w:lang w:val="en-US"/>
        </w:rPr>
        <w:t>The call is addressed to our partner institutions</w:t>
      </w:r>
      <w:r w:rsidR="00091C9B">
        <w:rPr>
          <w:rFonts w:cs="Calibri"/>
          <w:color w:val="44546A"/>
          <w:lang w:val="en-US"/>
        </w:rPr>
        <w:t xml:space="preserve"> of </w:t>
      </w:r>
      <w:hyperlink r:id="rId7" w:history="1">
        <w:r w:rsidR="00091C9B" w:rsidRPr="00DE7121">
          <w:rPr>
            <w:rStyle w:val="Hyperlink"/>
            <w:rFonts w:cs="Calibri"/>
            <w:lang w:val="en-US"/>
          </w:rPr>
          <w:t>www.posig.info</w:t>
        </w:r>
      </w:hyperlink>
      <w:r w:rsidR="00091C9B">
        <w:rPr>
          <w:rFonts w:cs="Calibri"/>
          <w:color w:val="44546A"/>
          <w:lang w:val="en-US"/>
        </w:rPr>
        <w:t xml:space="preserve"> but furthermore to all our scientific partner institutions</w:t>
      </w:r>
      <w:r w:rsidRPr="00706B30">
        <w:rPr>
          <w:rFonts w:cs="Calibri"/>
          <w:color w:val="44546A"/>
          <w:lang w:val="en-US"/>
        </w:rPr>
        <w:t xml:space="preserve"> on Western Balkan, Black Sea Region, Caucasus</w:t>
      </w:r>
      <w:r>
        <w:rPr>
          <w:rFonts w:cs="Calibri"/>
          <w:color w:val="44546A"/>
          <w:lang w:val="en-US"/>
        </w:rPr>
        <w:t>,</w:t>
      </w:r>
      <w:r w:rsidRPr="00706B30">
        <w:rPr>
          <w:rFonts w:cs="Calibri"/>
          <w:color w:val="44546A"/>
          <w:lang w:val="en-US"/>
        </w:rPr>
        <w:t xml:space="preserve"> Middle East</w:t>
      </w:r>
      <w:r>
        <w:rPr>
          <w:rFonts w:cs="Calibri"/>
          <w:color w:val="44546A"/>
          <w:lang w:val="en-US"/>
        </w:rPr>
        <w:t xml:space="preserve"> and Central Asia</w:t>
      </w:r>
      <w:r w:rsidR="00091C9B">
        <w:rPr>
          <w:rFonts w:cs="Calibri"/>
          <w:color w:val="44546A"/>
          <w:lang w:val="en-US"/>
        </w:rPr>
        <w:t xml:space="preserve"> connected to activities in the field of Integration &amp; Governance</w:t>
      </w:r>
      <w:r w:rsidRPr="00706B30">
        <w:rPr>
          <w:rFonts w:cs="Calibri"/>
          <w:color w:val="44546A"/>
          <w:lang w:val="en-US"/>
        </w:rPr>
        <w:t>. In these regions several disputes about economic cooperation spaces</w:t>
      </w:r>
      <w:r w:rsidR="00091C9B">
        <w:rPr>
          <w:rFonts w:cs="Calibri"/>
          <w:color w:val="44546A"/>
          <w:lang w:val="en-US"/>
        </w:rPr>
        <w:t>, strategic and political direction of integration</w:t>
      </w:r>
      <w:r w:rsidRPr="00706B30">
        <w:rPr>
          <w:rFonts w:cs="Calibri"/>
          <w:color w:val="44546A"/>
          <w:lang w:val="en-US"/>
        </w:rPr>
        <w:t xml:space="preserve"> and the interest of big players is</w:t>
      </w:r>
      <w:r w:rsidR="00186B0B">
        <w:rPr>
          <w:rFonts w:cs="Calibri"/>
          <w:color w:val="44546A"/>
          <w:lang w:val="en-US"/>
        </w:rPr>
        <w:t xml:space="preserve"> very</w:t>
      </w:r>
      <w:r w:rsidRPr="00706B30">
        <w:rPr>
          <w:rFonts w:cs="Calibri"/>
          <w:color w:val="44546A"/>
          <w:lang w:val="en-US"/>
        </w:rPr>
        <w:t xml:space="preserve"> present. Therefore the issue is of high relevance and of academic interest. </w:t>
      </w:r>
      <w:r>
        <w:rPr>
          <w:rFonts w:cs="Calibri"/>
          <w:color w:val="44546A"/>
          <w:lang w:val="en-US"/>
        </w:rPr>
        <w:t xml:space="preserve">What we already know is that </w:t>
      </w:r>
      <w:r w:rsidRPr="00706B30">
        <w:rPr>
          <w:rFonts w:cs="Calibri"/>
          <w:color w:val="44546A"/>
          <w:lang w:val="en-US"/>
        </w:rPr>
        <w:t>we will look at the EU resources in the field of higher education and research we can use for our academic interests as expression of EU Soft Power policy</w:t>
      </w:r>
      <w:r>
        <w:rPr>
          <w:rFonts w:cs="Calibri"/>
          <w:color w:val="44546A"/>
          <w:lang w:val="en-US"/>
        </w:rPr>
        <w:t xml:space="preserve"> – a policy field we are all well connected to.</w:t>
      </w:r>
    </w:p>
    <w:p w14:paraId="3E683636" w14:textId="300E5C19" w:rsidR="00091C9B" w:rsidRPr="00706B30" w:rsidRDefault="00091C9B" w:rsidP="00706B30">
      <w:pPr>
        <w:shd w:val="clear" w:color="auto" w:fill="FFFFFF"/>
        <w:rPr>
          <w:rFonts w:cs="Calibri"/>
          <w:color w:val="44546A"/>
          <w:lang w:val="en-US"/>
        </w:rPr>
      </w:pPr>
      <w:r>
        <w:rPr>
          <w:rFonts w:cs="Calibri"/>
          <w:color w:val="44546A"/>
          <w:lang w:val="en-US"/>
        </w:rPr>
        <w:t xml:space="preserve">The PoSIG Teacher Academy 2024 will be organized in cooperation with </w:t>
      </w:r>
      <w:hyperlink r:id="rId8" w:history="1">
        <w:r w:rsidRPr="00DE7121">
          <w:rPr>
            <w:rStyle w:val="Hyperlink"/>
            <w:rFonts w:cs="Calibri"/>
            <w:lang w:val="en-US"/>
          </w:rPr>
          <w:t>www.salzburg-europe-summit.eu</w:t>
        </w:r>
      </w:hyperlink>
      <w:r>
        <w:rPr>
          <w:rFonts w:cs="Calibri"/>
          <w:color w:val="44546A"/>
          <w:lang w:val="en-US"/>
        </w:rPr>
        <w:t xml:space="preserve"> </w:t>
      </w:r>
    </w:p>
    <w:p w14:paraId="3F6C2850" w14:textId="1B77318E" w:rsidR="00706B30" w:rsidRPr="00706B30" w:rsidRDefault="00706B30" w:rsidP="00706B30">
      <w:pPr>
        <w:shd w:val="clear" w:color="auto" w:fill="FFFFFF"/>
        <w:rPr>
          <w:rFonts w:cs="Calibri"/>
          <w:color w:val="44546A"/>
          <w:lang w:val="en-US"/>
        </w:rPr>
      </w:pPr>
      <w:r>
        <w:rPr>
          <w:rFonts w:cs="Calibri"/>
          <w:b/>
          <w:bCs/>
          <w:color w:val="44546A"/>
          <w:lang w:val="en-US"/>
        </w:rPr>
        <w:t xml:space="preserve">Teacher Academy - </w:t>
      </w:r>
      <w:r w:rsidRPr="00706B30">
        <w:rPr>
          <w:rFonts w:cs="Calibri"/>
          <w:b/>
          <w:bCs/>
          <w:color w:val="44546A"/>
          <w:lang w:val="en-US"/>
        </w:rPr>
        <w:t>Goals:</w:t>
      </w:r>
    </w:p>
    <w:p w14:paraId="33535802" w14:textId="2890DC3C" w:rsidR="00706B30" w:rsidRPr="00706B30" w:rsidRDefault="00421E8A" w:rsidP="00706B30">
      <w:pPr>
        <w:shd w:val="clear" w:color="auto" w:fill="FFFFFF"/>
        <w:rPr>
          <w:rFonts w:cs="Calibri"/>
          <w:color w:val="44546A"/>
          <w:lang w:val="en-US"/>
        </w:rPr>
      </w:pPr>
      <w:r>
        <w:rPr>
          <w:rFonts w:cs="Calibri"/>
          <w:color w:val="44546A"/>
          <w:lang w:val="en-US"/>
        </w:rPr>
        <w:t xml:space="preserve">Identification of joint interests in </w:t>
      </w:r>
      <w:r w:rsidR="00706B30" w:rsidRPr="00706B30">
        <w:rPr>
          <w:rFonts w:cs="Calibri"/>
          <w:color w:val="44546A"/>
          <w:lang w:val="en-US"/>
        </w:rPr>
        <w:t>research/research collaboration</w:t>
      </w:r>
      <w:r w:rsidR="0088726B">
        <w:rPr>
          <w:rFonts w:cs="Calibri"/>
          <w:color w:val="44546A"/>
          <w:lang w:val="en-US"/>
        </w:rPr>
        <w:t xml:space="preserve"> or teaching on this issue</w:t>
      </w:r>
      <w:r w:rsidR="00706B30" w:rsidRPr="00706B30">
        <w:rPr>
          <w:rFonts w:cs="Calibri"/>
          <w:color w:val="44546A"/>
          <w:lang w:val="en-US"/>
        </w:rPr>
        <w:t>. Therefore a paper has to be presented.</w:t>
      </w:r>
    </w:p>
    <w:p w14:paraId="1F64217D" w14:textId="50159AD8" w:rsidR="00706B30" w:rsidRPr="00706B30" w:rsidRDefault="00706B30" w:rsidP="00706B30">
      <w:pPr>
        <w:shd w:val="clear" w:color="auto" w:fill="FFFFFF"/>
        <w:rPr>
          <w:rFonts w:cs="Calibri"/>
          <w:color w:val="44546A"/>
          <w:lang w:val="en-US"/>
        </w:rPr>
      </w:pPr>
      <w:r w:rsidRPr="00706B30">
        <w:rPr>
          <w:rFonts w:cs="Calibri"/>
          <w:color w:val="44546A"/>
          <w:lang w:val="en-US"/>
        </w:rPr>
        <w:t>To bring participants up to date on research in the field to boost their teaching</w:t>
      </w:r>
      <w:r w:rsidR="0088726B">
        <w:rPr>
          <w:rFonts w:cs="Calibri"/>
          <w:color w:val="44546A"/>
          <w:lang w:val="en-US"/>
        </w:rPr>
        <w:t>.</w:t>
      </w:r>
    </w:p>
    <w:p w14:paraId="7C01A7CC" w14:textId="77777777" w:rsidR="00091C9B" w:rsidRDefault="00706B30" w:rsidP="00706B30">
      <w:pPr>
        <w:shd w:val="clear" w:color="auto" w:fill="FFFFFF"/>
        <w:rPr>
          <w:rFonts w:cs="Calibri"/>
          <w:color w:val="44546A"/>
          <w:lang w:val="en-US"/>
        </w:rPr>
      </w:pPr>
      <w:r w:rsidRPr="00706B30">
        <w:rPr>
          <w:rFonts w:cs="Calibri"/>
          <w:color w:val="44546A"/>
          <w:lang w:val="en-US"/>
        </w:rPr>
        <w:t>To identify HE strategies using the Erasmus +  and H2020 environment  of the next EU budget periode.</w:t>
      </w:r>
    </w:p>
    <w:p w14:paraId="29265457" w14:textId="668F48A0" w:rsidR="00706B30" w:rsidRPr="00706B30" w:rsidRDefault="00706B30" w:rsidP="00706B30">
      <w:pPr>
        <w:shd w:val="clear" w:color="auto" w:fill="FFFFFF"/>
        <w:rPr>
          <w:rFonts w:cs="Calibri"/>
          <w:color w:val="44546A"/>
          <w:lang w:val="en-US"/>
        </w:rPr>
      </w:pPr>
      <w:r w:rsidRPr="00706B30">
        <w:rPr>
          <w:rFonts w:cs="Calibri"/>
          <w:b/>
          <w:bCs/>
          <w:color w:val="44546A"/>
          <w:lang w:val="en-US"/>
        </w:rPr>
        <w:t>Dates and requirements:</w:t>
      </w:r>
    </w:p>
    <w:p w14:paraId="3E7E6978" w14:textId="42A5A2CA" w:rsidR="00706B30" w:rsidRPr="00706B30" w:rsidRDefault="00706B30" w:rsidP="00706B30">
      <w:pPr>
        <w:shd w:val="clear" w:color="auto" w:fill="FFFFFF"/>
        <w:rPr>
          <w:rFonts w:cs="Calibri"/>
          <w:color w:val="44546A"/>
          <w:lang w:val="en-US"/>
        </w:rPr>
      </w:pPr>
      <w:r w:rsidRPr="00706B30">
        <w:rPr>
          <w:rFonts w:cs="Calibri"/>
          <w:color w:val="44546A"/>
          <w:lang w:val="en-US"/>
        </w:rPr>
        <w:t>Date: 2</w:t>
      </w:r>
      <w:r w:rsidR="00421E8A">
        <w:rPr>
          <w:rFonts w:cs="Calibri"/>
          <w:color w:val="44546A"/>
          <w:lang w:val="en-US"/>
        </w:rPr>
        <w:t>1-2</w:t>
      </w:r>
      <w:r w:rsidR="00334325">
        <w:rPr>
          <w:rFonts w:cs="Calibri"/>
          <w:color w:val="44546A"/>
          <w:lang w:val="en-US"/>
        </w:rPr>
        <w:t>5</w:t>
      </w:r>
      <w:r w:rsidR="00421E8A">
        <w:rPr>
          <w:rFonts w:cs="Calibri"/>
          <w:color w:val="44546A"/>
          <w:lang w:val="en-US"/>
        </w:rPr>
        <w:t xml:space="preserve"> October 2024</w:t>
      </w:r>
    </w:p>
    <w:p w14:paraId="12A0EE99" w14:textId="37806633" w:rsidR="00706B30" w:rsidRPr="00706B30" w:rsidRDefault="00421E8A" w:rsidP="00706B30">
      <w:pPr>
        <w:shd w:val="clear" w:color="auto" w:fill="FFFFFF"/>
        <w:rPr>
          <w:rFonts w:cs="Calibri"/>
          <w:color w:val="44546A"/>
          <w:lang w:val="en-US"/>
        </w:rPr>
      </w:pPr>
      <w:r>
        <w:rPr>
          <w:rFonts w:cs="Calibri"/>
          <w:color w:val="44546A"/>
          <w:lang w:val="en-US"/>
        </w:rPr>
        <w:t>Invited presenter</w:t>
      </w:r>
      <w:r w:rsidR="00706B30" w:rsidRPr="00706B30">
        <w:rPr>
          <w:rFonts w:cs="Calibri"/>
          <w:color w:val="44546A"/>
          <w:lang w:val="en-US"/>
        </w:rPr>
        <w:t xml:space="preserve">: Teacher and researcher in Political Science / International Relations working in this field or interested in training in this field. </w:t>
      </w:r>
    </w:p>
    <w:p w14:paraId="26B1E9F7" w14:textId="55C9B4C3" w:rsidR="00421E8A" w:rsidRDefault="00421E8A" w:rsidP="00706B30">
      <w:pPr>
        <w:shd w:val="clear" w:color="auto" w:fill="FFFFFF"/>
        <w:rPr>
          <w:rFonts w:cs="Calibri"/>
          <w:color w:val="44546A"/>
          <w:lang w:val="en-US"/>
        </w:rPr>
      </w:pPr>
      <w:r w:rsidRPr="00421E8A">
        <w:rPr>
          <w:rFonts w:cs="Calibri"/>
          <w:b/>
          <w:bCs/>
          <w:color w:val="44546A"/>
          <w:lang w:val="en-US"/>
        </w:rPr>
        <w:t>Deadline</w:t>
      </w:r>
      <w:r>
        <w:rPr>
          <w:rFonts w:cs="Calibri"/>
          <w:color w:val="44546A"/>
          <w:lang w:val="en-US"/>
        </w:rPr>
        <w:t xml:space="preserve"> for submission of papers is 31 January 2024 to: doris.wydra@plus.ac.at</w:t>
      </w:r>
    </w:p>
    <w:p w14:paraId="42EE1A6E" w14:textId="0775A29D" w:rsidR="00706B30" w:rsidRDefault="00706B30" w:rsidP="00706B30">
      <w:pPr>
        <w:shd w:val="clear" w:color="auto" w:fill="FFFFFF"/>
        <w:rPr>
          <w:rFonts w:cs="Calibri"/>
          <w:color w:val="44546A"/>
          <w:lang w:val="en-US"/>
        </w:rPr>
      </w:pPr>
      <w:r w:rsidRPr="00706B30">
        <w:rPr>
          <w:rFonts w:cs="Calibri"/>
          <w:color w:val="44546A"/>
          <w:lang w:val="en-US"/>
        </w:rPr>
        <w:t>Nomination</w:t>
      </w:r>
      <w:r w:rsidR="00421E8A">
        <w:rPr>
          <w:rFonts w:cs="Calibri"/>
          <w:color w:val="44546A"/>
          <w:lang w:val="en-US"/>
        </w:rPr>
        <w:t xml:space="preserve"> of candidates for Erasmus+ KA 171 grants</w:t>
      </w:r>
      <w:r w:rsidRPr="00706B30">
        <w:rPr>
          <w:rFonts w:cs="Calibri"/>
          <w:color w:val="44546A"/>
          <w:lang w:val="en-US"/>
        </w:rPr>
        <w:t xml:space="preserve">: By the sending institution after selection of candidates </w:t>
      </w:r>
      <w:r w:rsidR="00421E8A">
        <w:rPr>
          <w:rFonts w:cs="Calibri"/>
          <w:color w:val="44546A"/>
          <w:lang w:val="en-US"/>
        </w:rPr>
        <w:t>by</w:t>
      </w:r>
      <w:r w:rsidRPr="00706B30">
        <w:rPr>
          <w:rFonts w:cs="Calibri"/>
          <w:color w:val="44546A"/>
          <w:lang w:val="en-US"/>
        </w:rPr>
        <w:t xml:space="preserve"> the hosting partner institution</w:t>
      </w:r>
      <w:r w:rsidR="00421E8A">
        <w:rPr>
          <w:rFonts w:cs="Calibri"/>
          <w:color w:val="44546A"/>
          <w:lang w:val="en-US"/>
        </w:rPr>
        <w:t xml:space="preserve"> 27 February 2024</w:t>
      </w:r>
      <w:r w:rsidRPr="00706B30">
        <w:rPr>
          <w:rFonts w:cs="Calibri"/>
          <w:color w:val="44546A"/>
          <w:lang w:val="en-US"/>
        </w:rPr>
        <w:t>.</w:t>
      </w:r>
    </w:p>
    <w:p w14:paraId="46EC1F00" w14:textId="2F7B028F" w:rsidR="0088726B" w:rsidRDefault="0088726B" w:rsidP="00706B30">
      <w:pPr>
        <w:shd w:val="clear" w:color="auto" w:fill="FFFFFF"/>
        <w:rPr>
          <w:rFonts w:cs="Calibri"/>
          <w:color w:val="44546A"/>
          <w:lang w:val="en-US"/>
        </w:rPr>
      </w:pPr>
      <w:r>
        <w:rPr>
          <w:rFonts w:cs="Calibri"/>
          <w:color w:val="44546A"/>
          <w:lang w:val="en-US"/>
        </w:rPr>
        <w:t>Erasmus+ KA 131 staff mobility grants of participants are supported.</w:t>
      </w:r>
    </w:p>
    <w:p w14:paraId="4A6BF6BA" w14:textId="222BEFE1" w:rsidR="00421E8A" w:rsidRPr="00706B30" w:rsidRDefault="00421E8A" w:rsidP="00706B30">
      <w:pPr>
        <w:shd w:val="clear" w:color="auto" w:fill="FFFFFF"/>
        <w:rPr>
          <w:rFonts w:cs="Calibri"/>
          <w:color w:val="44546A"/>
          <w:lang w:val="en-US"/>
        </w:rPr>
      </w:pPr>
      <w:r>
        <w:rPr>
          <w:rFonts w:cs="Calibri"/>
          <w:color w:val="44546A"/>
          <w:lang w:val="en-US"/>
        </w:rPr>
        <w:t>Placements for trainees on the topic of the TA can be added depending on available grant resources until End May 2024</w:t>
      </w:r>
    </w:p>
    <w:p w14:paraId="709E8004" w14:textId="40C223F0" w:rsidR="00706B30" w:rsidRPr="0088726B" w:rsidRDefault="00706B30" w:rsidP="00706B30">
      <w:pPr>
        <w:rPr>
          <w:rFonts w:cs="Calibri"/>
          <w:b/>
          <w:bCs/>
          <w:color w:val="44546A"/>
          <w:lang w:val="en-US"/>
        </w:rPr>
      </w:pPr>
      <w:r w:rsidRPr="0088726B">
        <w:rPr>
          <w:rFonts w:cs="Calibri"/>
          <w:b/>
          <w:bCs/>
          <w:color w:val="44546A"/>
          <w:lang w:val="en-US"/>
        </w:rPr>
        <w:t>Contacts University of Salzburg:</w:t>
      </w:r>
    </w:p>
    <w:p w14:paraId="232ED472" w14:textId="0A856452" w:rsidR="0088726B" w:rsidRDefault="0088726B" w:rsidP="00706B30">
      <w:pPr>
        <w:rPr>
          <w:rFonts w:cs="Calibri"/>
          <w:color w:val="44546A"/>
          <w:lang w:val="en-US"/>
        </w:rPr>
      </w:pPr>
      <w:r>
        <w:rPr>
          <w:rFonts w:cs="Calibri"/>
          <w:color w:val="44546A"/>
          <w:lang w:val="en-US"/>
        </w:rPr>
        <w:t xml:space="preserve">Academic coordination: </w:t>
      </w:r>
      <w:hyperlink r:id="rId9" w:history="1">
        <w:r w:rsidRPr="00732FC0">
          <w:rPr>
            <w:rStyle w:val="Hyperlink"/>
            <w:rFonts w:cs="Calibri"/>
            <w:lang w:val="en-US"/>
          </w:rPr>
          <w:t>doris.wydra@plus.ac.at</w:t>
        </w:r>
      </w:hyperlink>
      <w:r>
        <w:rPr>
          <w:rFonts w:cs="Calibri"/>
          <w:color w:val="44546A"/>
          <w:lang w:val="en-US"/>
        </w:rPr>
        <w:t xml:space="preserve"> </w:t>
      </w:r>
    </w:p>
    <w:p w14:paraId="0BA2068D" w14:textId="1D1E0191" w:rsidR="00706B30" w:rsidRPr="00706B30" w:rsidRDefault="00706B30" w:rsidP="00706B30">
      <w:pPr>
        <w:rPr>
          <w:rFonts w:cs="Calibri"/>
          <w:color w:val="44546A"/>
          <w:lang w:val="en-US"/>
        </w:rPr>
      </w:pPr>
      <w:r w:rsidRPr="00706B30">
        <w:rPr>
          <w:rFonts w:cs="Calibri"/>
          <w:color w:val="44546A"/>
          <w:lang w:val="en-US"/>
        </w:rPr>
        <w:t xml:space="preserve">Coordination: </w:t>
      </w:r>
      <w:hyperlink r:id="rId10" w:history="1">
        <w:r w:rsidR="00421E8A" w:rsidRPr="00732FC0">
          <w:rPr>
            <w:rStyle w:val="Hyperlink"/>
            <w:rFonts w:cs="Calibri"/>
            <w:lang w:val="en-US"/>
          </w:rPr>
          <w:t>franz.kok@plus.ac.at</w:t>
        </w:r>
      </w:hyperlink>
    </w:p>
    <w:p w14:paraId="61E214AE" w14:textId="7F449EE9" w:rsidR="00706B30" w:rsidRDefault="00706B30" w:rsidP="00706B30">
      <w:pPr>
        <w:rPr>
          <w:rFonts w:cs="Calibri"/>
          <w:color w:val="44546A"/>
          <w:lang w:val="en-US"/>
        </w:rPr>
      </w:pPr>
      <w:r w:rsidRPr="00706B30">
        <w:rPr>
          <w:rFonts w:cs="Calibri"/>
          <w:color w:val="44546A"/>
          <w:lang w:val="en-US"/>
        </w:rPr>
        <w:t xml:space="preserve">Technical implementation: </w:t>
      </w:r>
      <w:hyperlink r:id="rId11" w:history="1">
        <w:r w:rsidR="0088726B" w:rsidRPr="00732FC0">
          <w:rPr>
            <w:rStyle w:val="Hyperlink"/>
            <w:rFonts w:cs="Calibri"/>
            <w:lang w:val="en-US"/>
          </w:rPr>
          <w:t>katharina.gimm@plus.ac.at</w:t>
        </w:r>
      </w:hyperlink>
      <w:r w:rsidR="0088726B">
        <w:rPr>
          <w:rFonts w:cs="Calibri"/>
          <w:color w:val="44546A"/>
          <w:lang w:val="en-US"/>
        </w:rPr>
        <w:t xml:space="preserve"> </w:t>
      </w:r>
    </w:p>
    <w:p w14:paraId="069158DE" w14:textId="4251DD7E" w:rsidR="00186B0B" w:rsidRDefault="00186B0B" w:rsidP="00706B30">
      <w:pPr>
        <w:rPr>
          <w:rFonts w:cs="Calibri"/>
          <w:color w:val="44546A"/>
          <w:lang w:val="en-US"/>
        </w:rPr>
      </w:pPr>
      <w:r>
        <w:rPr>
          <w:rFonts w:cs="Calibri"/>
          <w:color w:val="44546A"/>
          <w:lang w:val="en-US"/>
        </w:rPr>
        <w:br/>
      </w:r>
    </w:p>
    <w:p w14:paraId="3E9DB435" w14:textId="3F307DAB" w:rsidR="004A332C" w:rsidRPr="0029602F" w:rsidRDefault="00186B0B" w:rsidP="0029602F">
      <w:pPr>
        <w:pStyle w:val="Titel"/>
        <w:rPr>
          <w:lang w:val="en-GB"/>
        </w:rPr>
      </w:pPr>
      <w:bookmarkStart w:id="0" w:name="_Hlk151649339"/>
      <w:r>
        <w:rPr>
          <w:lang w:val="en-GB"/>
        </w:rPr>
        <w:lastRenderedPageBreak/>
        <w:t>S</w:t>
      </w:r>
      <w:r w:rsidR="00B55243">
        <w:rPr>
          <w:lang w:val="en-GB"/>
        </w:rPr>
        <w:t>ectoral Integration: New Ways to EU Membership?</w:t>
      </w:r>
    </w:p>
    <w:bookmarkEnd w:id="0"/>
    <w:p w14:paraId="4E8E56F9" w14:textId="38FF3296" w:rsidR="0029602F" w:rsidRDefault="0029602F" w:rsidP="0029602F">
      <w:pPr>
        <w:jc w:val="center"/>
        <w:rPr>
          <w:b/>
          <w:bCs/>
          <w:lang w:val="en-GB"/>
        </w:rPr>
      </w:pPr>
      <w:r>
        <w:rPr>
          <w:b/>
          <w:bCs/>
          <w:lang w:val="en-GB"/>
        </w:rPr>
        <w:t>PoSIG Teacher Academy 2024</w:t>
      </w:r>
    </w:p>
    <w:p w14:paraId="5B6581F0" w14:textId="2297E4E9" w:rsidR="0029602F" w:rsidRDefault="0029602F" w:rsidP="0029602F">
      <w:pPr>
        <w:jc w:val="center"/>
        <w:rPr>
          <w:lang w:val="en-GB"/>
        </w:rPr>
      </w:pPr>
      <w:r w:rsidRPr="0029602F">
        <w:rPr>
          <w:lang w:val="en-GB"/>
        </w:rPr>
        <w:t>21-2</w:t>
      </w:r>
      <w:r w:rsidR="0088726B">
        <w:rPr>
          <w:lang w:val="en-GB"/>
        </w:rPr>
        <w:t>5</w:t>
      </w:r>
      <w:r w:rsidRPr="0029602F">
        <w:rPr>
          <w:lang w:val="en-GB"/>
        </w:rPr>
        <w:t xml:space="preserve"> October 2024</w:t>
      </w:r>
    </w:p>
    <w:p w14:paraId="5C2ECFC3" w14:textId="0AE55112" w:rsidR="0029602F" w:rsidRDefault="0029602F" w:rsidP="0029602F">
      <w:pPr>
        <w:jc w:val="both"/>
        <w:rPr>
          <w:lang w:val="en-GB"/>
        </w:rPr>
      </w:pPr>
    </w:p>
    <w:p w14:paraId="1A63E23A" w14:textId="13AD82E2" w:rsidR="0029602F" w:rsidRDefault="0029602F" w:rsidP="005A0F7D">
      <w:pPr>
        <w:spacing w:line="240" w:lineRule="auto"/>
        <w:jc w:val="both"/>
        <w:rPr>
          <w:lang w:val="en-GB"/>
        </w:rPr>
      </w:pPr>
      <w:r>
        <w:rPr>
          <w:lang w:val="en-GB"/>
        </w:rPr>
        <w:t xml:space="preserve">With the Russian attack on Ukraine and Ukraine’s </w:t>
      </w:r>
      <w:r w:rsidR="001F1360">
        <w:rPr>
          <w:lang w:val="en-GB"/>
        </w:rPr>
        <w:t xml:space="preserve">consequential </w:t>
      </w:r>
      <w:r>
        <w:rPr>
          <w:lang w:val="en-GB"/>
        </w:rPr>
        <w:t xml:space="preserve">bid for EU membership (followed by the Republic Moldova and Georgia), the number of accession candidates is steadily increasing, while since 2013 no new member has joined the European Union. </w:t>
      </w:r>
      <w:r w:rsidR="002B34F2">
        <w:rPr>
          <w:lang w:val="en-GB"/>
        </w:rPr>
        <w:t>This has increased pressure on the European Union to live up to the European promise made to the states of the Western Balkan region in the Thessaloniki Declaration in 2003, not least for geopolitical considerations</w:t>
      </w:r>
      <w:r w:rsidR="008F5F19">
        <w:rPr>
          <w:lang w:val="en-GB"/>
        </w:rPr>
        <w:t xml:space="preserve"> </w:t>
      </w:r>
      <w:r w:rsidR="00256ADF">
        <w:rPr>
          <w:lang w:val="en-GB"/>
        </w:rPr>
        <w:fldChar w:fldCharType="begin"/>
      </w:r>
      <w:r w:rsidR="00C72729">
        <w:rPr>
          <w:lang w:val="en-GB"/>
        </w:rPr>
        <w:instrText xml:space="preserve"> ADDIN ZOTERO_ITEM CSL_CITATION {"citationID":"6T5lOG7A","properties":{"formattedCitation":"(Petrovic and Tzifakis 2021)","plainCitation":"(Petrovic and Tzifakis 2021)","noteIndex":0},"citationItems":[{"id":32823,"uris":["http://zotero.org/users/238382/items/GIAJMAUW"],"itemData":{"id":32823,"type":"article-journal","abstract":"This article, which introduces a Special Issue of the JCES on the challenges of EU enlargement policy towards the Western Balkans, critically examines the geopolitical turn of the EU’s institutional thinking on enlargement since 2017. After several high-ranked EU officials and leaders of member states more or less explicitly voiced their concerns about the declining influence of the EU in the Western Balkans, the European Commission – which has traditionally been responsible for carrying out administrative-technical aspects of the accession process – adopted a more geopolitical approach to enlargement policy in February 2018, and has since sought to advance Western Balkan accession more decisively. However, this geopolitical turn to the EU’s institutional thinking on enlargement has so far failed to translate discourse into concrete results. The article argues that the main reasons for this failure can be found in a lack of support by EU members, which either do not share the Commission’s sense of urgency, or are eager to use enlargement policy and the accession process to advance their national interests. The article concludes with a brief presentation of the structure of the special issue and introduces the contributing articles.","archive_location":"</w:instrText>
      </w:r>
      <w:r w:rsidR="00C72729">
        <w:rPr>
          <w:rFonts w:ascii="Segoe UI Emoji" w:hAnsi="Segoe UI Emoji" w:cs="Segoe UI Emoji"/>
          <w:lang w:val="en-GB"/>
        </w:rPr>
        <w:instrText>✔️</w:instrText>
      </w:r>
      <w:r w:rsidR="00C72729">
        <w:rPr>
          <w:lang w:val="en-GB"/>
        </w:rPr>
        <w:instrText>","call-number":"</w:instrText>
      </w:r>
      <w:r w:rsidR="00C72729">
        <w:rPr>
          <w:rFonts w:ascii="Segoe UI Emoji" w:hAnsi="Segoe UI Emoji" w:cs="Segoe UI Emoji"/>
          <w:lang w:val="en-GB"/>
        </w:rPr>
        <w:instrText>🟨</w:instrText>
      </w:r>
      <w:r w:rsidR="00C72729">
        <w:rPr>
          <w:lang w:val="en-GB"/>
        </w:rPr>
        <w:instrText>","container-title":"Journal of Contemporary European Studies","DOI":"10.1080/14782804.2021.1891028","ISSN":"1478-2804, 1478-2790","issue":"2","journalAbbreviation":"Journal of Contemporary European Studies","language":"en","license":"</w:instrText>
      </w:r>
      <w:r w:rsidR="00C72729">
        <w:rPr>
          <w:rFonts w:ascii="Segoe UI Emoji" w:hAnsi="Segoe UI Emoji" w:cs="Segoe UI Emoji"/>
          <w:lang w:val="en-GB"/>
        </w:rPr>
        <w:instrText>🦦</w:instrText>
      </w:r>
      <w:r w:rsidR="00C72729">
        <w:rPr>
          <w:lang w:val="en-GB"/>
        </w:rPr>
        <w:instrText xml:space="preserve">","page":"157-168","source":"DOI.org (Crossref)","title":"A geopolitical turn to EU enlargement, or another postponement? An introduction","title-short":"A geopolitical turn to EU enlargement, or another postponement?","volume":"29","author":[{"family":"Petrovic","given":"Milenko"},{"family":"Tzifakis","given":"Nikolaos"}],"issued":{"date-parts":[["2021",4,3]]}}}],"schema":"https://github.com/citation-style-language/schema/raw/master/csl-citation.json"} </w:instrText>
      </w:r>
      <w:r w:rsidR="00256ADF">
        <w:rPr>
          <w:lang w:val="en-GB"/>
        </w:rPr>
        <w:fldChar w:fldCharType="separate"/>
      </w:r>
      <w:r w:rsidR="00256ADF" w:rsidRPr="008F5F19">
        <w:rPr>
          <w:rFonts w:ascii="Calibri" w:hAnsi="Calibri" w:cs="Calibri"/>
          <w:lang w:val="en-GB"/>
        </w:rPr>
        <w:t>(Petrovic and Tzifakis 2021)</w:t>
      </w:r>
      <w:r w:rsidR="00256ADF">
        <w:rPr>
          <w:lang w:val="en-GB"/>
        </w:rPr>
        <w:fldChar w:fldCharType="end"/>
      </w:r>
      <w:r w:rsidR="002B34F2">
        <w:rPr>
          <w:lang w:val="en-GB"/>
        </w:rPr>
        <w:t>. At the same time none of the candidate countries is fulfilling the conditions for full membership</w:t>
      </w:r>
      <w:r w:rsidR="006F536C">
        <w:rPr>
          <w:lang w:val="en-GB"/>
        </w:rPr>
        <w:t xml:space="preserve"> (as the yearly rep</w:t>
      </w:r>
      <w:r w:rsidR="00B50365">
        <w:rPr>
          <w:lang w:val="en-GB"/>
        </w:rPr>
        <w:t>orts by the European Commission provide ample evidence of</w:t>
      </w:r>
      <w:r w:rsidR="00A84154">
        <w:rPr>
          <w:lang w:val="en-GB"/>
        </w:rPr>
        <w:t xml:space="preserve">): </w:t>
      </w:r>
      <w:r w:rsidR="00203602">
        <w:rPr>
          <w:lang w:val="en-GB"/>
        </w:rPr>
        <w:t xml:space="preserve">the “transformative power” of the EU </w:t>
      </w:r>
      <w:r w:rsidR="00DD747C">
        <w:rPr>
          <w:lang w:val="en-GB"/>
        </w:rPr>
        <w:fldChar w:fldCharType="begin"/>
      </w:r>
      <w:r w:rsidR="00C72729">
        <w:rPr>
          <w:lang w:val="en-GB"/>
        </w:rPr>
        <w:instrText xml:space="preserve"> ADDIN ZOTERO_ITEM CSL_CITATION {"citationID":"q5Rur3mA","properties":{"formattedCitation":"(B\\uc0\\u246{}rzel and Lebanidze 2017; B\\uc0\\u246{}rzel and Risse 2009)","plainCitation":"(Börzel and Lebanidze 2017; Börzel and Risse 2009)","noteIndex":0},"citationItems":[{"id":1324,"uris":["http://zotero.org/users/238382/items/CI8PBAHC"],"itemData":{"id":1324,"type":"article-journal","abstract":"This paper argues that the European Union’s (EU) performance in promoting democracy in its neighbourhood is not only compromised by the lack of a membership perspective but the selective sanctioning of non-compliance with democracy standards caused by conflicting foreign policy objectives. We identify two conditions for the EU’s consistent application of democratic conditionality: the absence of a stability-democratisation dilemma and the presence of pro-democratic reform coalitions. If neither of these conditions is present, the EU is more likely to act as a status-quo than a transformative power prioritising (authoritarian) stability over uncertain (democratic) change.","archive_location":"I","container-title":"East European Politics","DOI":"10.1080/21599165.2017.1280473","ISSN":"2159-9165","issue":"1","journalAbbreviation":"East European Politics","page":"17-35","source":"rsa.tandfonline.com (Atypon)","title":"“The transformative power of Europe” beyond enlargement: the EU’s performance in promoting democracy in its neighbourhood","title-short":"“The transformative power of Europe” beyond enlargement","volume":"33","author":[{"family":"Börzel","given":"Tanja A."},{"family":"Lebanidze","given":"Bidzina"}],"issued":{"date-parts":[["2017",1,2]]}}},{"id":51378,"uris":["http://zotero.org/users/238382/items/I7Q6JFPU"],"itemData":{"id":51378,"type":"book","abstract":"This paper sets out the research agenda of the Kolleg-Forschergruppe “The Transformative Power of Europe. The European Union and the Diffusion of Ideas”. The diffusion of ideas has become a central research theme in political science, sociology, law, history, and economics. In this context, the Kolleg-Forschergruppe focuses on the theoretical and methodological challenges of identifying scope conditions for and interaction effects between the various causal mechanisms by which ideas are spread across time and space. We concentrate on the European Union (EU) as an almost ideal laboratory for investigating processes and outcomes of diffusion. First, European integration itself can be described as an effort to promote the diffusion of ideas across Europe and beyond. Second, European societies and polities emulate each other through mimetic processes. Third, Europe and the EU also serve as active promoters of diffusion processes toward the outside world. Last not least, European integration is embedded in and responds to larger global diffusion processes. The Kolleg-Forschergruppe will explore the diffusion of ideas in three thematic areas: “identity and the public sphere,” “compliance, conditionality, and beyond,” and “comparative regionalism and Europe’s external relations”.","collection-title":"KFG Working Paper Series","event-place":"Berlin","language":"de","note":"ISSN: 1868-7601","number-of-pages":"28","publisher":"Freie Universität Berlin, FB Politik- und Sozialwissenschaften, Otto-Suhr-Institut für Politikwissenschaft Kolleg-Forschergruppe \"The Transformative Power of Europe\"","publisher-place":"Berlin","source":"SSOAR","title":"The transformative power of Europe: the European Union and the diffusion of ideas","title-short":"The transformative power of Europe","volume":"1","author":[{"family":"Börzel","given":"Tanja A."},{"family":"Risse","given":"Thomas"}],"issued":{"date-parts":[["2009"]]}}}],"schema":"https://github.com/citation-style-language/schema/raw/master/csl-citation.json"} </w:instrText>
      </w:r>
      <w:r w:rsidR="00DD747C">
        <w:rPr>
          <w:lang w:val="en-GB"/>
        </w:rPr>
        <w:fldChar w:fldCharType="separate"/>
      </w:r>
      <w:r w:rsidR="00DD747C" w:rsidRPr="00513F40">
        <w:rPr>
          <w:rFonts w:ascii="Calibri" w:hAnsi="Calibri" w:cs="Calibri"/>
          <w:szCs w:val="24"/>
          <w:lang w:val="en-GB"/>
        </w:rPr>
        <w:t>(Börzel and Lebanidze 2017; Börzel and Risse 2009)</w:t>
      </w:r>
      <w:r w:rsidR="00DD747C">
        <w:rPr>
          <w:lang w:val="en-GB"/>
        </w:rPr>
        <w:fldChar w:fldCharType="end"/>
      </w:r>
      <w:r w:rsidR="00513F40">
        <w:rPr>
          <w:lang w:val="en-GB"/>
        </w:rPr>
        <w:t xml:space="preserve"> </w:t>
      </w:r>
      <w:r w:rsidR="00B63AED">
        <w:rPr>
          <w:lang w:val="en-GB"/>
        </w:rPr>
        <w:t>seems</w:t>
      </w:r>
      <w:r w:rsidR="00A03EF5">
        <w:rPr>
          <w:lang w:val="en-GB"/>
        </w:rPr>
        <w:t xml:space="preserve"> unable to counter democratic backsliding, </w:t>
      </w:r>
      <w:r w:rsidR="00262B28">
        <w:rPr>
          <w:lang w:val="en-GB"/>
        </w:rPr>
        <w:t xml:space="preserve">the consolidation of competitive-authoritarian regimes and </w:t>
      </w:r>
      <w:r w:rsidR="001151C8">
        <w:rPr>
          <w:lang w:val="en-GB"/>
        </w:rPr>
        <w:t xml:space="preserve">the dominance of “stabilitocracies </w:t>
      </w:r>
      <w:r w:rsidR="001151C8">
        <w:rPr>
          <w:lang w:val="en-GB"/>
        </w:rPr>
        <w:fldChar w:fldCharType="begin"/>
      </w:r>
      <w:r w:rsidR="00C72729">
        <w:rPr>
          <w:lang w:val="en-GB"/>
        </w:rPr>
        <w:instrText xml:space="preserve"> ADDIN ZOTERO_ITEM CSL_CITATION {"citationID":"DHgK0oc5","properties":{"formattedCitation":"(D\\uc0\\u382{}anki\\uc0\\u263{}, Keil, and Kmezi\\uc0\\u263{} 2019; Kmezi\\uc0\\u263{} 2019; Bieber 2018)","plainCitation":"(Džankić, Keil, and Kmezić 2019; Kmezić 2019; Bieber 2018)","noteIndex":0},"citationItems":[{"id":7241,"uris":["http://zotero.org/users/238382/items/K4GUH8SA"],"itemData":{"id":7241,"type":"book","event-place":"Cham","ISBN":"978-3-319-91411-4","language":"en","license":"</w:instrText>
      </w:r>
      <w:r w:rsidR="00C72729">
        <w:rPr>
          <w:rFonts w:ascii="Segoe UI Emoji" w:hAnsi="Segoe UI Emoji" w:cs="Segoe UI Emoji"/>
          <w:lang w:val="en-GB"/>
        </w:rPr>
        <w:instrText>🦦</w:instrText>
      </w:r>
      <w:r w:rsidR="00C72729">
        <w:rPr>
          <w:lang w:val="en-GB"/>
        </w:rPr>
        <w:instrText>","note":"DOI: 10.1007/978-3-319-91412-1","publisher":"Springer International Publishing","publisher-place":"Cham","source":"DOI.org (Crossref)","title":"The Europeanisation of the Western Balkans: A Failure of EU Conditionality?","title-short":"The Europeanisation of the Western Balkans","URL":"http://link.springer.com/10.1007/978-3-319-91412-1","editor":[{"family":"Džankić","given":"Jelena"},{"family":"Keil","given":"Soeren"},{"family":"Kmezić","given":"Marko"}],"accessed":{"date-parts":[["2021",6,2]]},"issued":{"date-parts":[["2019"]]}}},{"id":36649,"uris":["http://zotero.org/users/238382/items/BGXFJDWX"],"itemData":{"id":36649,"type":"chapter","call-number":"</w:instrText>
      </w:r>
      <w:r w:rsidR="00C72729">
        <w:rPr>
          <w:rFonts w:ascii="Segoe UI Emoji" w:hAnsi="Segoe UI Emoji" w:cs="Segoe UI Emoji"/>
          <w:lang w:val="en-GB"/>
        </w:rPr>
        <w:instrText>😍</w:instrText>
      </w:r>
      <w:r w:rsidR="00C72729">
        <w:rPr>
          <w:lang w:val="en-GB"/>
        </w:rPr>
        <w:instrText>","container-title":"The Europeanisation of the Western Balkans: A Failure of EU Conditionality?","event-place":"Cham","ISBN":"978-3-319-91411-4","language":"en","license":"</w:instrText>
      </w:r>
      <w:r w:rsidR="00C72729">
        <w:rPr>
          <w:rFonts w:ascii="Segoe UI Emoji" w:hAnsi="Segoe UI Emoji" w:cs="Segoe UI Emoji"/>
          <w:lang w:val="en-GB"/>
        </w:rPr>
        <w:instrText>🦦</w:instrText>
      </w:r>
      <w:r w:rsidR="00C72729">
        <w:rPr>
          <w:lang w:val="en-GB"/>
        </w:rPr>
        <w:instrText xml:space="preserve">","note":"DOI: 10.1007/978-3-319-91412-1","page":"87-109","publisher":"Springer International Publishing","publisher-place":"Cham","source":"DOI.org (Crossref)","title":"EU Rule of Law Conditionality: Democracy or ‘Stabilitocracy’ Promotion in the Western Balkans?","URL":"http://link.springer.com/10.1007/978-3-319-91412-1","editor":[{"family":"Džankić","given":"Jelena"},{"family":"Keil","given":"Soeren"},{"family":"Kmezić","given":"Marko"}],"author":[{"family":"Kmezić","given":"Marko"}],"accessed":{"date-parts":[["2021",6,2]]},"issued":{"date-parts":[["2019"]]}}},{"id":51379,"uris":["http://zotero.org/users/238382/items/3XRZMG4S"],"itemData":{"id":51379,"type":"article-journal","abstract":"The countries of the Western Balkans during the 1990s were dominated by competitive authoritarian regimes that combined multi-party elections with nationalist rhetoric and the privatisation of the state to aﬃliated business interests. After a move towards democratisation in the early 2000s across the region, authoritarian practices began re-appearing in the late 2000s and have now ﬁrmly taken root in many of these countries. This article will argue that the current competitive authoritarian systems (Levitsky, Steven, and Lucan A. Way. 2010. Competitive Authoritarianism. Hybrid Regimes after the Cold War. Cambridge: Cambridge University Press) are structurally diﬀerent from those of the 1990s. These new regimes draw on the failure of reformist governments during the early 2000s to decisively break with authoritarian practices and establish independent and democratic institutions, thus facilitating the return of competitive authoritarian regimes. The current pattern in the Western Balkans is part of a global trend, but is also one embedded in the particularities of democratic transformation of the region. This article argues that the return of competitive authoritarianism is the result of weak democratic structures, facilitated by the weakening and insuﬃcient transformative power of external actors, ﬁrst and foremost the EU, in incentivizing continued democratisation.","container-title":"East European Politics","DOI":"10.1080/21599165.2018.1490272","ISSN":"2159-9165, 2159-9173","issue":"3","journalAbbreviation":"East European Politics","language":"en","page":"337-354","source":"DOI.org (Crossref)","title":"Patterns of competitive authoritarianism in the Western Balkans","volume":"34","author":[{"family":"Bieber","given":"Florian"}],"issued":{"date-parts":[["2018",7,3]]}}}],"schema":"https://github.com/citation-style-language/schema/raw/master/csl-citation.json"} </w:instrText>
      </w:r>
      <w:r w:rsidR="001151C8">
        <w:rPr>
          <w:lang w:val="en-GB"/>
        </w:rPr>
        <w:fldChar w:fldCharType="separate"/>
      </w:r>
      <w:r w:rsidR="001151C8" w:rsidRPr="00CC38FC">
        <w:rPr>
          <w:rFonts w:ascii="Calibri" w:hAnsi="Calibri" w:cs="Calibri"/>
          <w:szCs w:val="24"/>
          <w:lang w:val="en-GB"/>
        </w:rPr>
        <w:t>(Džankić, Keil, and Kmezić 2019; Kmezić 2019; Bieber 2018)</w:t>
      </w:r>
      <w:r w:rsidR="001151C8">
        <w:rPr>
          <w:lang w:val="en-GB"/>
        </w:rPr>
        <w:fldChar w:fldCharType="end"/>
      </w:r>
      <w:r w:rsidR="00CC38FC">
        <w:rPr>
          <w:lang w:val="en-GB"/>
        </w:rPr>
        <w:t xml:space="preserve">. </w:t>
      </w:r>
    </w:p>
    <w:p w14:paraId="4A885711" w14:textId="527027FD" w:rsidR="0029602F" w:rsidRDefault="007C350D" w:rsidP="005A0F7D">
      <w:pPr>
        <w:spacing w:line="240" w:lineRule="auto"/>
        <w:jc w:val="both"/>
        <w:rPr>
          <w:lang w:val="en-GB"/>
        </w:rPr>
      </w:pPr>
      <w:r w:rsidRPr="458FE8C8">
        <w:rPr>
          <w:lang w:val="en-GB"/>
        </w:rPr>
        <w:t>In order to break this stalemate</w:t>
      </w:r>
      <w:r w:rsidR="00825339">
        <w:rPr>
          <w:lang w:val="en-GB"/>
        </w:rPr>
        <w:t>,</w:t>
      </w:r>
      <w:r w:rsidRPr="458FE8C8">
        <w:rPr>
          <w:lang w:val="en-GB"/>
        </w:rPr>
        <w:t xml:space="preserve"> the year 2022 has seen the emergence of new proposals to </w:t>
      </w:r>
      <w:r w:rsidR="0007085C" w:rsidRPr="458FE8C8">
        <w:rPr>
          <w:lang w:val="en-GB"/>
        </w:rPr>
        <w:t>revitalize the enlargement process. What they have in common is an emphasis on “staged accession”</w:t>
      </w:r>
      <w:r w:rsidR="0051101D" w:rsidRPr="458FE8C8">
        <w:rPr>
          <w:lang w:val="en-GB"/>
        </w:rPr>
        <w:t>:</w:t>
      </w:r>
      <w:r w:rsidR="00377D1A" w:rsidRPr="458FE8C8">
        <w:rPr>
          <w:lang w:val="en-GB"/>
        </w:rPr>
        <w:t xml:space="preserve"> while full membership still would only be possible after the fulfilment of all criteria (in particular in the area of fundamentals including the rule of law, good governance</w:t>
      </w:r>
      <w:r w:rsidR="00063381" w:rsidRPr="458FE8C8">
        <w:rPr>
          <w:lang w:val="en-GB"/>
        </w:rPr>
        <w:t xml:space="preserve"> and transparent and effective administration), the idea is to </w:t>
      </w:r>
      <w:r w:rsidR="00CA47E0" w:rsidRPr="458FE8C8">
        <w:rPr>
          <w:lang w:val="en-GB"/>
        </w:rPr>
        <w:t>move forward with integration in specific policy areas.</w:t>
      </w:r>
      <w:r w:rsidR="00A06C4E" w:rsidRPr="458FE8C8">
        <w:rPr>
          <w:lang w:val="en-GB"/>
        </w:rPr>
        <w:t xml:space="preserve"> Different models have been presented:</w:t>
      </w:r>
      <w:r w:rsidR="7AC8B09A" w:rsidRPr="458FE8C8">
        <w:rPr>
          <w:lang w:val="en-GB"/>
        </w:rPr>
        <w:t xml:space="preserve"> </w:t>
      </w:r>
    </w:p>
    <w:p w14:paraId="105A2EB0" w14:textId="77777777" w:rsidR="00EA5E67" w:rsidRDefault="00C72729" w:rsidP="004B0A1A">
      <w:pPr>
        <w:spacing w:line="240" w:lineRule="auto"/>
        <w:jc w:val="both"/>
        <w:rPr>
          <w:lang w:val="en-GB"/>
        </w:rPr>
      </w:pPr>
      <w:r>
        <w:rPr>
          <w:lang w:val="en-GB"/>
        </w:rPr>
        <w:fldChar w:fldCharType="begin"/>
      </w:r>
      <w:r w:rsidR="00C63640">
        <w:rPr>
          <w:lang w:val="en-GB"/>
        </w:rPr>
        <w:instrText xml:space="preserve"> ADDIN ZOTERO_ITEM CSL_CITATION {"citationID":"zToAmfVO","properties":{"formattedCitation":"(Lang and Buras 2022)","plainCitation":"(Lang and Buras 2022)","dontUpdate":true,"noteIndex":0},"citationItems":[{"id":36919,"uris":["http://zotero.org/users/238382/items/633N8IAP"],"itemData":{"id":36919,"type":"post-weblog","abstract":"Russia’s war on Ukraine means the EU must devise a new approach to its neighbourhood. It should establish a Partnership for Enlargement that offers Ukraine and other states concrete steps towards deeper integration.","container-title":"ECFR","language":"en-GB","title":"Partnership for Enlargement: A new way to integrate Ukraine and the EU’s eastern neighbourhood – European Council on Foreign Relations","title-short":"Partnership for Enlargement","URL":"https://ecfr.eu/publication/partnership-for-enlargement-a-new-way-to-integrate-ukraine-and-the-eus-eastern-neighbourhood/","author":[{"family":"Lang","given":"Kai-Olaf"},{"family":"Buras","given":"Piotr"}],"accessed":{"date-parts":[["2023",3,16]]},"issued":{"date-parts":[["2022",6,17]]}}}],"schema":"https://github.com/citation-style-language/schema/raw/master/csl-citation.json"} </w:instrText>
      </w:r>
      <w:r>
        <w:rPr>
          <w:lang w:val="en-GB"/>
        </w:rPr>
        <w:fldChar w:fldCharType="separate"/>
      </w:r>
      <w:r w:rsidRPr="00583717">
        <w:rPr>
          <w:rFonts w:ascii="Calibri" w:hAnsi="Calibri" w:cs="Calibri"/>
          <w:lang w:val="en-US"/>
        </w:rPr>
        <w:t xml:space="preserve">Lang and Buras </w:t>
      </w:r>
      <w:r w:rsidR="00806AE4" w:rsidRPr="00583717">
        <w:rPr>
          <w:rFonts w:ascii="Calibri" w:hAnsi="Calibri" w:cs="Calibri"/>
          <w:lang w:val="en-US"/>
        </w:rPr>
        <w:t>(</w:t>
      </w:r>
      <w:r w:rsidRPr="00583717">
        <w:rPr>
          <w:rFonts w:ascii="Calibri" w:hAnsi="Calibri" w:cs="Calibri"/>
          <w:lang w:val="en-US"/>
        </w:rPr>
        <w:t>2022)</w:t>
      </w:r>
      <w:r>
        <w:rPr>
          <w:lang w:val="en-GB"/>
        </w:rPr>
        <w:fldChar w:fldCharType="end"/>
      </w:r>
      <w:r w:rsidR="00825339">
        <w:rPr>
          <w:lang w:val="en-GB"/>
        </w:rPr>
        <w:t xml:space="preserve"> </w:t>
      </w:r>
      <w:r w:rsidR="34812664" w:rsidRPr="458FE8C8">
        <w:rPr>
          <w:lang w:val="en-GB"/>
        </w:rPr>
        <w:t>suggest</w:t>
      </w:r>
      <w:r w:rsidR="004D1748">
        <w:rPr>
          <w:lang w:val="en-GB"/>
        </w:rPr>
        <w:t>ed</w:t>
      </w:r>
      <w:r w:rsidR="34812664" w:rsidRPr="458FE8C8">
        <w:rPr>
          <w:lang w:val="en-GB"/>
        </w:rPr>
        <w:t xml:space="preserve"> the creation of an enlargement partnership</w:t>
      </w:r>
      <w:r w:rsidR="004D1748">
        <w:rPr>
          <w:lang w:val="en-GB"/>
        </w:rPr>
        <w:t>, mainly aimed at Eastern Partnership countries</w:t>
      </w:r>
      <w:r w:rsidR="34812664" w:rsidRPr="458FE8C8">
        <w:rPr>
          <w:lang w:val="en-GB"/>
        </w:rPr>
        <w:t>.</w:t>
      </w:r>
      <w:r w:rsidR="00806AE4">
        <w:rPr>
          <w:lang w:val="en-GB"/>
        </w:rPr>
        <w:t xml:space="preserve"> Following </w:t>
      </w:r>
      <w:r w:rsidR="00AE1F26">
        <w:rPr>
          <w:lang w:val="en-GB"/>
        </w:rPr>
        <w:t xml:space="preserve">the approach of the European Economic Area the idea is to </w:t>
      </w:r>
      <w:r w:rsidR="00C064F9">
        <w:rPr>
          <w:lang w:val="en-GB"/>
        </w:rPr>
        <w:t>enable a full integration into the European internal market</w:t>
      </w:r>
      <w:r w:rsidR="00725886">
        <w:rPr>
          <w:lang w:val="en-GB"/>
        </w:rPr>
        <w:t xml:space="preserve"> (but always also considering existing member states</w:t>
      </w:r>
      <w:r w:rsidR="00C31D44">
        <w:rPr>
          <w:lang w:val="en-GB"/>
        </w:rPr>
        <w:t>’</w:t>
      </w:r>
      <w:r w:rsidR="00725886">
        <w:rPr>
          <w:lang w:val="en-GB"/>
        </w:rPr>
        <w:t xml:space="preserve"> concerns when it comes to labour migration)</w:t>
      </w:r>
      <w:r w:rsidR="00C064F9">
        <w:rPr>
          <w:lang w:val="en-GB"/>
        </w:rPr>
        <w:t xml:space="preserve"> far beyond association agreements. </w:t>
      </w:r>
      <w:r w:rsidR="007C5756">
        <w:rPr>
          <w:lang w:val="en-GB"/>
        </w:rPr>
        <w:t>In this respect, it is in particular</w:t>
      </w:r>
      <w:r w:rsidR="00C064F9">
        <w:rPr>
          <w:lang w:val="en-GB"/>
        </w:rPr>
        <w:t xml:space="preserve"> the </w:t>
      </w:r>
      <w:r w:rsidR="003E77C4">
        <w:rPr>
          <w:lang w:val="en-GB"/>
        </w:rPr>
        <w:t xml:space="preserve">energy union </w:t>
      </w:r>
      <w:r w:rsidR="007C5756">
        <w:rPr>
          <w:lang w:val="en-GB"/>
        </w:rPr>
        <w:t xml:space="preserve">which </w:t>
      </w:r>
      <w:r w:rsidR="00C31D44">
        <w:rPr>
          <w:lang w:val="en-GB"/>
        </w:rPr>
        <w:t>could provide</w:t>
      </w:r>
      <w:r w:rsidR="003E77C4">
        <w:rPr>
          <w:lang w:val="en-GB"/>
        </w:rPr>
        <w:t xml:space="preserve"> possibilities for </w:t>
      </w:r>
      <w:r w:rsidR="00725886">
        <w:rPr>
          <w:lang w:val="en-GB"/>
        </w:rPr>
        <w:t>increased cooperation</w:t>
      </w:r>
      <w:r w:rsidR="007546BB">
        <w:rPr>
          <w:lang w:val="en-GB"/>
        </w:rPr>
        <w:t>, but integration should move beyond this. Following the</w:t>
      </w:r>
      <w:r w:rsidR="00A92E43">
        <w:rPr>
          <w:lang w:val="en-GB"/>
        </w:rPr>
        <w:t xml:space="preserve"> idea </w:t>
      </w:r>
      <w:r w:rsidR="007C5756">
        <w:rPr>
          <w:lang w:val="en-GB"/>
        </w:rPr>
        <w:t xml:space="preserve">of </w:t>
      </w:r>
      <w:r w:rsidR="00A92E43">
        <w:rPr>
          <w:lang w:val="en-GB"/>
        </w:rPr>
        <w:t>functional integration which lies at the hear</w:t>
      </w:r>
      <w:r w:rsidR="00D03EBB">
        <w:rPr>
          <w:lang w:val="en-GB"/>
        </w:rPr>
        <w:t>t</w:t>
      </w:r>
      <w:r w:rsidR="00A92E43">
        <w:rPr>
          <w:lang w:val="en-GB"/>
        </w:rPr>
        <w:t xml:space="preserve"> of the European integration project, the potential is seen for spill-over effects into further policy areas. </w:t>
      </w:r>
      <w:r w:rsidR="00B200AB">
        <w:rPr>
          <w:lang w:val="en-GB"/>
        </w:rPr>
        <w:t>A</w:t>
      </w:r>
      <w:r w:rsidR="007C590C">
        <w:rPr>
          <w:lang w:val="en-GB"/>
        </w:rPr>
        <w:t>s</w:t>
      </w:r>
      <w:r w:rsidR="00B200AB">
        <w:rPr>
          <w:lang w:val="en-GB"/>
        </w:rPr>
        <w:t xml:space="preserve"> potential third pillar of the enlargement partnership th</w:t>
      </w:r>
      <w:r w:rsidR="00DE6A0E">
        <w:rPr>
          <w:lang w:val="en-GB"/>
        </w:rPr>
        <w:t>e area of foreign policy</w:t>
      </w:r>
      <w:r w:rsidR="007C590C">
        <w:rPr>
          <w:lang w:val="en-GB"/>
        </w:rPr>
        <w:t xml:space="preserve"> was identified</w:t>
      </w:r>
      <w:r w:rsidR="00634E48">
        <w:rPr>
          <w:lang w:val="en-GB"/>
        </w:rPr>
        <w:t xml:space="preserve">, </w:t>
      </w:r>
      <w:r w:rsidR="00A2711B">
        <w:rPr>
          <w:lang w:val="en-GB"/>
        </w:rPr>
        <w:t xml:space="preserve">where candidate countries should become observers </w:t>
      </w:r>
      <w:r w:rsidR="007C590C">
        <w:rPr>
          <w:lang w:val="en-GB"/>
        </w:rPr>
        <w:t>in the</w:t>
      </w:r>
      <w:r w:rsidR="00A2711B">
        <w:rPr>
          <w:lang w:val="en-GB"/>
        </w:rPr>
        <w:t xml:space="preserve"> </w:t>
      </w:r>
      <w:r w:rsidR="005C6E5A">
        <w:rPr>
          <w:lang w:val="en-GB"/>
        </w:rPr>
        <w:t xml:space="preserve">security </w:t>
      </w:r>
      <w:r w:rsidR="007C590C">
        <w:rPr>
          <w:lang w:val="en-GB"/>
        </w:rPr>
        <w:t>structures</w:t>
      </w:r>
      <w:r w:rsidR="005C6E5A">
        <w:rPr>
          <w:lang w:val="en-GB"/>
        </w:rPr>
        <w:t xml:space="preserve"> of the European Union</w:t>
      </w:r>
      <w:r w:rsidR="00624BA8">
        <w:rPr>
          <w:lang w:val="en-GB"/>
        </w:rPr>
        <w:t xml:space="preserve"> and enhanced cooperation </w:t>
      </w:r>
      <w:r w:rsidR="00F73F6F">
        <w:rPr>
          <w:lang w:val="en-GB"/>
        </w:rPr>
        <w:t xml:space="preserve">in projects of the Permanent Structured Cooperation (PESCO). </w:t>
      </w:r>
      <w:r w:rsidR="005C6E5A">
        <w:rPr>
          <w:lang w:val="en-GB"/>
        </w:rPr>
        <w:t xml:space="preserve">Already in 2020 Gressel/ Popescu </w:t>
      </w:r>
      <w:r w:rsidR="005B06E2">
        <w:rPr>
          <w:lang w:val="en-GB"/>
        </w:rPr>
        <w:fldChar w:fldCharType="begin"/>
      </w:r>
      <w:r w:rsidR="005B06E2">
        <w:rPr>
          <w:lang w:val="en-GB"/>
        </w:rPr>
        <w:instrText xml:space="preserve"> ADDIN ZOTERO_ITEM CSL_CITATION {"citationID":"tQ3SQKp7","properties":{"formattedCitation":"(Gressel and Popescu 2020)","plainCitation":"(Gressel and Popescu 2020)","noteIndex":0},"citationItems":[{"id":51423,"uris":["http://zotero.org/users/238382/items/FUA8WLJM"],"itemData":{"id":51423,"type":"document","abstract":"The European Union and its member states have yet to start upgrading EU policies to their declared ambitions of a more geopolitical and strategically sovereign EU.","language":"en","publisher":"European Council on Foreign Relations","source":"Zotero","title":"The Best Defence: Why the EU should forge security compacts with its Eastern Neighbours","author":[{"family":"Gressel","given":"Gustav"},{"family":"Popescu","given":"Nicu"}],"issued":{"date-parts":[["2020"]]}}}],"schema":"https://github.com/citation-style-language/schema/raw/master/csl-citation.json"} </w:instrText>
      </w:r>
      <w:r w:rsidR="005B06E2">
        <w:rPr>
          <w:lang w:val="en-GB"/>
        </w:rPr>
        <w:fldChar w:fldCharType="separate"/>
      </w:r>
      <w:r w:rsidR="005B06E2" w:rsidRPr="00583717">
        <w:rPr>
          <w:rFonts w:ascii="Calibri" w:hAnsi="Calibri" w:cs="Calibri"/>
          <w:lang w:val="en-US"/>
        </w:rPr>
        <w:t>(Gressel and Popescu 2020)</w:t>
      </w:r>
      <w:r w:rsidR="005B06E2">
        <w:rPr>
          <w:lang w:val="en-GB"/>
        </w:rPr>
        <w:fldChar w:fldCharType="end"/>
      </w:r>
      <w:r w:rsidR="00275BB4">
        <w:rPr>
          <w:lang w:val="en-GB"/>
        </w:rPr>
        <w:t xml:space="preserve"> suggested something along this lines with their “Eastern Partnership Security Compact”.</w:t>
      </w:r>
      <w:r w:rsidR="008B326B">
        <w:rPr>
          <w:lang w:val="en-GB"/>
        </w:rPr>
        <w:t xml:space="preserve"> </w:t>
      </w:r>
    </w:p>
    <w:p w14:paraId="4849D514" w14:textId="399761F4" w:rsidR="00A06C4E" w:rsidRDefault="00C32CCA" w:rsidP="004B0A1A">
      <w:pPr>
        <w:spacing w:line="240" w:lineRule="auto"/>
        <w:jc w:val="both"/>
        <w:rPr>
          <w:lang w:val="en-GB"/>
        </w:rPr>
      </w:pPr>
      <w:r>
        <w:rPr>
          <w:lang w:val="en-GB"/>
        </w:rPr>
        <w:t xml:space="preserve">Probably the most developed proposal </w:t>
      </w:r>
      <w:r w:rsidR="00F32587">
        <w:rPr>
          <w:lang w:val="en-GB"/>
        </w:rPr>
        <w:t xml:space="preserve">which </w:t>
      </w:r>
      <w:r w:rsidR="00EA5E67">
        <w:rPr>
          <w:lang w:val="en-GB"/>
        </w:rPr>
        <w:t>develops the</w:t>
      </w:r>
      <w:r w:rsidR="00F32587">
        <w:rPr>
          <w:lang w:val="en-GB"/>
        </w:rPr>
        <w:t xml:space="preserve"> idea of </w:t>
      </w:r>
      <w:r w:rsidR="002471B7">
        <w:rPr>
          <w:lang w:val="en-GB"/>
        </w:rPr>
        <w:t xml:space="preserve"> a </w:t>
      </w:r>
      <w:r w:rsidR="008625D3">
        <w:rPr>
          <w:lang w:val="en-GB"/>
        </w:rPr>
        <w:t>“membership apprenticeship” is the Austrian Non-Paper</w:t>
      </w:r>
      <w:r w:rsidR="001F0B6C">
        <w:rPr>
          <w:lang w:val="en-GB"/>
        </w:rPr>
        <w:t xml:space="preserve"> on Enlargement and Neighbourhood Policy, which has been introduced in May 2022. Without excluding full membership at a later point, the focus is </w:t>
      </w:r>
      <w:r w:rsidR="002471B7">
        <w:rPr>
          <w:lang w:val="en-GB"/>
        </w:rPr>
        <w:t>primarily</w:t>
      </w:r>
      <w:r w:rsidR="001F0B6C">
        <w:rPr>
          <w:lang w:val="en-GB"/>
        </w:rPr>
        <w:t xml:space="preserve"> on sectoral integration</w:t>
      </w:r>
      <w:r w:rsidR="00B16324">
        <w:rPr>
          <w:lang w:val="en-GB"/>
        </w:rPr>
        <w:t xml:space="preserve">, </w:t>
      </w:r>
      <w:r w:rsidR="00C66212">
        <w:rPr>
          <w:lang w:val="en-GB"/>
        </w:rPr>
        <w:t>not least</w:t>
      </w:r>
      <w:r w:rsidR="00B16324">
        <w:rPr>
          <w:lang w:val="en-GB"/>
        </w:rPr>
        <w:t xml:space="preserve"> to provide the countries of the Western Balkans </w:t>
      </w:r>
      <w:r w:rsidR="00C66212">
        <w:rPr>
          <w:lang w:val="en-GB"/>
        </w:rPr>
        <w:t xml:space="preserve">finally </w:t>
      </w:r>
      <w:r w:rsidR="00B16324">
        <w:rPr>
          <w:lang w:val="en-GB"/>
        </w:rPr>
        <w:t xml:space="preserve">with a credible accession perspective. </w:t>
      </w:r>
      <w:r w:rsidR="00C66212">
        <w:rPr>
          <w:lang w:val="en-GB"/>
        </w:rPr>
        <w:t>In this paper</w:t>
      </w:r>
      <w:r w:rsidR="00270F9E">
        <w:rPr>
          <w:lang w:val="en-GB"/>
        </w:rPr>
        <w:t xml:space="preserve"> we find </w:t>
      </w:r>
      <w:r w:rsidR="00CE1766">
        <w:rPr>
          <w:lang w:val="en-GB"/>
        </w:rPr>
        <w:t>suggestions for a gradual integration into the single market and policy fields such as trade, climate</w:t>
      </w:r>
      <w:r w:rsidR="00C66212">
        <w:rPr>
          <w:lang w:val="en-GB"/>
        </w:rPr>
        <w:t>,</w:t>
      </w:r>
      <w:r w:rsidR="00CE1766">
        <w:rPr>
          <w:lang w:val="en-GB"/>
        </w:rPr>
        <w:t xml:space="preserve"> energy, research, health, and foreign and security policy. This </w:t>
      </w:r>
      <w:r w:rsidR="00667266">
        <w:rPr>
          <w:lang w:val="en-GB"/>
        </w:rPr>
        <w:t>is supported by a merit-based approach and a quantified assessment of the reform progress</w:t>
      </w:r>
      <w:r w:rsidR="00CA0329">
        <w:rPr>
          <w:lang w:val="en-GB"/>
        </w:rPr>
        <w:t xml:space="preserve"> (also including a principle of reversibility) and gradual access to EU funds</w:t>
      </w:r>
      <w:r w:rsidR="006E7DF3">
        <w:rPr>
          <w:lang w:val="en-GB"/>
        </w:rPr>
        <w:t xml:space="preserve"> </w:t>
      </w:r>
      <w:r w:rsidR="001201A7">
        <w:rPr>
          <w:lang w:val="en-GB"/>
        </w:rPr>
        <w:fldChar w:fldCharType="begin"/>
      </w:r>
      <w:r w:rsidR="001201A7">
        <w:rPr>
          <w:lang w:val="en-GB"/>
        </w:rPr>
        <w:instrText xml:space="preserve"> ADDIN ZOTERO_ITEM CSL_CITATION {"citationID":"iCi0EjRH","properties":{"formattedCitation":"(Emerson and Blockmans 2022)","plainCitation":"(Emerson and Blockmans 2022)","noteIndex":0},"citationItems":[{"id":47847,"uris":["http://zotero.org/users/238382/items/3IK496FV"],"itemData":{"id":47847,"type":"article-journal","abstract":"The EU’s present enlargement process, once applauded as the EU’s most successful foreign policy, is not working well. With the addition of candidate status for Ukraine and Moldova the case for a serious reform of existing procedures is widely recognised. This is witnessed by the emergence of several proposals, mostly for restoring the incentive power of membership perspectives; but there are other ideas for stopping further enlargement or offering alternatives to it. This paper surveys the content of these proposals, considers also the cost of rescinding enlargement prospects and offers ideas going forward. It fleshes out the hitherto empty notions of ‘gradual’ and ‘accelerated’ integration and argues that by structuring the accession process in clearly marked ‘stages’ of clustered chapters, the EU would be able to provide concrete visible benefits for citizens already during the process of negotiations. This would be with a view to boosting public support, and help in building candidate countries’ institutional capacities in a logical step-by-step manner, thus promoting cooperation and trust.","call-number":"</w:instrText>
      </w:r>
      <w:r w:rsidR="001201A7">
        <w:rPr>
          <w:rFonts w:ascii="Segoe UI Emoji" w:hAnsi="Segoe UI Emoji" w:cs="Segoe UI Emoji"/>
          <w:lang w:val="en-GB"/>
        </w:rPr>
        <w:instrText>🤩</w:instrText>
      </w:r>
      <w:r w:rsidR="001201A7">
        <w:rPr>
          <w:lang w:val="en-GB"/>
        </w:rPr>
        <w:instrText xml:space="preserve"> am detailiiertesten zu Austrian non-paper","language":"en","license":"</w:instrText>
      </w:r>
      <w:r w:rsidR="001201A7">
        <w:rPr>
          <w:rFonts w:ascii="Segoe UI Emoji" w:hAnsi="Segoe UI Emoji" w:cs="Segoe UI Emoji"/>
          <w:lang w:val="en-GB"/>
        </w:rPr>
        <w:instrText>🦦</w:instrText>
      </w:r>
      <w:r w:rsidR="001201A7">
        <w:rPr>
          <w:lang w:val="en-GB"/>
        </w:rPr>
        <w:instrText xml:space="preserve">","source":"Zotero","title":"Next Steps for EU Enlargement – Forwards or Backwards?","author":[{"family":"Emerson","given":"Michael"},{"family":"Blockmans","given":"Steven"}],"issued":{"date-parts":[["2022"]]}}}],"schema":"https://github.com/citation-style-language/schema/raw/master/csl-citation.json"} </w:instrText>
      </w:r>
      <w:r w:rsidR="001201A7">
        <w:rPr>
          <w:lang w:val="en-GB"/>
        </w:rPr>
        <w:fldChar w:fldCharType="separate"/>
      </w:r>
      <w:r w:rsidR="001201A7" w:rsidRPr="00583717">
        <w:rPr>
          <w:rFonts w:ascii="Calibri" w:hAnsi="Calibri" w:cs="Calibri"/>
          <w:lang w:val="en-US"/>
        </w:rPr>
        <w:t>(Emerson and Blockmans 2022)</w:t>
      </w:r>
      <w:r w:rsidR="001201A7">
        <w:rPr>
          <w:lang w:val="en-GB"/>
        </w:rPr>
        <w:fldChar w:fldCharType="end"/>
      </w:r>
      <w:r w:rsidR="00CA0329">
        <w:rPr>
          <w:lang w:val="en-GB"/>
        </w:rPr>
        <w:t xml:space="preserve">. </w:t>
      </w:r>
      <w:r w:rsidR="007B3B48">
        <w:rPr>
          <w:lang w:val="en-GB"/>
        </w:rPr>
        <w:t>Very similar to this, but with a different terminology and</w:t>
      </w:r>
      <w:r w:rsidR="001778DA">
        <w:rPr>
          <w:lang w:val="en-GB"/>
        </w:rPr>
        <w:t xml:space="preserve"> introducing new patterns of membership, is the “template for staged accession” by the Centre for European Policy Studies (CEPS) and the European Policy Centre (CEP): </w:t>
      </w:r>
      <w:r w:rsidR="0052429B">
        <w:rPr>
          <w:lang w:val="en-GB"/>
        </w:rPr>
        <w:t>starting with initial accession (based on a functioning association agreement and moderate ratings for cluster averages</w:t>
      </w:r>
      <w:r w:rsidR="00BB1685">
        <w:rPr>
          <w:lang w:val="en-GB"/>
        </w:rPr>
        <w:t>), candidates</w:t>
      </w:r>
      <w:r w:rsidR="000D351C">
        <w:rPr>
          <w:lang w:val="en-GB"/>
        </w:rPr>
        <w:t xml:space="preserve"> with each further step (the advancement depending on cluster grades) receive </w:t>
      </w:r>
      <w:r w:rsidR="00B05C78">
        <w:rPr>
          <w:lang w:val="en-GB"/>
        </w:rPr>
        <w:t>better access to EU-</w:t>
      </w:r>
      <w:r w:rsidR="000D351C">
        <w:rPr>
          <w:lang w:val="en-GB"/>
        </w:rPr>
        <w:t xml:space="preserve"> funding</w:t>
      </w:r>
      <w:r w:rsidR="00B05C78">
        <w:rPr>
          <w:lang w:val="en-GB"/>
        </w:rPr>
        <w:t xml:space="preserve"> (</w:t>
      </w:r>
      <w:r w:rsidR="008E6E6E">
        <w:rPr>
          <w:lang w:val="en-GB"/>
        </w:rPr>
        <w:t>already i</w:t>
      </w:r>
      <w:r w:rsidR="00B05C78">
        <w:rPr>
          <w:lang w:val="en-GB"/>
        </w:rPr>
        <w:t xml:space="preserve">n stage 3 100% of conventional membership) and </w:t>
      </w:r>
      <w:r w:rsidR="00895871">
        <w:rPr>
          <w:lang w:val="en-GB"/>
        </w:rPr>
        <w:t>more substantial participation in the institutions</w:t>
      </w:r>
      <w:r w:rsidR="00170AD3">
        <w:rPr>
          <w:lang w:val="en-GB"/>
        </w:rPr>
        <w:t xml:space="preserve"> with each step taken</w:t>
      </w:r>
      <w:r w:rsidR="00C63640">
        <w:rPr>
          <w:lang w:val="en-GB"/>
        </w:rPr>
        <w:t xml:space="preserve"> </w:t>
      </w:r>
      <w:r w:rsidR="00C63640">
        <w:rPr>
          <w:lang w:val="en-GB"/>
        </w:rPr>
        <w:fldChar w:fldCharType="begin"/>
      </w:r>
      <w:r w:rsidR="00C63640">
        <w:rPr>
          <w:lang w:val="en-GB"/>
        </w:rPr>
        <w:instrText xml:space="preserve"> ADDIN ZOTERO_ITEM CSL_CITATION {"citationID":"tZzDkqdy","properties":{"formattedCitation":"(Emerson et al. 2022)","plainCitation":"(Emerson et al. 2022)","noteIndex":0},"citationItems":[{"id":33689,"uris":["http://zotero.org/users/238382/items/85BB3SBR"],"itemData":{"id":33689,"type":"article-journal","abstract":"An idea is gaining ground that a system of accession to the EU in stages is now needed to revive and sustain the incentives for the states of the Western Balkans to continue their European integration journey and overcome an apparent impasse over accession prospects. At the same time there is the need to ease the most serious concerns that existing EU Member States have over the prospect of further enlargement. If there can be a broad intuitive appeal for the idea of staged accession, then what naturally follows is the need for a detailed explanation on how this would work in practice, which this paper explores for each of the EU institutions. The picture that emerges is that the EU’s institutions could well lend themselves to the idea of staged membership, with various examples or precedents to be noted, also connecting with the related idea of ‘differentiated’ integration. A successful development and practical application along these lines would do much to restore positive momentum to the European project itself, currently threatened by a damaged reputation, as well as numerous internal and external threats. The paper sets out a substantial institutional, technical and legal basis for a breakthrough out of the current impasse. It remains for political leaders in both the EU and the Western Balkans to signal their interest in such ideas, and thus launch debate at the strategic level, so that the institutions can work towards defining a formal proposal. The implementation of the system of staged accession would have to be supplemented by a robust EU policy geared towards the resolution of bilateral disputes and issues of statehood in the region.","archive_location":"</w:instrText>
      </w:r>
      <w:r w:rsidR="00C63640">
        <w:rPr>
          <w:rFonts w:ascii="Segoe UI Emoji" w:hAnsi="Segoe UI Emoji" w:cs="Segoe UI Emoji"/>
          <w:lang w:val="en-GB"/>
        </w:rPr>
        <w:instrText>🔜</w:instrText>
      </w:r>
      <w:r w:rsidR="00C63640">
        <w:rPr>
          <w:lang w:val="en-GB"/>
        </w:rPr>
        <w:instrText>","call-number":"</w:instrText>
      </w:r>
      <w:r w:rsidR="00C63640">
        <w:rPr>
          <w:rFonts w:ascii="Segoe UI Emoji" w:hAnsi="Segoe UI Emoji" w:cs="Segoe UI Emoji"/>
          <w:lang w:val="en-GB"/>
        </w:rPr>
        <w:instrText>🤩</w:instrText>
      </w:r>
      <w:r w:rsidR="00C63640">
        <w:rPr>
          <w:lang w:val="en-GB"/>
        </w:rPr>
        <w:instrText>","language":"en","license":"</w:instrText>
      </w:r>
      <w:r w:rsidR="00C63640">
        <w:rPr>
          <w:rFonts w:ascii="Segoe UI Emoji" w:hAnsi="Segoe UI Emoji" w:cs="Segoe UI Emoji"/>
          <w:lang w:val="en-GB"/>
        </w:rPr>
        <w:instrText>🦦</w:instrText>
      </w:r>
      <w:r w:rsidR="00C63640">
        <w:rPr>
          <w:lang w:val="en-GB"/>
        </w:rPr>
        <w:instrText xml:space="preserve">","page":"25","source":"Zotero","title":"A Template for Staged Accession to the EU","author":[{"family":"Emerson","given":"Michael"},{"family":"Lazarević","given":"Milena"},{"family":"Blockmans","given":"Steven"},{"family":"Subotić","given":"Strahinja"}],"issued":{"date-parts":[["2022"]]}}}],"schema":"https://github.com/citation-style-language/schema/raw/master/csl-citation.json"} </w:instrText>
      </w:r>
      <w:r w:rsidR="00C63640">
        <w:rPr>
          <w:lang w:val="en-GB"/>
        </w:rPr>
        <w:fldChar w:fldCharType="separate"/>
      </w:r>
      <w:r w:rsidR="00C63640" w:rsidRPr="00C63640">
        <w:rPr>
          <w:rFonts w:ascii="Calibri" w:hAnsi="Calibri" w:cs="Calibri"/>
        </w:rPr>
        <w:t>(Emerson et al. 2022)</w:t>
      </w:r>
      <w:r w:rsidR="00C63640">
        <w:rPr>
          <w:lang w:val="en-GB"/>
        </w:rPr>
        <w:fldChar w:fldCharType="end"/>
      </w:r>
      <w:r w:rsidR="00895871">
        <w:rPr>
          <w:lang w:val="en-GB"/>
        </w:rPr>
        <w:t>.</w:t>
      </w:r>
      <w:r w:rsidR="00FC0119">
        <w:rPr>
          <w:lang w:val="en-GB"/>
        </w:rPr>
        <w:t xml:space="preserve"> A very recent paper published by CEPS</w:t>
      </w:r>
      <w:r w:rsidR="000A4023">
        <w:rPr>
          <w:lang w:val="en-GB"/>
        </w:rPr>
        <w:t xml:space="preserve"> presents the broad variety of suggestions on sectoral integration, including also the </w:t>
      </w:r>
      <w:r w:rsidR="00C26F3B">
        <w:rPr>
          <w:lang w:val="en-GB"/>
        </w:rPr>
        <w:t>ideas of the EU-Ukraine Association Council (September 2022), a Czech Non-Paper (November 2022)</w:t>
      </w:r>
      <w:r w:rsidR="005B7C4E">
        <w:rPr>
          <w:lang w:val="en-GB"/>
        </w:rPr>
        <w:t xml:space="preserve"> and the Tirana Declaration (December 2022). </w:t>
      </w:r>
      <w:r w:rsidR="0073349F">
        <w:rPr>
          <w:lang w:val="en-GB"/>
        </w:rPr>
        <w:t>“Sectoral blocks”</w:t>
      </w:r>
      <w:r w:rsidR="004A2763">
        <w:rPr>
          <w:lang w:val="en-GB"/>
        </w:rPr>
        <w:t>,</w:t>
      </w:r>
      <w:r w:rsidR="0073349F">
        <w:rPr>
          <w:lang w:val="en-GB"/>
        </w:rPr>
        <w:t xml:space="preserve"> </w:t>
      </w:r>
      <w:r w:rsidR="004A2763">
        <w:rPr>
          <w:lang w:val="en-GB"/>
        </w:rPr>
        <w:t>which are suggested for enhanced integration are</w:t>
      </w:r>
      <w:r w:rsidR="00D67E75">
        <w:rPr>
          <w:lang w:val="en-GB"/>
        </w:rPr>
        <w:t>:</w:t>
      </w:r>
      <w:r w:rsidR="00583361">
        <w:rPr>
          <w:lang w:val="en-GB"/>
        </w:rPr>
        <w:t xml:space="preserve"> </w:t>
      </w:r>
      <w:r w:rsidR="004A2763">
        <w:rPr>
          <w:lang w:val="en-GB"/>
        </w:rPr>
        <w:t>the internal market (debating whether this would include all four freedoms</w:t>
      </w:r>
      <w:r w:rsidR="00D43D22">
        <w:rPr>
          <w:lang w:val="en-GB"/>
        </w:rPr>
        <w:t>)</w:t>
      </w:r>
      <w:r w:rsidR="00D67E75">
        <w:rPr>
          <w:lang w:val="en-GB"/>
        </w:rPr>
        <w:t>;</w:t>
      </w:r>
      <w:r w:rsidR="00D43D22">
        <w:rPr>
          <w:lang w:val="en-GB"/>
        </w:rPr>
        <w:t xml:space="preserve"> the Green Agenda (based on the Green Agenda for the Western B</w:t>
      </w:r>
      <w:r w:rsidR="00F824C8">
        <w:rPr>
          <w:lang w:val="en-GB"/>
        </w:rPr>
        <w:t>alkans with roadmaps for climate action, energy, sustainable transport, environmental remediation and sustainable agriculture)</w:t>
      </w:r>
      <w:r w:rsidR="00D67E75">
        <w:rPr>
          <w:lang w:val="en-GB"/>
        </w:rPr>
        <w:t>;</w:t>
      </w:r>
      <w:r w:rsidR="008C0D03">
        <w:rPr>
          <w:lang w:val="en-GB"/>
        </w:rPr>
        <w:t xml:space="preserve"> Digital Europe (the Digital singe </w:t>
      </w:r>
      <w:r w:rsidR="008C0D03">
        <w:rPr>
          <w:lang w:val="en-GB"/>
        </w:rPr>
        <w:lastRenderedPageBreak/>
        <w:t>market)</w:t>
      </w:r>
      <w:r w:rsidR="00D67E75">
        <w:rPr>
          <w:lang w:val="en-GB"/>
        </w:rPr>
        <w:t xml:space="preserve">; </w:t>
      </w:r>
      <w:r w:rsidR="008C0D03">
        <w:rPr>
          <w:lang w:val="en-GB"/>
        </w:rPr>
        <w:t>foreign and security policy</w:t>
      </w:r>
      <w:r w:rsidR="00D67E75">
        <w:rPr>
          <w:lang w:val="en-GB"/>
        </w:rPr>
        <w:t>; justice, borders and Schengen; and Monetary Europe. But proposals for sectoral integration also include references to participation in agencies and programmes</w:t>
      </w:r>
      <w:r w:rsidR="0020051A">
        <w:rPr>
          <w:lang w:val="en-GB"/>
        </w:rPr>
        <w:t>,</w:t>
      </w:r>
      <w:r w:rsidR="004B0A1A">
        <w:rPr>
          <w:lang w:val="en-GB"/>
        </w:rPr>
        <w:t xml:space="preserve"> building on the already existing participation of the Western Balkan states in programmes like Erasmus, Horizon and Creative Europe</w:t>
      </w:r>
      <w:r w:rsidR="00583361">
        <w:rPr>
          <w:lang w:val="en-GB"/>
        </w:rPr>
        <w:t xml:space="preserve"> </w:t>
      </w:r>
      <w:r w:rsidR="004B0A1A">
        <w:rPr>
          <w:lang w:val="en-GB"/>
        </w:rPr>
        <w:fldChar w:fldCharType="begin"/>
      </w:r>
      <w:r w:rsidR="004B0A1A">
        <w:rPr>
          <w:lang w:val="en-GB"/>
        </w:rPr>
        <w:instrText xml:space="preserve"> ADDIN ZOTERO_ITEM CSL_CITATION {"citationID":"ya32bOzI","properties":{"formattedCitation":"(Emerson and Blockmans 2023)","plainCitation":"(Emerson and Blockmans 2023)","noteIndex":0},"citationItems":[{"id":51425,"uris":["http://zotero.org/users/238382/items/GD82IX48"],"itemData":{"id":51425,"type":"document","abstract":"This paper reviews suggestions that the enlargement process, currently rather stagnant in the Western Balkans, might be re-dynamised with elements of sectoral policy integration before accession, with a cacophony of terms being used to seemingly express the same broad idea (accelerated, gradual, advanced, enhanced, etc.). The sectoral integration idea has yet to be fully worked out, and the paper sketches what it could mean in practice for major sectors of policy (internal market, the green and digital agendas, foreign and security policy, and monetary policy), and also how this may relate to the proposed Staged Accession model.","language":"en","source":"Zotero","title":"Sectoral policy integration in advance of accession – an alternative or complement to the Staged Accession model?","author":[{"family":"Emerson","given":"Michael"},{"family":"Blockmans","given":"Steven"}],"issued":{"date-parts":[["2023"]]}}}],"schema":"https://github.com/citation-style-language/schema/raw/master/csl-citation.json"} </w:instrText>
      </w:r>
      <w:r w:rsidR="004B0A1A">
        <w:rPr>
          <w:lang w:val="en-GB"/>
        </w:rPr>
        <w:fldChar w:fldCharType="separate"/>
      </w:r>
      <w:r w:rsidR="004B0A1A" w:rsidRPr="00583717">
        <w:rPr>
          <w:rFonts w:ascii="Calibri" w:hAnsi="Calibri" w:cs="Calibri"/>
          <w:lang w:val="en-US"/>
        </w:rPr>
        <w:t>(Emerson and Blockmans 2023)</w:t>
      </w:r>
      <w:r w:rsidR="004B0A1A">
        <w:rPr>
          <w:lang w:val="en-GB"/>
        </w:rPr>
        <w:fldChar w:fldCharType="end"/>
      </w:r>
      <w:r w:rsidR="004B0A1A">
        <w:rPr>
          <w:lang w:val="en-GB"/>
        </w:rPr>
        <w:t xml:space="preserve">. </w:t>
      </w:r>
    </w:p>
    <w:p w14:paraId="03259D75" w14:textId="55164B33" w:rsidR="00825339" w:rsidRDefault="002A7582" w:rsidP="002A7582">
      <w:pPr>
        <w:spacing w:line="240" w:lineRule="auto"/>
        <w:jc w:val="both"/>
        <w:rPr>
          <w:lang w:val="en-GB"/>
        </w:rPr>
      </w:pPr>
      <w:r>
        <w:rPr>
          <w:lang w:val="en-GB"/>
        </w:rPr>
        <w:t>The PoSIG Teacher Academy 2024 will discuss prospects and challenges of these approaches to sectoral integration</w:t>
      </w:r>
      <w:r w:rsidR="00825339">
        <w:rPr>
          <w:lang w:val="en-GB"/>
        </w:rPr>
        <w:t xml:space="preserve"> and will search for concepts to research and teaching of sectoral integration</w:t>
      </w:r>
      <w:r>
        <w:rPr>
          <w:lang w:val="en-GB"/>
        </w:rPr>
        <w:t xml:space="preserve">. </w:t>
      </w:r>
    </w:p>
    <w:p w14:paraId="10562737" w14:textId="3403717D" w:rsidR="00CA47E0" w:rsidRDefault="002A7582" w:rsidP="002A7582">
      <w:pPr>
        <w:spacing w:line="240" w:lineRule="auto"/>
        <w:jc w:val="both"/>
        <w:rPr>
          <w:lang w:val="en-GB"/>
        </w:rPr>
      </w:pPr>
      <w:r>
        <w:rPr>
          <w:lang w:val="en-GB"/>
        </w:rPr>
        <w:t xml:space="preserve">The topics discussed </w:t>
      </w:r>
      <w:r w:rsidR="00BB743E">
        <w:rPr>
          <w:lang w:val="en-GB"/>
        </w:rPr>
        <w:t>should</w:t>
      </w:r>
      <w:r>
        <w:rPr>
          <w:lang w:val="en-GB"/>
        </w:rPr>
        <w:t xml:space="preserve"> be:</w:t>
      </w:r>
    </w:p>
    <w:p w14:paraId="6DF52F3C" w14:textId="5D2483CE" w:rsidR="002A7582" w:rsidRPr="00825339" w:rsidRDefault="002A7582" w:rsidP="00825339">
      <w:pPr>
        <w:pStyle w:val="Listenabsatz"/>
        <w:numPr>
          <w:ilvl w:val="0"/>
          <w:numId w:val="1"/>
        </w:numPr>
        <w:spacing w:line="240" w:lineRule="auto"/>
        <w:jc w:val="both"/>
        <w:rPr>
          <w:lang w:val="en-GB"/>
        </w:rPr>
      </w:pPr>
      <w:r w:rsidRPr="00825339">
        <w:rPr>
          <w:lang w:val="en-GB"/>
        </w:rPr>
        <w:t>Which sectors</w:t>
      </w:r>
      <w:r w:rsidR="00BA421B" w:rsidRPr="00825339">
        <w:rPr>
          <w:lang w:val="en-GB"/>
        </w:rPr>
        <w:t xml:space="preserve">/ policy fields </w:t>
      </w:r>
      <w:r w:rsidR="00BB743E" w:rsidRPr="00825339">
        <w:rPr>
          <w:lang w:val="en-GB"/>
        </w:rPr>
        <w:t xml:space="preserve">seem most promising for sectoral integration? </w:t>
      </w:r>
      <w:r w:rsidR="0090396F" w:rsidRPr="00825339">
        <w:rPr>
          <w:lang w:val="en-GB"/>
        </w:rPr>
        <w:t>On which already existing achievements (e.g. in the field of energy networks, education, telecommunication and roaming) can this sectoral integration build?</w:t>
      </w:r>
      <w:r w:rsidR="00226494" w:rsidRPr="00825339">
        <w:rPr>
          <w:lang w:val="en-GB"/>
        </w:rPr>
        <w:t xml:space="preserve"> Which Roadmap to sectoral (and further) full integration could the different Western Balkan states propose? Which synergies would this create in the region?</w:t>
      </w:r>
    </w:p>
    <w:p w14:paraId="7EB7852C" w14:textId="3FBCB1F6" w:rsidR="00226494" w:rsidRPr="00825339" w:rsidRDefault="00C617BE" w:rsidP="00825339">
      <w:pPr>
        <w:pStyle w:val="Listenabsatz"/>
        <w:numPr>
          <w:ilvl w:val="0"/>
          <w:numId w:val="1"/>
        </w:numPr>
        <w:spacing w:line="240" w:lineRule="auto"/>
        <w:jc w:val="both"/>
        <w:rPr>
          <w:lang w:val="en-GB"/>
        </w:rPr>
      </w:pPr>
      <w:r w:rsidRPr="00825339">
        <w:rPr>
          <w:lang w:val="en-GB"/>
        </w:rPr>
        <w:t xml:space="preserve">What are the challenges of sectoral integration? Would the functional logic </w:t>
      </w:r>
      <w:r w:rsidR="00887999" w:rsidRPr="00825339">
        <w:rPr>
          <w:lang w:val="en-GB"/>
        </w:rPr>
        <w:t>over “ever deeper integration” work and can we expect spill-over effects between sectors? How could sectoral integration affect the</w:t>
      </w:r>
      <w:r w:rsidR="00524F3D" w:rsidRPr="00825339">
        <w:rPr>
          <w:lang w:val="en-GB"/>
        </w:rPr>
        <w:t xml:space="preserve"> struggle on the “Fundamentals” (rule of law, efficient and transparent administration, anti-corruption mechanisms)?</w:t>
      </w:r>
    </w:p>
    <w:p w14:paraId="4686D266" w14:textId="7DA0648C" w:rsidR="00524F3D" w:rsidRDefault="00524F3D" w:rsidP="00825339">
      <w:pPr>
        <w:pStyle w:val="Listenabsatz"/>
        <w:numPr>
          <w:ilvl w:val="0"/>
          <w:numId w:val="1"/>
        </w:numPr>
        <w:spacing w:line="240" w:lineRule="auto"/>
        <w:jc w:val="both"/>
        <w:rPr>
          <w:lang w:val="en-GB"/>
        </w:rPr>
      </w:pPr>
      <w:r w:rsidRPr="00825339">
        <w:rPr>
          <w:lang w:val="en-GB"/>
        </w:rPr>
        <w:t>Which institutional challenges might arise? Is there a need for new institutions</w:t>
      </w:r>
      <w:r w:rsidR="00B92627" w:rsidRPr="00825339">
        <w:rPr>
          <w:lang w:val="en-GB"/>
        </w:rPr>
        <w:t xml:space="preserve">? Which reforms of already existing European structures and institutions would be necessary for sectoral integration to be successful? </w:t>
      </w:r>
      <w:r w:rsidR="001E1F36" w:rsidRPr="00825339">
        <w:rPr>
          <w:lang w:val="en-GB"/>
        </w:rPr>
        <w:t>Is there a need for a change of the EU treaties? And how can successful be measured?</w:t>
      </w:r>
      <w:r w:rsidR="00D84F5E" w:rsidRPr="00825339">
        <w:rPr>
          <w:lang w:val="en-GB"/>
        </w:rPr>
        <w:t xml:space="preserve"> Is quantification the solution concerning the assessment of progress of candidate countries?</w:t>
      </w:r>
    </w:p>
    <w:p w14:paraId="0E8506EA" w14:textId="7F34A97A" w:rsidR="00C43BD2" w:rsidRPr="00825339" w:rsidRDefault="004D682D" w:rsidP="00825339">
      <w:pPr>
        <w:pStyle w:val="Listenabsatz"/>
        <w:numPr>
          <w:ilvl w:val="0"/>
          <w:numId w:val="1"/>
        </w:numPr>
        <w:spacing w:line="240" w:lineRule="auto"/>
        <w:jc w:val="both"/>
        <w:rPr>
          <w:lang w:val="en-GB"/>
        </w:rPr>
      </w:pPr>
      <w:r>
        <w:rPr>
          <w:lang w:val="en-GB"/>
        </w:rPr>
        <w:t>Can models of sectoral or staged integration revitalize the integration process</w:t>
      </w:r>
      <w:r w:rsidR="00AB3B81">
        <w:rPr>
          <w:lang w:val="en-GB"/>
        </w:rPr>
        <w:t xml:space="preserve"> and provide new pathways to EU membership?</w:t>
      </w:r>
    </w:p>
    <w:p w14:paraId="7E3E0DE2" w14:textId="77777777" w:rsidR="0029602F" w:rsidRPr="0029602F" w:rsidRDefault="0029602F" w:rsidP="00825339">
      <w:pPr>
        <w:pStyle w:val="StandardWeb"/>
        <w:numPr>
          <w:ilvl w:val="0"/>
          <w:numId w:val="1"/>
        </w:numPr>
        <w:shd w:val="clear" w:color="auto" w:fill="FFFFFF"/>
        <w:spacing w:before="0" w:beforeAutospacing="0" w:after="0" w:afterAutospacing="0"/>
        <w:rPr>
          <w:rFonts w:ascii="Calibri" w:hAnsi="Calibri" w:cs="Calibri"/>
          <w:color w:val="242424"/>
          <w:sz w:val="22"/>
          <w:szCs w:val="22"/>
          <w:lang w:val="en-GB"/>
        </w:rPr>
      </w:pPr>
      <w:r>
        <w:rPr>
          <w:rFonts w:ascii="Calibri" w:hAnsi="Calibri" w:cs="Calibri"/>
          <w:color w:val="242424"/>
          <w:sz w:val="22"/>
          <w:szCs w:val="22"/>
          <w:bdr w:val="none" w:sz="0" w:space="0" w:color="auto" w:frame="1"/>
          <w:lang w:val="en-GB"/>
        </w:rPr>
        <w:t>Beyond the political discourse about the size, institutional arrangements and time plans for the EU enlargement process we want to identify relevant indicators for successful integration. In the PoSIG Teacher Academy 2024 we will search for concepts to research and teach sectoral integration opportunities.</w:t>
      </w:r>
    </w:p>
    <w:p w14:paraId="2BEA5DC9" w14:textId="76D11078" w:rsidR="0029602F" w:rsidRDefault="0029602F">
      <w:pPr>
        <w:rPr>
          <w:b/>
          <w:bCs/>
          <w:lang w:val="en-GB"/>
        </w:rPr>
      </w:pPr>
    </w:p>
    <w:p w14:paraId="7554069F" w14:textId="0CD97C23" w:rsidR="00C43BD2" w:rsidRDefault="00AB3B81">
      <w:pPr>
        <w:rPr>
          <w:b/>
          <w:bCs/>
          <w:lang w:val="en-GB"/>
        </w:rPr>
      </w:pPr>
      <w:r>
        <w:rPr>
          <w:b/>
          <w:bCs/>
          <w:lang w:val="en-GB"/>
        </w:rPr>
        <w:t>References:</w:t>
      </w:r>
    </w:p>
    <w:p w14:paraId="4073E7CC" w14:textId="77777777" w:rsidR="00D556D6" w:rsidRPr="00583717" w:rsidRDefault="00D556D6" w:rsidP="00D556D6">
      <w:pPr>
        <w:pStyle w:val="Literaturverzeichnis"/>
        <w:rPr>
          <w:rFonts w:ascii="Calibri" w:hAnsi="Calibri" w:cs="Calibri"/>
          <w:lang w:val="en-US"/>
        </w:rPr>
      </w:pPr>
      <w:r>
        <w:rPr>
          <w:b/>
          <w:bCs/>
          <w:lang w:val="en-GB"/>
        </w:rPr>
        <w:fldChar w:fldCharType="begin"/>
      </w:r>
      <w:r>
        <w:rPr>
          <w:b/>
          <w:bCs/>
          <w:lang w:val="en-GB"/>
        </w:rPr>
        <w:instrText xml:space="preserve"> ADDIN ZOTERO_BIBL {"uncited":[],"omitted":[],"custom":[]} CSL_BIBLIOGRAPHY </w:instrText>
      </w:r>
      <w:r>
        <w:rPr>
          <w:b/>
          <w:bCs/>
          <w:lang w:val="en-GB"/>
        </w:rPr>
        <w:fldChar w:fldCharType="separate"/>
      </w:r>
      <w:r w:rsidRPr="00583717">
        <w:rPr>
          <w:rFonts w:ascii="Calibri" w:hAnsi="Calibri" w:cs="Calibri"/>
          <w:lang w:val="en-US"/>
        </w:rPr>
        <w:t xml:space="preserve">Bieber, Florian. 2018. ‘Patterns of Competitive Authoritarianism in the Western Balkans’. </w:t>
      </w:r>
      <w:r w:rsidRPr="00583717">
        <w:rPr>
          <w:rFonts w:ascii="Calibri" w:hAnsi="Calibri" w:cs="Calibri"/>
          <w:i/>
          <w:iCs/>
          <w:lang w:val="en-US"/>
        </w:rPr>
        <w:t>East European Politics</w:t>
      </w:r>
      <w:r w:rsidRPr="00583717">
        <w:rPr>
          <w:rFonts w:ascii="Calibri" w:hAnsi="Calibri" w:cs="Calibri"/>
          <w:lang w:val="en-US"/>
        </w:rPr>
        <w:t xml:space="preserve"> 34 (3): 337–54. https://doi.org/10.1080/21599165.2018.1490272.</w:t>
      </w:r>
    </w:p>
    <w:p w14:paraId="39906004" w14:textId="77777777" w:rsidR="00D556D6" w:rsidRPr="00583717" w:rsidRDefault="00D556D6" w:rsidP="00D556D6">
      <w:pPr>
        <w:pStyle w:val="Literaturverzeichnis"/>
        <w:rPr>
          <w:rFonts w:ascii="Calibri" w:hAnsi="Calibri" w:cs="Calibri"/>
          <w:lang w:val="en-US"/>
        </w:rPr>
      </w:pPr>
      <w:r w:rsidRPr="00583717">
        <w:rPr>
          <w:rFonts w:ascii="Calibri" w:hAnsi="Calibri" w:cs="Calibri"/>
          <w:lang w:val="en-US"/>
        </w:rPr>
        <w:t xml:space="preserve">Börzel, Tanja A., and Bidzina Lebanidze. 2017. ‘“The Transformative Power of Europe” beyond Enlargement: The EU’s Performance in Promoting Democracy in Its Neighbourhood’. </w:t>
      </w:r>
      <w:r w:rsidRPr="00583717">
        <w:rPr>
          <w:rFonts w:ascii="Calibri" w:hAnsi="Calibri" w:cs="Calibri"/>
          <w:i/>
          <w:iCs/>
          <w:lang w:val="en-US"/>
        </w:rPr>
        <w:t>East European Politics</w:t>
      </w:r>
      <w:r w:rsidRPr="00583717">
        <w:rPr>
          <w:rFonts w:ascii="Calibri" w:hAnsi="Calibri" w:cs="Calibri"/>
          <w:lang w:val="en-US"/>
        </w:rPr>
        <w:t xml:space="preserve"> 33 (1): 17–35. https://doi.org/10.1080/21599165.2017.1280473.</w:t>
      </w:r>
    </w:p>
    <w:p w14:paraId="72C04A4C" w14:textId="77777777" w:rsidR="00D556D6" w:rsidRPr="00D556D6" w:rsidRDefault="00D556D6" w:rsidP="00D556D6">
      <w:pPr>
        <w:pStyle w:val="Literaturverzeichnis"/>
        <w:rPr>
          <w:rFonts w:ascii="Calibri" w:hAnsi="Calibri" w:cs="Calibri"/>
        </w:rPr>
      </w:pPr>
      <w:r w:rsidRPr="00583717">
        <w:rPr>
          <w:rFonts w:ascii="Calibri" w:hAnsi="Calibri" w:cs="Calibri"/>
          <w:lang w:val="en-US"/>
        </w:rPr>
        <w:t xml:space="preserve">Börzel, Tanja A., and Thomas Risse. 2009. </w:t>
      </w:r>
      <w:r w:rsidRPr="00583717">
        <w:rPr>
          <w:rFonts w:ascii="Calibri" w:hAnsi="Calibri" w:cs="Calibri"/>
          <w:i/>
          <w:iCs/>
          <w:lang w:val="en-US"/>
        </w:rPr>
        <w:t>The transformative power of Europe: the European Union and the diffusion of ideas</w:t>
      </w:r>
      <w:r w:rsidRPr="00583717">
        <w:rPr>
          <w:rFonts w:ascii="Calibri" w:hAnsi="Calibri" w:cs="Calibri"/>
          <w:lang w:val="en-US"/>
        </w:rPr>
        <w:t xml:space="preserve">. </w:t>
      </w:r>
      <w:r w:rsidRPr="00D556D6">
        <w:rPr>
          <w:rFonts w:ascii="Calibri" w:hAnsi="Calibri" w:cs="Calibri"/>
        </w:rPr>
        <w:t>Vol. 1. KFG Working Paper Series. Berlin: Freie Universität Berlin, FB Politik- und Sozialwissenschaften, Otto-Suhr-Institut für Politikwissenschaft Kolleg-Forschergruppe ‘The Transformative Power of Europe’.</w:t>
      </w:r>
    </w:p>
    <w:p w14:paraId="55EF4570" w14:textId="77777777" w:rsidR="00D556D6" w:rsidRPr="00583717" w:rsidRDefault="00D556D6" w:rsidP="00D556D6">
      <w:pPr>
        <w:pStyle w:val="Literaturverzeichnis"/>
        <w:rPr>
          <w:rFonts w:ascii="Calibri" w:hAnsi="Calibri" w:cs="Calibri"/>
          <w:lang w:val="en-US"/>
        </w:rPr>
      </w:pPr>
      <w:r w:rsidRPr="00D556D6">
        <w:rPr>
          <w:rFonts w:ascii="Calibri" w:hAnsi="Calibri" w:cs="Calibri"/>
        </w:rPr>
        <w:t xml:space="preserve">Džankić, Jelena, Soeren Keil, and Marko Kmezić, eds. 2019. </w:t>
      </w:r>
      <w:r w:rsidRPr="00583717">
        <w:rPr>
          <w:rFonts w:ascii="Calibri" w:hAnsi="Calibri" w:cs="Calibri"/>
          <w:i/>
          <w:iCs/>
          <w:lang w:val="en-US"/>
        </w:rPr>
        <w:t>The Europeanisation of the Western Balkans: A Failure of EU Conditionality?</w:t>
      </w:r>
      <w:r w:rsidRPr="00583717">
        <w:rPr>
          <w:rFonts w:ascii="Calibri" w:hAnsi="Calibri" w:cs="Calibri"/>
          <w:lang w:val="en-US"/>
        </w:rPr>
        <w:t xml:space="preserve"> Cham: Springer International Publishing. https://doi.org/10.1007/978-3-319-91412-1.</w:t>
      </w:r>
    </w:p>
    <w:p w14:paraId="5747AF08" w14:textId="77777777" w:rsidR="00D556D6" w:rsidRPr="00583717" w:rsidRDefault="00D556D6" w:rsidP="00D556D6">
      <w:pPr>
        <w:pStyle w:val="Literaturverzeichnis"/>
        <w:rPr>
          <w:rFonts w:ascii="Calibri" w:hAnsi="Calibri" w:cs="Calibri"/>
          <w:lang w:val="en-US"/>
        </w:rPr>
      </w:pPr>
      <w:r w:rsidRPr="00583717">
        <w:rPr>
          <w:rFonts w:ascii="Calibri" w:hAnsi="Calibri" w:cs="Calibri"/>
          <w:lang w:val="en-US"/>
        </w:rPr>
        <w:t>Emerson, Michael, and Steven Blockmans. 2022. ‘Next Steps for EU Enlargement – Forwards or Backwards?’</w:t>
      </w:r>
    </w:p>
    <w:p w14:paraId="74129B79" w14:textId="77777777" w:rsidR="00D556D6" w:rsidRPr="00583717" w:rsidRDefault="00D556D6" w:rsidP="00D556D6">
      <w:pPr>
        <w:pStyle w:val="Literaturverzeichnis"/>
        <w:rPr>
          <w:rFonts w:ascii="Calibri" w:hAnsi="Calibri" w:cs="Calibri"/>
          <w:lang w:val="en-US"/>
        </w:rPr>
      </w:pPr>
      <w:r w:rsidRPr="00583717">
        <w:rPr>
          <w:rFonts w:ascii="Calibri" w:hAnsi="Calibri" w:cs="Calibri"/>
          <w:lang w:val="en-US"/>
        </w:rPr>
        <w:t>———. 2023. ‘Sectoral Policy Integration in Advance of Accession – an Alternative or Complement to the Staged Accession Model?’</w:t>
      </w:r>
    </w:p>
    <w:p w14:paraId="08E35B6F" w14:textId="77777777" w:rsidR="00D556D6" w:rsidRPr="00583717" w:rsidRDefault="00D556D6" w:rsidP="00D556D6">
      <w:pPr>
        <w:pStyle w:val="Literaturverzeichnis"/>
        <w:rPr>
          <w:rFonts w:ascii="Calibri" w:hAnsi="Calibri" w:cs="Calibri"/>
          <w:lang w:val="en-US"/>
        </w:rPr>
      </w:pPr>
      <w:r w:rsidRPr="00583717">
        <w:rPr>
          <w:rFonts w:ascii="Calibri" w:hAnsi="Calibri" w:cs="Calibri"/>
          <w:lang w:val="en-US"/>
        </w:rPr>
        <w:t>Emerson, Michael, Milena Lazarević, Steven Blockmans, and Strahinja Subotić. 2022. ‘A Template for Staged Accession to the EU’, 25.</w:t>
      </w:r>
    </w:p>
    <w:p w14:paraId="15376926" w14:textId="77777777" w:rsidR="00D556D6" w:rsidRPr="00583717" w:rsidRDefault="00D556D6" w:rsidP="00D556D6">
      <w:pPr>
        <w:pStyle w:val="Literaturverzeichnis"/>
        <w:rPr>
          <w:rFonts w:ascii="Calibri" w:hAnsi="Calibri" w:cs="Calibri"/>
          <w:lang w:val="en-US"/>
        </w:rPr>
      </w:pPr>
      <w:r w:rsidRPr="00583717">
        <w:rPr>
          <w:rFonts w:ascii="Calibri" w:hAnsi="Calibri" w:cs="Calibri"/>
          <w:lang w:val="en-US"/>
        </w:rPr>
        <w:t>Gressel, Gustav, and Nicu Popescu. 2020. ‘The Best Defence: Why the EU Should Forge Security Compacts with Its Eastern Neighbours’. European Council on Foreign Relations.</w:t>
      </w:r>
    </w:p>
    <w:p w14:paraId="09C996A6" w14:textId="77777777" w:rsidR="00D556D6" w:rsidRPr="00583717" w:rsidRDefault="00D556D6" w:rsidP="00D556D6">
      <w:pPr>
        <w:pStyle w:val="Literaturverzeichnis"/>
        <w:rPr>
          <w:rFonts w:ascii="Calibri" w:hAnsi="Calibri" w:cs="Calibri"/>
          <w:lang w:val="en-US"/>
        </w:rPr>
      </w:pPr>
      <w:r w:rsidRPr="00583717">
        <w:rPr>
          <w:rFonts w:ascii="Calibri" w:hAnsi="Calibri" w:cs="Calibri"/>
          <w:lang w:val="en-US"/>
        </w:rPr>
        <w:t xml:space="preserve">Kmezić, Marko. 2019. ‘EU Rule of Law Conditionality: Democracy or “Stabilitocracy” Promotion in the Western Balkans?’ In </w:t>
      </w:r>
      <w:r w:rsidRPr="00583717">
        <w:rPr>
          <w:rFonts w:ascii="Calibri" w:hAnsi="Calibri" w:cs="Calibri"/>
          <w:i/>
          <w:iCs/>
          <w:lang w:val="en-US"/>
        </w:rPr>
        <w:t>The Europeanisation of the Western Balkans: A Failure of EU Conditionality?</w:t>
      </w:r>
      <w:r w:rsidRPr="00583717">
        <w:rPr>
          <w:rFonts w:ascii="Calibri" w:hAnsi="Calibri" w:cs="Calibri"/>
          <w:lang w:val="en-US"/>
        </w:rPr>
        <w:t xml:space="preserve">, </w:t>
      </w:r>
      <w:r w:rsidRPr="00583717">
        <w:rPr>
          <w:rFonts w:ascii="Calibri" w:hAnsi="Calibri" w:cs="Calibri"/>
          <w:lang w:val="en-US"/>
        </w:rPr>
        <w:lastRenderedPageBreak/>
        <w:t>edited by Jelena Džankić, Soeren Keil, and Marko Kmezić, 87–109. Cham: Springer International Publishing. https://doi.org/10.1007/978-3-319-91412-1.</w:t>
      </w:r>
    </w:p>
    <w:p w14:paraId="15A5087E" w14:textId="77777777" w:rsidR="00D556D6" w:rsidRPr="00583717" w:rsidRDefault="00D556D6" w:rsidP="00D556D6">
      <w:pPr>
        <w:pStyle w:val="Literaturverzeichnis"/>
        <w:rPr>
          <w:rFonts w:ascii="Calibri" w:hAnsi="Calibri" w:cs="Calibri"/>
          <w:lang w:val="en-US"/>
        </w:rPr>
      </w:pPr>
      <w:r w:rsidRPr="00583717">
        <w:rPr>
          <w:rFonts w:ascii="Calibri" w:hAnsi="Calibri" w:cs="Calibri"/>
          <w:lang w:val="en-US"/>
        </w:rPr>
        <w:t xml:space="preserve">Lang, Kai-Olaf, and Piotr Buras. 2022. ‘Partnership for Enlargement: A New Way to Integrate Ukraine and the EU’s Eastern Neighbourhood – European Council on Foreign Relations’. </w:t>
      </w:r>
      <w:r w:rsidRPr="00583717">
        <w:rPr>
          <w:rFonts w:ascii="Calibri" w:hAnsi="Calibri" w:cs="Calibri"/>
          <w:i/>
          <w:iCs/>
          <w:lang w:val="en-US"/>
        </w:rPr>
        <w:t>ECFR</w:t>
      </w:r>
      <w:r w:rsidRPr="00583717">
        <w:rPr>
          <w:rFonts w:ascii="Calibri" w:hAnsi="Calibri" w:cs="Calibri"/>
          <w:lang w:val="en-US"/>
        </w:rPr>
        <w:t xml:space="preserve"> (blog). 17 June 2022. https://ecfr.eu/publication/partnership-for-enlargement-a-new-way-to-integrate-ukraine-and-the-eus-eastern-neighbourhood/.</w:t>
      </w:r>
    </w:p>
    <w:p w14:paraId="7743875D" w14:textId="77777777" w:rsidR="00D556D6" w:rsidRPr="00583717" w:rsidRDefault="00D556D6" w:rsidP="00D556D6">
      <w:pPr>
        <w:pStyle w:val="Literaturverzeichnis"/>
        <w:rPr>
          <w:rFonts w:ascii="Calibri" w:hAnsi="Calibri" w:cs="Calibri"/>
          <w:lang w:val="en-US"/>
        </w:rPr>
      </w:pPr>
      <w:r w:rsidRPr="00583717">
        <w:rPr>
          <w:rFonts w:ascii="Calibri" w:hAnsi="Calibri" w:cs="Calibri"/>
          <w:lang w:val="en-US"/>
        </w:rPr>
        <w:t xml:space="preserve">Petrovic, Milenko, and Nikolaos Tzifakis. 2021. ‘A Geopolitical Turn to EU Enlargement, or Another Postponement? An Introduction’. </w:t>
      </w:r>
      <w:r w:rsidRPr="00583717">
        <w:rPr>
          <w:rFonts w:ascii="Calibri" w:hAnsi="Calibri" w:cs="Calibri"/>
          <w:i/>
          <w:iCs/>
          <w:lang w:val="en-US"/>
        </w:rPr>
        <w:t>Journal of Contemporary European Studies</w:t>
      </w:r>
      <w:r w:rsidRPr="00583717">
        <w:rPr>
          <w:rFonts w:ascii="Calibri" w:hAnsi="Calibri" w:cs="Calibri"/>
          <w:lang w:val="en-US"/>
        </w:rPr>
        <w:t xml:space="preserve"> 29 (2): 157–68. https://doi.org/10.1080/14782804.2021.1891028.</w:t>
      </w:r>
    </w:p>
    <w:p w14:paraId="44A87CEC" w14:textId="5D59D92B" w:rsidR="00AB3B81" w:rsidRPr="0029602F" w:rsidRDefault="00D556D6" w:rsidP="00AB3B81">
      <w:pPr>
        <w:rPr>
          <w:b/>
          <w:bCs/>
          <w:lang w:val="en-GB"/>
        </w:rPr>
      </w:pPr>
      <w:r>
        <w:rPr>
          <w:b/>
          <w:bCs/>
          <w:lang w:val="en-GB"/>
        </w:rPr>
        <w:fldChar w:fldCharType="end"/>
      </w:r>
    </w:p>
    <w:sectPr w:rsidR="00AB3B81" w:rsidRPr="0029602F" w:rsidSect="00091C9B">
      <w:headerReference w:type="default" r:id="rId12"/>
      <w:pgSz w:w="11906" w:h="16838"/>
      <w:pgMar w:top="1134" w:right="96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4C94F" w14:textId="77777777" w:rsidR="007A1D7C" w:rsidRDefault="007A1D7C" w:rsidP="0088726B">
      <w:pPr>
        <w:spacing w:after="0" w:line="240" w:lineRule="auto"/>
      </w:pPr>
      <w:r>
        <w:separator/>
      </w:r>
    </w:p>
  </w:endnote>
  <w:endnote w:type="continuationSeparator" w:id="0">
    <w:p w14:paraId="7E83EDEB" w14:textId="77777777" w:rsidR="007A1D7C" w:rsidRDefault="007A1D7C" w:rsidP="00887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E78D9" w14:textId="77777777" w:rsidR="007A1D7C" w:rsidRDefault="007A1D7C" w:rsidP="0088726B">
      <w:pPr>
        <w:spacing w:after="0" w:line="240" w:lineRule="auto"/>
      </w:pPr>
      <w:r>
        <w:separator/>
      </w:r>
    </w:p>
  </w:footnote>
  <w:footnote w:type="continuationSeparator" w:id="0">
    <w:p w14:paraId="3656387C" w14:textId="77777777" w:rsidR="007A1D7C" w:rsidRDefault="007A1D7C" w:rsidP="008872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8A66B" w14:textId="4C7321B8" w:rsidR="0088726B" w:rsidRDefault="00091C9B">
    <w:pPr>
      <w:pStyle w:val="Kopfzeile"/>
    </w:pPr>
    <w:r>
      <w:rPr>
        <w:noProof/>
      </w:rPr>
      <w:drawing>
        <wp:inline distT="0" distB="0" distL="0" distR="0" wp14:anchorId="0F7CE8AA" wp14:editId="625CDDA0">
          <wp:extent cx="929640" cy="343401"/>
          <wp:effectExtent l="0" t="0" r="381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926" cy="357544"/>
                  </a:xfrm>
                  <a:prstGeom prst="rect">
                    <a:avLst/>
                  </a:prstGeom>
                  <a:noFill/>
                </pic:spPr>
              </pic:pic>
            </a:graphicData>
          </a:graphic>
        </wp:inline>
      </w:drawing>
    </w:r>
    <w:r>
      <w:t xml:space="preserve">                                                                                                                                </w:t>
    </w:r>
    <w:r>
      <w:rPr>
        <w:noProof/>
      </w:rPr>
      <w:drawing>
        <wp:inline distT="0" distB="0" distL="0" distR="0" wp14:anchorId="26D0DC64" wp14:editId="0A7EDD71">
          <wp:extent cx="666750" cy="299610"/>
          <wp:effectExtent l="0" t="0" r="0"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6330" cy="308408"/>
                  </a:xfrm>
                  <a:prstGeom prst="rect">
                    <a:avLst/>
                  </a:prstGeom>
                  <a:noFill/>
                </pic:spPr>
              </pic:pic>
            </a:graphicData>
          </a:graphic>
        </wp:inline>
      </w:drawing>
    </w:r>
  </w:p>
  <w:p w14:paraId="265757C5" w14:textId="77777777" w:rsidR="0088726B" w:rsidRDefault="0088726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116BA"/>
    <w:multiLevelType w:val="hybridMultilevel"/>
    <w:tmpl w:val="11CE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7699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02F"/>
    <w:rsid w:val="00063381"/>
    <w:rsid w:val="0007085C"/>
    <w:rsid w:val="00091C9B"/>
    <w:rsid w:val="000A4023"/>
    <w:rsid w:val="000D351C"/>
    <w:rsid w:val="001151C8"/>
    <w:rsid w:val="001201A7"/>
    <w:rsid w:val="00170AD3"/>
    <w:rsid w:val="001778DA"/>
    <w:rsid w:val="00186B0B"/>
    <w:rsid w:val="001E1F36"/>
    <w:rsid w:val="001F0B6C"/>
    <w:rsid w:val="001F1360"/>
    <w:rsid w:val="0020051A"/>
    <w:rsid w:val="00203602"/>
    <w:rsid w:val="00226494"/>
    <w:rsid w:val="002471B7"/>
    <w:rsid w:val="00256ADF"/>
    <w:rsid w:val="00262B28"/>
    <w:rsid w:val="00270F9E"/>
    <w:rsid w:val="00275BB4"/>
    <w:rsid w:val="0029602F"/>
    <w:rsid w:val="002A7582"/>
    <w:rsid w:val="002B34F2"/>
    <w:rsid w:val="00334325"/>
    <w:rsid w:val="00377D1A"/>
    <w:rsid w:val="00397A11"/>
    <w:rsid w:val="003E77C4"/>
    <w:rsid w:val="00421E8A"/>
    <w:rsid w:val="004A2763"/>
    <w:rsid w:val="004A332C"/>
    <w:rsid w:val="004B0A1A"/>
    <w:rsid w:val="004D1748"/>
    <w:rsid w:val="004D682D"/>
    <w:rsid w:val="0051101D"/>
    <w:rsid w:val="00513F40"/>
    <w:rsid w:val="0052429B"/>
    <w:rsid w:val="00524F3D"/>
    <w:rsid w:val="00530099"/>
    <w:rsid w:val="00583361"/>
    <w:rsid w:val="00583717"/>
    <w:rsid w:val="005A0F7D"/>
    <w:rsid w:val="005B06E2"/>
    <w:rsid w:val="005B7C4E"/>
    <w:rsid w:val="005C6E5A"/>
    <w:rsid w:val="00624BA8"/>
    <w:rsid w:val="00634E48"/>
    <w:rsid w:val="00667266"/>
    <w:rsid w:val="006E5B6C"/>
    <w:rsid w:val="006E7DF3"/>
    <w:rsid w:val="006F536C"/>
    <w:rsid w:val="00706B30"/>
    <w:rsid w:val="00725886"/>
    <w:rsid w:val="0073349F"/>
    <w:rsid w:val="007546BB"/>
    <w:rsid w:val="007A1D7C"/>
    <w:rsid w:val="007B3B48"/>
    <w:rsid w:val="007C350D"/>
    <w:rsid w:val="007C5756"/>
    <w:rsid w:val="007C590C"/>
    <w:rsid w:val="00801922"/>
    <w:rsid w:val="00806AE4"/>
    <w:rsid w:val="00825339"/>
    <w:rsid w:val="008625D3"/>
    <w:rsid w:val="0088726B"/>
    <w:rsid w:val="00887999"/>
    <w:rsid w:val="00895871"/>
    <w:rsid w:val="008B326B"/>
    <w:rsid w:val="008C0D03"/>
    <w:rsid w:val="008E6990"/>
    <w:rsid w:val="008E6E6E"/>
    <w:rsid w:val="008F5F19"/>
    <w:rsid w:val="0090396F"/>
    <w:rsid w:val="00A03EF5"/>
    <w:rsid w:val="00A06C4E"/>
    <w:rsid w:val="00A2711B"/>
    <w:rsid w:val="00A84154"/>
    <w:rsid w:val="00A92E43"/>
    <w:rsid w:val="00AB3B81"/>
    <w:rsid w:val="00AE1F26"/>
    <w:rsid w:val="00B05C78"/>
    <w:rsid w:val="00B16324"/>
    <w:rsid w:val="00B200AB"/>
    <w:rsid w:val="00B50365"/>
    <w:rsid w:val="00B55243"/>
    <w:rsid w:val="00B63AED"/>
    <w:rsid w:val="00B92627"/>
    <w:rsid w:val="00BA421B"/>
    <w:rsid w:val="00BB1685"/>
    <w:rsid w:val="00BB743E"/>
    <w:rsid w:val="00BE04B4"/>
    <w:rsid w:val="00C064F9"/>
    <w:rsid w:val="00C26F3B"/>
    <w:rsid w:val="00C31D44"/>
    <w:rsid w:val="00C32CCA"/>
    <w:rsid w:val="00C43BD2"/>
    <w:rsid w:val="00C47CE5"/>
    <w:rsid w:val="00C617BE"/>
    <w:rsid w:val="00C63640"/>
    <w:rsid w:val="00C66212"/>
    <w:rsid w:val="00C72729"/>
    <w:rsid w:val="00CA0329"/>
    <w:rsid w:val="00CA47E0"/>
    <w:rsid w:val="00CC38FC"/>
    <w:rsid w:val="00CE1766"/>
    <w:rsid w:val="00D03EBB"/>
    <w:rsid w:val="00D43D22"/>
    <w:rsid w:val="00D556D6"/>
    <w:rsid w:val="00D67E75"/>
    <w:rsid w:val="00D84F5E"/>
    <w:rsid w:val="00DD747C"/>
    <w:rsid w:val="00DE6A0E"/>
    <w:rsid w:val="00EA5E67"/>
    <w:rsid w:val="00F32587"/>
    <w:rsid w:val="00F501BF"/>
    <w:rsid w:val="00F73F6F"/>
    <w:rsid w:val="00F824C8"/>
    <w:rsid w:val="00FC0119"/>
    <w:rsid w:val="00FC513B"/>
    <w:rsid w:val="34812664"/>
    <w:rsid w:val="458FE8C8"/>
    <w:rsid w:val="7AC8B09A"/>
  </w:rsids>
  <m:mathPr>
    <m:mathFont m:val="Cambria Math"/>
    <m:brkBin m:val="before"/>
    <m:brkBinSub m:val="--"/>
    <m:smallFrac m:val="0"/>
    <m:dispDef/>
    <m:lMargin m:val="0"/>
    <m:rMargin m:val="0"/>
    <m:defJc m:val="centerGroup"/>
    <m:wrapIndent m:val="1440"/>
    <m:intLim m:val="subSup"/>
    <m:naryLim m:val="undOvr"/>
  </m:mathPr>
  <w:themeFontLang w:val="de-AT"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E2EA5"/>
  <w15:chartTrackingRefBased/>
  <w15:docId w15:val="{75897388-FAB9-43F7-8F53-069DCB4B3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960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C47CE5"/>
    <w:pPr>
      <w:pBdr>
        <w:bottom w:val="single" w:sz="4" w:space="1" w:color="auto"/>
      </w:pBdr>
      <w:spacing w:after="0" w:line="240" w:lineRule="auto"/>
      <w:contextualSpacing/>
      <w:jc w:val="center"/>
    </w:pPr>
    <w:rPr>
      <w:rFonts w:asciiTheme="majorHAnsi" w:eastAsiaTheme="majorEastAsia" w:hAnsiTheme="majorHAnsi" w:cstheme="majorBidi"/>
      <w:smallCaps/>
      <w:color w:val="4472C4" w:themeColor="accent1"/>
      <w:spacing w:val="-10"/>
      <w:kern w:val="28"/>
      <w:sz w:val="36"/>
      <w:szCs w:val="56"/>
    </w:rPr>
  </w:style>
  <w:style w:type="character" w:customStyle="1" w:styleId="TitelZchn">
    <w:name w:val="Titel Zchn"/>
    <w:basedOn w:val="Absatz-Standardschriftart"/>
    <w:link w:val="Titel"/>
    <w:uiPriority w:val="10"/>
    <w:rsid w:val="00C47CE5"/>
    <w:rPr>
      <w:rFonts w:asciiTheme="majorHAnsi" w:eastAsiaTheme="majorEastAsia" w:hAnsiTheme="majorHAnsi" w:cstheme="majorBidi"/>
      <w:smallCaps/>
      <w:color w:val="4472C4" w:themeColor="accent1"/>
      <w:spacing w:val="-10"/>
      <w:kern w:val="28"/>
      <w:sz w:val="36"/>
      <w:szCs w:val="56"/>
    </w:rPr>
  </w:style>
  <w:style w:type="paragraph" w:styleId="StandardWeb">
    <w:name w:val="Normal (Web)"/>
    <w:basedOn w:val="Standard"/>
    <w:uiPriority w:val="99"/>
    <w:semiHidden/>
    <w:unhideWhenUsed/>
    <w:rsid w:val="0029602F"/>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berschrift1Zchn">
    <w:name w:val="Überschrift 1 Zchn"/>
    <w:basedOn w:val="Absatz-Standardschriftart"/>
    <w:link w:val="berschrift1"/>
    <w:uiPriority w:val="9"/>
    <w:rsid w:val="0029602F"/>
    <w:rPr>
      <w:rFonts w:asciiTheme="majorHAnsi" w:eastAsiaTheme="majorEastAsia" w:hAnsiTheme="majorHAnsi" w:cstheme="majorBidi"/>
      <w:color w:val="2F5496" w:themeColor="accent1" w:themeShade="BF"/>
      <w:sz w:val="32"/>
      <w:szCs w:val="32"/>
    </w:rPr>
  </w:style>
  <w:style w:type="paragraph" w:styleId="Listenabsatz">
    <w:name w:val="List Paragraph"/>
    <w:basedOn w:val="Standard"/>
    <w:uiPriority w:val="34"/>
    <w:qFormat/>
    <w:rsid w:val="00825339"/>
    <w:pPr>
      <w:ind w:left="720"/>
      <w:contextualSpacing/>
    </w:pPr>
  </w:style>
  <w:style w:type="paragraph" w:styleId="Literaturverzeichnis">
    <w:name w:val="Bibliography"/>
    <w:basedOn w:val="Standard"/>
    <w:next w:val="Standard"/>
    <w:uiPriority w:val="37"/>
    <w:unhideWhenUsed/>
    <w:rsid w:val="00D556D6"/>
    <w:pPr>
      <w:spacing w:after="0" w:line="240" w:lineRule="auto"/>
      <w:ind w:left="720" w:hanging="720"/>
    </w:pPr>
  </w:style>
  <w:style w:type="character" w:styleId="Hyperlink">
    <w:name w:val="Hyperlink"/>
    <w:basedOn w:val="Absatz-Standardschriftart"/>
    <w:uiPriority w:val="99"/>
    <w:unhideWhenUsed/>
    <w:rsid w:val="00706B30"/>
    <w:rPr>
      <w:color w:val="0563C1" w:themeColor="hyperlink"/>
      <w:u w:val="single"/>
    </w:rPr>
  </w:style>
  <w:style w:type="character" w:styleId="NichtaufgelsteErwhnung">
    <w:name w:val="Unresolved Mention"/>
    <w:basedOn w:val="Absatz-Standardschriftart"/>
    <w:uiPriority w:val="99"/>
    <w:semiHidden/>
    <w:unhideWhenUsed/>
    <w:rsid w:val="00421E8A"/>
    <w:rPr>
      <w:color w:val="605E5C"/>
      <w:shd w:val="clear" w:color="auto" w:fill="E1DFDD"/>
    </w:rPr>
  </w:style>
  <w:style w:type="paragraph" w:styleId="Kopfzeile">
    <w:name w:val="header"/>
    <w:basedOn w:val="Standard"/>
    <w:link w:val="KopfzeileZchn"/>
    <w:uiPriority w:val="99"/>
    <w:unhideWhenUsed/>
    <w:rsid w:val="0088726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726B"/>
  </w:style>
  <w:style w:type="paragraph" w:styleId="Fuzeile">
    <w:name w:val="footer"/>
    <w:basedOn w:val="Standard"/>
    <w:link w:val="FuzeileZchn"/>
    <w:uiPriority w:val="99"/>
    <w:unhideWhenUsed/>
    <w:rsid w:val="0088726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7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110873">
      <w:bodyDiv w:val="1"/>
      <w:marLeft w:val="0"/>
      <w:marRight w:val="0"/>
      <w:marTop w:val="0"/>
      <w:marBottom w:val="0"/>
      <w:divBdr>
        <w:top w:val="none" w:sz="0" w:space="0" w:color="auto"/>
        <w:left w:val="none" w:sz="0" w:space="0" w:color="auto"/>
        <w:bottom w:val="none" w:sz="0" w:space="0" w:color="auto"/>
        <w:right w:val="none" w:sz="0" w:space="0" w:color="auto"/>
      </w:divBdr>
    </w:div>
    <w:div w:id="212503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zburg-europe-summit.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osig.info"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tharina.gimm@plus.ac.at" TargetMode="External"/><Relationship Id="rId5" Type="http://schemas.openxmlformats.org/officeDocument/2006/relationships/footnotes" Target="footnotes.xml"/><Relationship Id="rId10" Type="http://schemas.openxmlformats.org/officeDocument/2006/relationships/hyperlink" Target="mailto:franz.kok@plus.ac.at" TargetMode="External"/><Relationship Id="rId4" Type="http://schemas.openxmlformats.org/officeDocument/2006/relationships/webSettings" Target="webSettings.xml"/><Relationship Id="rId9" Type="http://schemas.openxmlformats.org/officeDocument/2006/relationships/hyperlink" Target="mailto:doris.wydra@plus.ac.a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3753</Words>
  <Characters>26121</Characters>
  <Application>Microsoft Office Word</Application>
  <DocSecurity>0</DocSecurity>
  <Lines>1187</Lines>
  <Paragraphs>853</Paragraphs>
  <ScaleCrop>false</ScaleCrop>
  <HeadingPairs>
    <vt:vector size="2" baseType="variant">
      <vt:variant>
        <vt:lpstr>Titel</vt:lpstr>
      </vt:variant>
      <vt:variant>
        <vt:i4>1</vt:i4>
      </vt:variant>
    </vt:vector>
  </HeadingPairs>
  <TitlesOfParts>
    <vt:vector size="1" baseType="lpstr">
      <vt:lpstr/>
    </vt:vector>
  </TitlesOfParts>
  <Company>PLUS</Company>
  <LinksUpToDate>false</LinksUpToDate>
  <CharactersWithSpaces>29021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Wydra Doris</dc:creator>
  <cp:keywords/>
  <dc:description/>
  <cp:lastModifiedBy>Kok Franz</cp:lastModifiedBy>
  <cp:revision>4</cp:revision>
  <cp:lastPrinted>2023-11-21T17:07:00Z</cp:lastPrinted>
  <dcterms:created xsi:type="dcterms:W3CDTF">2023-11-23T15:24:00Z</dcterms:created>
  <dcterms:modified xsi:type="dcterms:W3CDTF">2023-12-01T16:23:00Z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id="yPQfpLI5"/&gt;&lt;style id="http://www.zotero.org/styles/chicago-author-date" locale="en-GB" hasBibliography="1" bibliographyStyleHasBeenSet="1"/&gt;&lt;prefs&gt;&lt;pref name="fieldType" value="Field"/&gt;&lt;pref name</vt:lpwstr>
  </property>
  <property fmtid="{D5CDD505-2E9C-101B-9397-08002B2CF9AE}" pid="3" name="ZOTERO_PREF_2">
    <vt:lpwstr>="automaticJournalAbbreviations" value="true"/&gt;&lt;/prefs&gt;&lt;/data&gt;</vt:lpwstr>
  </property>
</Properties>
</file>