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046D0" w14:textId="77777777" w:rsidR="00444116" w:rsidRDefault="00444116" w:rsidP="00444116">
      <w:pPr>
        <w:spacing w:after="0" w:line="240" w:lineRule="auto"/>
        <w:rPr>
          <w:rFonts w:eastAsia="Calibri" w:cs="Times New Roman"/>
          <w:b/>
          <w:iCs/>
          <w:szCs w:val="24"/>
          <w:lang w:val="en-GB"/>
        </w:rPr>
      </w:pPr>
    </w:p>
    <w:p w14:paraId="5CAC27B0" w14:textId="6A5D7586" w:rsidR="00444116" w:rsidRDefault="00444116" w:rsidP="00444116">
      <w:pPr>
        <w:spacing w:after="0" w:line="240" w:lineRule="auto"/>
        <w:ind w:left="720"/>
        <w:rPr>
          <w:rFonts w:eastAsia="Calibri" w:cs="Times New Roman"/>
          <w:b/>
          <w:iCs/>
          <w:szCs w:val="24"/>
          <w:lang w:val="en-GB"/>
        </w:rPr>
      </w:pPr>
      <w:r>
        <w:rPr>
          <w:rFonts w:eastAsia="Calibri" w:cs="Times New Roman"/>
          <w:b/>
          <w:iCs/>
          <w:szCs w:val="24"/>
          <w:lang w:val="en-GB"/>
        </w:rPr>
        <w:t xml:space="preserve">Prof. </w:t>
      </w:r>
      <w:proofErr w:type="spellStart"/>
      <w:r>
        <w:rPr>
          <w:rFonts w:eastAsia="Calibri" w:cs="Times New Roman"/>
          <w:b/>
          <w:iCs/>
          <w:szCs w:val="24"/>
          <w:lang w:val="en-GB"/>
        </w:rPr>
        <w:t>dr</w:t>
      </w:r>
      <w:proofErr w:type="spellEnd"/>
      <w:r>
        <w:rPr>
          <w:rFonts w:eastAsia="Calibri" w:cs="Times New Roman"/>
          <w:b/>
          <w:iCs/>
          <w:szCs w:val="24"/>
          <w:lang w:val="en-GB"/>
        </w:rPr>
        <w:t xml:space="preserve"> Maja </w:t>
      </w:r>
      <w:proofErr w:type="spellStart"/>
      <w:r>
        <w:rPr>
          <w:rFonts w:eastAsia="Calibri" w:cs="Times New Roman"/>
          <w:b/>
          <w:iCs/>
          <w:szCs w:val="24"/>
          <w:lang w:val="en-GB"/>
        </w:rPr>
        <w:t>Kostić-Mandić</w:t>
      </w:r>
      <w:proofErr w:type="spellEnd"/>
    </w:p>
    <w:p w14:paraId="28DC3F97" w14:textId="77777777" w:rsidR="00444116" w:rsidRDefault="00444116" w:rsidP="00444116">
      <w:pPr>
        <w:spacing w:after="0" w:line="240" w:lineRule="auto"/>
        <w:ind w:left="720"/>
        <w:rPr>
          <w:rFonts w:eastAsia="Calibri" w:cs="Times New Roman"/>
          <w:b/>
          <w:iCs/>
          <w:szCs w:val="24"/>
          <w:lang w:val="en-GB"/>
        </w:rPr>
      </w:pPr>
    </w:p>
    <w:p w14:paraId="6F6831BC" w14:textId="1E727AC3" w:rsidR="00444116" w:rsidRPr="00444116" w:rsidRDefault="00444116" w:rsidP="00444116">
      <w:pPr>
        <w:spacing w:after="0" w:line="240" w:lineRule="auto"/>
        <w:ind w:left="720"/>
        <w:rPr>
          <w:rFonts w:eastAsia="Calibri" w:cs="Times New Roman"/>
          <w:b/>
          <w:iCs/>
          <w:szCs w:val="24"/>
          <w:lang w:val="en-GB"/>
        </w:rPr>
      </w:pPr>
      <w:proofErr w:type="spellStart"/>
      <w:r w:rsidRPr="00444116">
        <w:rPr>
          <w:rFonts w:eastAsia="Calibri" w:cs="Times New Roman"/>
          <w:b/>
          <w:iCs/>
          <w:szCs w:val="24"/>
          <w:lang w:val="en-GB"/>
        </w:rPr>
        <w:t>Pravo</w:t>
      </w:r>
      <w:proofErr w:type="spellEnd"/>
      <w:r w:rsidRPr="00444116">
        <w:rPr>
          <w:rFonts w:eastAsia="Calibri" w:cs="Times New Roman"/>
          <w:b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b/>
          <w:iCs/>
          <w:szCs w:val="24"/>
          <w:lang w:val="en-GB"/>
        </w:rPr>
        <w:t>na</w:t>
      </w:r>
      <w:proofErr w:type="spellEnd"/>
      <w:r w:rsidRPr="00444116">
        <w:rPr>
          <w:rFonts w:eastAsia="Calibri" w:cs="Times New Roman"/>
          <w:b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b/>
          <w:iCs/>
          <w:szCs w:val="24"/>
          <w:lang w:val="en-GB"/>
        </w:rPr>
        <w:t>informaciju</w:t>
      </w:r>
      <w:proofErr w:type="spellEnd"/>
      <w:r w:rsidRPr="00444116">
        <w:rPr>
          <w:rFonts w:eastAsia="Calibri" w:cs="Times New Roman"/>
          <w:b/>
          <w:iCs/>
          <w:szCs w:val="24"/>
          <w:lang w:val="en-GB"/>
        </w:rPr>
        <w:t xml:space="preserve"> o </w:t>
      </w:r>
      <w:proofErr w:type="spellStart"/>
      <w:r w:rsidRPr="00444116">
        <w:rPr>
          <w:rFonts w:eastAsia="Calibri" w:cs="Times New Roman"/>
          <w:b/>
          <w:iCs/>
          <w:szCs w:val="24"/>
          <w:lang w:val="en-GB"/>
        </w:rPr>
        <w:t>životnoj</w:t>
      </w:r>
      <w:proofErr w:type="spellEnd"/>
      <w:r w:rsidRPr="00444116">
        <w:rPr>
          <w:rFonts w:eastAsia="Calibri" w:cs="Times New Roman"/>
          <w:b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b/>
          <w:iCs/>
          <w:szCs w:val="24"/>
          <w:lang w:val="en-GB"/>
        </w:rPr>
        <w:t>sredini</w:t>
      </w:r>
      <w:proofErr w:type="spellEnd"/>
      <w:r w:rsidRPr="00444116">
        <w:rPr>
          <w:rFonts w:eastAsia="Calibri" w:cs="Times New Roman"/>
          <w:b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b/>
          <w:iCs/>
          <w:szCs w:val="24"/>
          <w:lang w:val="en-GB"/>
        </w:rPr>
        <w:t>na</w:t>
      </w:r>
      <w:proofErr w:type="spellEnd"/>
      <w:r w:rsidRPr="00444116">
        <w:rPr>
          <w:rFonts w:eastAsia="Calibri" w:cs="Times New Roman"/>
          <w:b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b/>
          <w:iCs/>
          <w:szCs w:val="24"/>
          <w:lang w:val="en-GB"/>
        </w:rPr>
        <w:t>osnovu</w:t>
      </w:r>
      <w:proofErr w:type="spellEnd"/>
      <w:r w:rsidRPr="00444116">
        <w:rPr>
          <w:rFonts w:eastAsia="Calibri" w:cs="Times New Roman"/>
          <w:b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b/>
          <w:iCs/>
          <w:szCs w:val="24"/>
          <w:lang w:val="en-GB"/>
        </w:rPr>
        <w:t>sudske</w:t>
      </w:r>
      <w:proofErr w:type="spellEnd"/>
      <w:r w:rsidRPr="00444116">
        <w:rPr>
          <w:rFonts w:eastAsia="Calibri" w:cs="Times New Roman"/>
          <w:b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b/>
          <w:iCs/>
          <w:szCs w:val="24"/>
          <w:lang w:val="en-GB"/>
        </w:rPr>
        <w:t>prakse</w:t>
      </w:r>
      <w:proofErr w:type="spellEnd"/>
      <w:r w:rsidRPr="00444116">
        <w:rPr>
          <w:rFonts w:eastAsia="Calibri" w:cs="Times New Roman"/>
          <w:b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b/>
          <w:iCs/>
          <w:szCs w:val="24"/>
          <w:lang w:val="en-GB"/>
        </w:rPr>
        <w:t>Evropskog</w:t>
      </w:r>
      <w:proofErr w:type="spellEnd"/>
      <w:r w:rsidRPr="00444116">
        <w:rPr>
          <w:rFonts w:eastAsia="Calibri" w:cs="Times New Roman"/>
          <w:b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b/>
          <w:iCs/>
          <w:szCs w:val="24"/>
          <w:lang w:val="en-GB"/>
        </w:rPr>
        <w:t>suda</w:t>
      </w:r>
      <w:proofErr w:type="spellEnd"/>
      <w:r w:rsidRPr="00444116">
        <w:rPr>
          <w:rFonts w:eastAsia="Calibri" w:cs="Times New Roman"/>
          <w:b/>
          <w:iCs/>
          <w:szCs w:val="24"/>
          <w:lang w:val="en-GB"/>
        </w:rPr>
        <w:t xml:space="preserve"> za </w:t>
      </w:r>
      <w:proofErr w:type="spellStart"/>
      <w:r w:rsidRPr="00444116">
        <w:rPr>
          <w:rFonts w:eastAsia="Calibri" w:cs="Times New Roman"/>
          <w:b/>
          <w:iCs/>
          <w:szCs w:val="24"/>
          <w:lang w:val="en-GB"/>
        </w:rPr>
        <w:t>ljudska</w:t>
      </w:r>
      <w:proofErr w:type="spellEnd"/>
      <w:r w:rsidRPr="00444116">
        <w:rPr>
          <w:rFonts w:eastAsia="Calibri" w:cs="Times New Roman"/>
          <w:b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b/>
          <w:iCs/>
          <w:szCs w:val="24"/>
          <w:lang w:val="en-GB"/>
        </w:rPr>
        <w:t>prava</w:t>
      </w:r>
      <w:proofErr w:type="spellEnd"/>
    </w:p>
    <w:p w14:paraId="3A1161ED" w14:textId="77777777" w:rsidR="00444116" w:rsidRDefault="00444116" w:rsidP="00444116">
      <w:pPr>
        <w:jc w:val="both"/>
        <w:rPr>
          <w:rFonts w:eastAsia="Calibri" w:cs="Times New Roman"/>
          <w:iCs/>
          <w:szCs w:val="24"/>
          <w:lang w:val="en-GB"/>
        </w:rPr>
      </w:pPr>
    </w:p>
    <w:p w14:paraId="0B48FB87" w14:textId="1967B181" w:rsidR="00444116" w:rsidRPr="00444116" w:rsidRDefault="00444116" w:rsidP="00444116">
      <w:pPr>
        <w:jc w:val="both"/>
        <w:rPr>
          <w:rFonts w:eastAsia="Calibri" w:cs="Times New Roman"/>
          <w:bCs/>
          <w:iCs/>
          <w:szCs w:val="24"/>
          <w:lang w:val="pl-PL"/>
        </w:rPr>
      </w:pPr>
      <w:r w:rsidRPr="00444116">
        <w:rPr>
          <w:rFonts w:eastAsia="Calibri" w:cs="Times New Roman"/>
          <w:iCs/>
          <w:szCs w:val="24"/>
          <w:lang w:val="en-GB"/>
        </w:rPr>
        <w:t xml:space="preserve">Prava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informacije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u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oblasti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životne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sredine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prisutna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u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većem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broju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međunarodnih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konvencija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,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koje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mu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pridaju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različit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značaj</w:t>
      </w:r>
      <w:proofErr w:type="spellEnd"/>
      <w:r w:rsidRPr="00444116">
        <w:rPr>
          <w:rFonts w:eastAsia="Calibri" w:cs="Times New Roman"/>
          <w:iCs/>
          <w:szCs w:val="24"/>
          <w:vertAlign w:val="superscript"/>
          <w:lang w:val="en-GB"/>
        </w:rPr>
        <w:footnoteReference w:id="1"/>
      </w:r>
      <w:r w:rsidRPr="00444116">
        <w:rPr>
          <w:rFonts w:eastAsia="Calibri" w:cs="Times New Roman"/>
          <w:iCs/>
          <w:szCs w:val="24"/>
          <w:lang w:val="en-GB"/>
        </w:rPr>
        <w:t xml:space="preserve">. U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domenu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materijalnopravnog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regulisanja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izdvaja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se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sudska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praksa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bookmarkStart w:id="0" w:name="_Hlk500232761"/>
      <w:proofErr w:type="spellStart"/>
      <w:r w:rsidRPr="00444116">
        <w:rPr>
          <w:rFonts w:eastAsia="Calibri" w:cs="Times New Roman"/>
          <w:iCs/>
          <w:szCs w:val="24"/>
          <w:lang w:val="en-GB"/>
        </w:rPr>
        <w:t>Evropskog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suda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za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ljudska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prava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bookmarkEnd w:id="0"/>
      <w:r w:rsidRPr="00444116">
        <w:rPr>
          <w:rFonts w:eastAsia="Calibri" w:cs="Times New Roman"/>
          <w:iCs/>
          <w:szCs w:val="24"/>
          <w:lang w:val="en-GB"/>
        </w:rPr>
        <w:t>(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dalje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: Sud) u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primjeni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Evropske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konvencije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o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ljudskim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pravima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,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dok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procesne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garancije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za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primjenu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prava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pristup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informacijama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o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životnoj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sredini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pruža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Arhuska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konvencija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. U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pogledu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procesnih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povreda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ljudskih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prava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osnovu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Evropske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konvencije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o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ljudskim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pravima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moglo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bi se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govoriti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,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eventualno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o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zaštiti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prava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r w:rsidRPr="00444116">
        <w:rPr>
          <w:rFonts w:eastAsia="Calibri" w:cs="Times New Roman"/>
          <w:bCs/>
          <w:iCs/>
          <w:szCs w:val="24"/>
          <w:lang w:val="pl-PL"/>
        </w:rPr>
        <w:t xml:space="preserve">suđenje u razumnom roku i prava na djelotvorni pravni lijek.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Neposredna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zaštita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prava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pristup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informacijama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vrši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se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osnovu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Arhuske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konvencije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.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Međutim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,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moguće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je da se u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okviru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ljudskih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prava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koja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se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priznaju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međunarodnom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planu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širim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tumačenjem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uzima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u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obzir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životna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sredina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, u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slučajevima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kada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njene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povrede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onemogućavaju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uživanje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tih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ljudskih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prava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u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potpunosti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.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Uprkos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odsustvu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bilo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kakvih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eksplicitnih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ekoloških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prava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u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Konvenciji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o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ljudskim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pravima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, Sud u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određenoj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mjeri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štiti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životnu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sredinu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kroz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progresivno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tumačenje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određenih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prava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Konvencije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. Na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osnovu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dosadašnje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prakse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Evropskog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suda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za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ljudska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prava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, o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pravu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pristup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informacijama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o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životnoj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sredini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se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raspravljalo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u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okviru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primjene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ljudskih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prava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garantovanih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Konvencijom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: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prava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život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(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član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2),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prava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privatni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porodični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život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(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član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8),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kao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prava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slobodu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izražavanja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(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član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10). </w:t>
      </w:r>
    </w:p>
    <w:p w14:paraId="09E611D5" w14:textId="77777777" w:rsidR="00444116" w:rsidRPr="00444116" w:rsidRDefault="00444116" w:rsidP="00444116">
      <w:pPr>
        <w:jc w:val="both"/>
        <w:rPr>
          <w:rFonts w:eastAsia="Calibri" w:cs="Times New Roman"/>
          <w:iCs/>
          <w:szCs w:val="24"/>
          <w:lang w:val="en-GB"/>
        </w:rPr>
      </w:pPr>
      <w:r w:rsidRPr="00444116">
        <w:rPr>
          <w:rFonts w:eastAsia="Calibri" w:cs="Times New Roman"/>
          <w:iCs/>
          <w:szCs w:val="24"/>
          <w:lang w:val="en-GB"/>
        </w:rPr>
        <w:t>Ovo “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ozelenjavanje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”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Konvencije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omogućeno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je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osnovu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tri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temeljna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instrumenta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za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tumačenje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: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principa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evolutivnog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širokog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tumačenja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Konvencije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;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principa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pozitivnih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dužnosti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država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članica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;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principa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horizontalnog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dejstva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Konvencije</w:t>
      </w:r>
      <w:proofErr w:type="spellEnd"/>
      <w:r w:rsidRPr="00444116">
        <w:rPr>
          <w:rFonts w:eastAsia="Calibri" w:cs="Times New Roman"/>
          <w:iCs/>
          <w:szCs w:val="24"/>
          <w:vertAlign w:val="superscript"/>
          <w:lang w:val="en-GB"/>
        </w:rPr>
        <w:footnoteReference w:id="2"/>
      </w:r>
      <w:r w:rsidRPr="00444116">
        <w:rPr>
          <w:rFonts w:eastAsia="Calibri" w:cs="Times New Roman"/>
          <w:iCs/>
          <w:szCs w:val="24"/>
          <w:lang w:val="en-GB"/>
        </w:rPr>
        <w:t xml:space="preserve">. Time se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naglašava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značaj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društvenih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,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ekonomskih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drugih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uslova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širom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Evrope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koji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se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mijenjaju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tokom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vremena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stavlja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se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naglasak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uspostavljanje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konsenzusa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država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članica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o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vrijednostima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koje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treba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zaštititi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kao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ljudska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prava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.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Primjena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ovog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principa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progresivno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širi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opseg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zaštićenih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vrijednosti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prema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pravima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Konvencije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,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koja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trenutno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uključuje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određene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vrijednosti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životne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sredine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. Na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osnovu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principa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pozitivnih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dužnosti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država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nije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dovoljno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da se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država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članica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uzdrži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od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kršenja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ljudskih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prava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garantovanih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Konvencijom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. Ona mora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osigurati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djelotvorno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ostvarivanje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prava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ima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obavezu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da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aktivno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postupa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. Princip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horizontalnog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efekta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znači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da u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određenim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oblastima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zaštite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ljudskih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prava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odgovornost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države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postoji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ukoliko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ne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reguliše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aktivnosti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privatnog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sektora</w:t>
      </w:r>
      <w:proofErr w:type="spellEnd"/>
      <w:r w:rsidRPr="00444116">
        <w:rPr>
          <w:rFonts w:eastAsia="Calibri" w:cs="Times New Roman"/>
          <w:iCs/>
          <w:szCs w:val="24"/>
          <w:vertAlign w:val="superscript"/>
          <w:lang w:val="en-GB"/>
        </w:rPr>
        <w:footnoteReference w:id="3"/>
      </w:r>
      <w:r w:rsidRPr="00444116">
        <w:rPr>
          <w:rFonts w:eastAsia="Calibri" w:cs="Times New Roman"/>
          <w:iCs/>
          <w:szCs w:val="24"/>
          <w:lang w:val="en-GB"/>
        </w:rPr>
        <w:t xml:space="preserve">. Kao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druga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dva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lastRenderedPageBreak/>
        <w:t>principa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, ova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doktrina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je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korisna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u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slučajevima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iz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oblasti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životne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sredine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jer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problemi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životne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sredine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često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proizilaze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iz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rada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privatnih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industrijskih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objekata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>.</w:t>
      </w:r>
    </w:p>
    <w:p w14:paraId="5A46DD29" w14:textId="77777777" w:rsidR="00444116" w:rsidRPr="00444116" w:rsidRDefault="00444116" w:rsidP="00444116">
      <w:pPr>
        <w:jc w:val="both"/>
        <w:rPr>
          <w:rFonts w:eastAsia="Calibri" w:cs="Times New Roman"/>
          <w:iCs/>
          <w:szCs w:val="24"/>
          <w:lang w:val="en-GB"/>
        </w:rPr>
      </w:pPr>
      <w:r w:rsidRPr="00444116">
        <w:rPr>
          <w:rFonts w:eastAsia="Calibri" w:cs="Times New Roman"/>
          <w:iCs/>
          <w:szCs w:val="24"/>
          <w:lang w:val="en-GB"/>
        </w:rPr>
        <w:t xml:space="preserve">Pored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navedenih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principa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tumačenja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, u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slučajevima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iz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domena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životne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sredine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u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ovoj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oblasti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od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posebnog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značaja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je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institut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slobodne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procjene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. U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odluci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r w:rsidRPr="00444116">
        <w:rPr>
          <w:rFonts w:eastAsia="Calibri" w:cs="Times New Roman"/>
          <w:i/>
          <w:iCs/>
          <w:szCs w:val="24"/>
          <w:lang w:val="en-GB"/>
        </w:rPr>
        <w:t xml:space="preserve">Lopez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Ostra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protiv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Španije</w:t>
      </w:r>
      <w:proofErr w:type="spellEnd"/>
      <w:r w:rsidRPr="00444116">
        <w:rPr>
          <w:rFonts w:eastAsia="Calibri" w:cs="Times New Roman"/>
          <w:i/>
          <w:iCs/>
          <w:szCs w:val="24"/>
          <w:vertAlign w:val="superscript"/>
          <w:lang w:val="en-GB"/>
        </w:rPr>
        <w:footnoteReference w:id="4"/>
      </w:r>
      <w:r w:rsidRPr="00444116">
        <w:rPr>
          <w:rFonts w:eastAsia="Calibri" w:cs="Times New Roman"/>
          <w:iCs/>
          <w:szCs w:val="24"/>
          <w:lang w:val="en-GB"/>
        </w:rPr>
        <w:t xml:space="preserve">, Sud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navodi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da je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neophodno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postići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pravedan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odnos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između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suprotstavljenih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interesa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pojedinca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zajednice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,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da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države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u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svakom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slučaju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uživaju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izvjesno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polje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slobodne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procjene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. Na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osnovu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ove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teorije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,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balans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između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suprotstavljenih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interesa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pojedinca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zajednice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u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cjelini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se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često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odnosi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ekonomsku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aktivnost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.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Zaštita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životne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sredine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treba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da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bude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uzeta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u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obzir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kada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postupa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država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, u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okviru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svog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polja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slobodne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procjene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,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ali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Sud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kada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ocjenjuje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to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isto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polje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slobodne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procjene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. Ali, po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mišljenju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Suda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ne bi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bilo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primjereno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da Sud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usvoji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poseban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pristup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kada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odlučuje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o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ovom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pitanju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pozivajući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se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poseban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položaj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ljudskog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prava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zdravu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životnu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sredinu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r w:rsidRPr="00444116">
        <w:rPr>
          <w:rFonts w:eastAsia="Calibri" w:cs="Times New Roman"/>
          <w:i/>
          <w:iCs/>
          <w:szCs w:val="24"/>
          <w:lang w:val="en-GB"/>
        </w:rPr>
        <w:t xml:space="preserve">(Hatton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i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drugi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protiv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Ujedinjenog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Kraljevstva</w:t>
      </w:r>
      <w:proofErr w:type="spellEnd"/>
      <w:r w:rsidRPr="00444116">
        <w:rPr>
          <w:rFonts w:eastAsia="Calibri" w:cs="Times New Roman"/>
          <w:i/>
          <w:iCs/>
          <w:szCs w:val="24"/>
          <w:vertAlign w:val="superscript"/>
          <w:lang w:val="en-GB"/>
        </w:rPr>
        <w:footnoteReference w:id="5"/>
      </w:r>
      <w:r w:rsidRPr="00444116">
        <w:rPr>
          <w:rFonts w:eastAsia="Calibri" w:cs="Times New Roman"/>
          <w:iCs/>
          <w:szCs w:val="24"/>
          <w:lang w:val="en-GB"/>
        </w:rPr>
        <w:t xml:space="preserve">). Ova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doktrina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proizilazi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iz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principa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supsidijarnosti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,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značenjem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da </w:t>
      </w:r>
      <w:r w:rsidRPr="00444116">
        <w:rPr>
          <w:rFonts w:eastAsia="Calibri" w:cs="Times New Roman"/>
          <w:i/>
          <w:iCs/>
          <w:szCs w:val="24"/>
          <w:lang w:val="en-GB"/>
        </w:rPr>
        <w:t>“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zaštitu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prava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treba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prvenstveno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da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obezbijede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nacionalne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vlasti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koje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imaju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direktni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demokratski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legitimitet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>”</w:t>
      </w:r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,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kako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je Sud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već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u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više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navrata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zauzeo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stav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, </w:t>
      </w:r>
      <w:r w:rsidRPr="00444116">
        <w:rPr>
          <w:rFonts w:eastAsia="Calibri" w:cs="Times New Roman"/>
          <w:i/>
          <w:iCs/>
          <w:szCs w:val="24"/>
          <w:lang w:val="en-GB"/>
        </w:rPr>
        <w:t xml:space="preserve">“u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načelu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su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bolje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pozicionirane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od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međunarodnog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suda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za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procjenu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lokalnih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potreba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i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uslova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>”</w:t>
      </w:r>
      <w:r w:rsidRPr="00444116">
        <w:rPr>
          <w:rFonts w:eastAsia="Calibri" w:cs="Times New Roman"/>
          <w:iCs/>
          <w:szCs w:val="24"/>
          <w:lang w:val="en-GB"/>
        </w:rPr>
        <w:t>.</w:t>
      </w:r>
      <w:r w:rsidRPr="00444116">
        <w:rPr>
          <w:rFonts w:eastAsia="Calibri" w:cs="Times New Roman"/>
          <w:iCs/>
          <w:szCs w:val="24"/>
          <w:vertAlign w:val="superscript"/>
          <w:lang w:val="en-GB"/>
        </w:rPr>
        <w:footnoteReference w:id="6"/>
      </w:r>
    </w:p>
    <w:p w14:paraId="6B9F645B" w14:textId="77777777" w:rsidR="00444116" w:rsidRPr="00444116" w:rsidRDefault="00444116" w:rsidP="00444116">
      <w:pPr>
        <w:jc w:val="both"/>
        <w:rPr>
          <w:rFonts w:eastAsia="Calibri" w:cs="Times New Roman"/>
          <w:iCs/>
          <w:szCs w:val="24"/>
          <w:lang w:val="en-GB"/>
        </w:rPr>
      </w:pPr>
      <w:proofErr w:type="spellStart"/>
      <w:r w:rsidRPr="00444116">
        <w:rPr>
          <w:rFonts w:eastAsia="Calibri" w:cs="Times New Roman"/>
          <w:iCs/>
          <w:szCs w:val="24"/>
          <w:lang w:val="en-GB"/>
        </w:rPr>
        <w:t>Evropski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sud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za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ljudska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prava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se u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više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navrata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bavio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pravom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informaciju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o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životnoj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sredini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u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kontekstu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primjene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drugih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odredbi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Konvencije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: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primjenjujući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članove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Konvencije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o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pravu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život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(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član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2)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pogotovo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,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pravo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poštovanje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privatnog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porodičnog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života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(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član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8). </w:t>
      </w:r>
    </w:p>
    <w:p w14:paraId="5CD9D791" w14:textId="77777777" w:rsidR="00444116" w:rsidRPr="00444116" w:rsidRDefault="00444116" w:rsidP="00444116">
      <w:pPr>
        <w:jc w:val="both"/>
        <w:rPr>
          <w:rFonts w:eastAsia="Calibri" w:cs="Times New Roman"/>
          <w:iCs/>
          <w:szCs w:val="24"/>
          <w:lang w:val="en-GB"/>
        </w:rPr>
      </w:pPr>
      <w:proofErr w:type="spellStart"/>
      <w:r w:rsidRPr="00444116">
        <w:rPr>
          <w:rFonts w:eastAsia="Calibri" w:cs="Times New Roman"/>
          <w:iCs/>
          <w:szCs w:val="24"/>
          <w:lang w:val="en-GB"/>
        </w:rPr>
        <w:t>Takođe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, Sud je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razmatrao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mogućnost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primjene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bookmarkStart w:id="2" w:name="_Hlk500845776"/>
      <w:proofErr w:type="spellStart"/>
      <w:r w:rsidRPr="00444116">
        <w:rPr>
          <w:rFonts w:eastAsia="Calibri" w:cs="Times New Roman"/>
          <w:iCs/>
          <w:szCs w:val="24"/>
          <w:lang w:val="en-GB"/>
        </w:rPr>
        <w:t>člana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10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stav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1</w:t>
      </w:r>
      <w:bookmarkEnd w:id="2"/>
      <w:r w:rsidRPr="00444116">
        <w:rPr>
          <w:rFonts w:eastAsia="Calibri" w:cs="Times New Roman"/>
          <w:iCs/>
          <w:szCs w:val="24"/>
          <w:vertAlign w:val="superscript"/>
          <w:lang w:val="en-GB"/>
        </w:rPr>
        <w:footnoteReference w:id="7"/>
      </w:r>
      <w:r w:rsidRPr="00444116">
        <w:rPr>
          <w:rFonts w:eastAsia="Calibri" w:cs="Times New Roman"/>
          <w:iCs/>
          <w:szCs w:val="24"/>
          <w:lang w:val="en-GB"/>
        </w:rPr>
        <w:t xml:space="preserve"> o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pravu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slobodu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izražavanja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,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koja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obuhvata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primanje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saopštavanje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informacija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.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Evropski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sud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za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ljudska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prava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je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primijenio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restriktivan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pristup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u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pogledu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člana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10 za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slučajeve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u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oblasti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životne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sredine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. U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predmetu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r w:rsidRPr="00444116">
        <w:rPr>
          <w:rFonts w:eastAsia="Calibri" w:cs="Times New Roman"/>
          <w:i/>
          <w:iCs/>
          <w:szCs w:val="24"/>
          <w:lang w:val="en-GB"/>
        </w:rPr>
        <w:t xml:space="preserve">Guerra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i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drugi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protiv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Italije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>.</w:t>
      </w:r>
      <w:r w:rsidRPr="00444116">
        <w:rPr>
          <w:rFonts w:eastAsia="Calibri" w:cs="Times New Roman"/>
          <w:i/>
          <w:iCs/>
          <w:szCs w:val="24"/>
          <w:vertAlign w:val="superscript"/>
          <w:lang w:val="en-GB"/>
        </w:rPr>
        <w:footnoteReference w:id="8"/>
      </w:r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Veliko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vijeće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Evropskog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suda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za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ljudska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prava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nije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prihvatilo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široko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tumačenje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člana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10,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koje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je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dala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Komisija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za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ljudska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prava</w:t>
      </w:r>
      <w:proofErr w:type="spellEnd"/>
      <w:r w:rsidRPr="00444116">
        <w:rPr>
          <w:rFonts w:eastAsia="Calibri" w:cs="Times New Roman"/>
          <w:iCs/>
          <w:szCs w:val="24"/>
          <w:vertAlign w:val="superscript"/>
          <w:lang w:val="en-GB"/>
        </w:rPr>
        <w:footnoteReference w:id="9"/>
      </w:r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ali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je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jednoglasno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odlučilo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da se u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navedenom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slučaju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radi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o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povredi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člana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8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Konvencije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-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prava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poštovanje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privatnog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porodičnog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života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. Sud je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potvrdio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svoju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raniju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praksu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da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pravo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primanje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informacije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prema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članu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10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Konvencije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“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faktički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zabranjuje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vlastima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da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uskrate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informaciju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građaninu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koju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bi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drugi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željeli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ili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mogli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da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dostave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”.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Međutim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,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zauzeo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je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stav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da se “</w:t>
      </w:r>
      <w:r w:rsidRPr="00444116">
        <w:rPr>
          <w:rFonts w:eastAsia="Calibri" w:cs="Times New Roman"/>
          <w:i/>
          <w:iCs/>
          <w:szCs w:val="24"/>
          <w:lang w:val="en-GB"/>
        </w:rPr>
        <w:t xml:space="preserve">ta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sloboda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ne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može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tumačiti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na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način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da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nameće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obavezu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državi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, u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slučaju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kao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što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je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ovaj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,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pozitivnu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obavezu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da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samoinicijativno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sakuplja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lastRenderedPageBreak/>
        <w:t>informacije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i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vrši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obavještavanje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>”</w:t>
      </w:r>
      <w:r w:rsidRPr="00444116">
        <w:rPr>
          <w:rFonts w:eastAsia="Calibri" w:cs="Times New Roman"/>
          <w:iCs/>
          <w:szCs w:val="24"/>
          <w:lang w:val="en-GB"/>
        </w:rPr>
        <w:t xml:space="preserve"> (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paragraf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53)</w:t>
      </w:r>
      <w:r w:rsidRPr="00444116">
        <w:rPr>
          <w:rFonts w:eastAsia="Calibri" w:cs="Times New Roman"/>
          <w:iCs/>
          <w:szCs w:val="24"/>
          <w:vertAlign w:val="superscript"/>
          <w:lang w:val="en-GB"/>
        </w:rPr>
        <w:footnoteReference w:id="10"/>
      </w:r>
      <w:r w:rsidRPr="00444116">
        <w:rPr>
          <w:rFonts w:eastAsia="Calibri" w:cs="Times New Roman"/>
          <w:iCs/>
          <w:szCs w:val="24"/>
          <w:lang w:val="en-GB"/>
        </w:rPr>
        <w:t xml:space="preserve">.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Ipak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, Sud je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zaključio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da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postoji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povreda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člana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8,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prava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privatni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porodični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život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.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Ovaj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slučaj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predstavlja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prekretnicu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ne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samo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u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pogledu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pozitivnih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obaveza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države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u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oblasti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zaštite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životne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sredine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,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već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zbog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njihovog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značaja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kao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pravnog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osnova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procesnih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elemenata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člana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8</w:t>
      </w:r>
      <w:r w:rsidRPr="00444116">
        <w:rPr>
          <w:rFonts w:eastAsia="Calibri" w:cs="Times New Roman"/>
          <w:iCs/>
          <w:szCs w:val="24"/>
          <w:vertAlign w:val="superscript"/>
          <w:lang w:val="en-GB"/>
        </w:rPr>
        <w:footnoteReference w:id="11"/>
      </w:r>
      <w:r w:rsidRPr="00444116">
        <w:rPr>
          <w:rFonts w:eastAsia="Calibri" w:cs="Times New Roman"/>
          <w:iCs/>
          <w:szCs w:val="24"/>
          <w:lang w:val="en-GB"/>
        </w:rPr>
        <w:t xml:space="preserve">. Sud je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smatrao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da, pored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negativnog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poduhvata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, </w:t>
      </w:r>
      <w:r w:rsidRPr="00444116">
        <w:rPr>
          <w:rFonts w:eastAsia="Calibri" w:cs="Times New Roman"/>
          <w:i/>
          <w:iCs/>
          <w:szCs w:val="24"/>
          <w:lang w:val="en-GB"/>
        </w:rPr>
        <w:t>“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mogu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postojati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pozitivne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obaveze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i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u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djelotvornom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poštovanju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privatnog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ili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porodičnog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života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>”</w:t>
      </w:r>
      <w:r w:rsidRPr="00444116">
        <w:rPr>
          <w:rFonts w:eastAsia="Calibri" w:cs="Times New Roman"/>
          <w:iCs/>
          <w:szCs w:val="24"/>
          <w:lang w:val="en-GB"/>
        </w:rPr>
        <w:t xml:space="preserve">.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Utvrđeno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je da je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država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propustila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da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zaštiti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pravo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privatni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porodični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život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svojom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neaktivnošću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da se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podnosiocima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predstavke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daju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osnovne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informacije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koje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bi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im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omogućile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da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procijene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rizik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po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njih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njihove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porodice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.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Ovakvo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obrazloženje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,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implicira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da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materijalna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prava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sadržana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u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članu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8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uključivala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implicitno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procesno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pravo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informacije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o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životnoj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sredini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>.</w:t>
      </w:r>
    </w:p>
    <w:p w14:paraId="2C2FADB8" w14:textId="77777777" w:rsidR="00444116" w:rsidRPr="00444116" w:rsidRDefault="00444116" w:rsidP="00444116">
      <w:pPr>
        <w:jc w:val="both"/>
        <w:rPr>
          <w:rFonts w:eastAsia="Calibri" w:cs="Times New Roman"/>
          <w:iCs/>
          <w:szCs w:val="24"/>
          <w:lang w:val="en-GB"/>
        </w:rPr>
      </w:pPr>
      <w:r w:rsidRPr="00444116">
        <w:rPr>
          <w:rFonts w:eastAsia="Calibri" w:cs="Times New Roman"/>
          <w:iCs/>
          <w:szCs w:val="24"/>
          <w:lang w:val="en-GB"/>
        </w:rPr>
        <w:t xml:space="preserve">Sud je,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takođe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,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razmatrao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primjenjivost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člana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10 za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klevetu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u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širenju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informacija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o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životnoj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sredini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od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strane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novinara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u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slučajevima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Bladet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Troms</w:t>
      </w:r>
      <w:r w:rsidRPr="00444116">
        <w:rPr>
          <w:rFonts w:eastAsia="Times New Roman" w:cs="Times New Roman"/>
          <w:i/>
          <w:iCs/>
          <w:szCs w:val="24"/>
        </w:rPr>
        <w:t>ø</w:t>
      </w:r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protiv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Norveške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;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Thoma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protiv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Luksemburga</w:t>
      </w:r>
      <w:proofErr w:type="spellEnd"/>
      <w:r w:rsidRPr="00444116">
        <w:rPr>
          <w:rFonts w:eastAsia="Calibri" w:cs="Times New Roman"/>
          <w:iCs/>
          <w:szCs w:val="24"/>
          <w:vertAlign w:val="superscript"/>
          <w:lang w:val="en-GB"/>
        </w:rPr>
        <w:footnoteReference w:id="12"/>
      </w:r>
      <w:r w:rsidRPr="00444116">
        <w:rPr>
          <w:rFonts w:eastAsia="Calibri" w:cs="Times New Roman"/>
          <w:iCs/>
          <w:szCs w:val="24"/>
          <w:lang w:val="en-GB"/>
        </w:rPr>
        <w:t>.</w:t>
      </w:r>
      <w:r w:rsidRPr="00444116">
        <w:rPr>
          <w:rFonts w:ascii="inherit" w:eastAsia="Times New Roman" w:hAnsi="inherit" w:cs="Courier New"/>
          <w:color w:val="212121"/>
          <w:sz w:val="20"/>
          <w:szCs w:val="20"/>
          <w:lang w:val="en-GB" w:eastAsia="en-GB"/>
        </w:rPr>
        <w:t xml:space="preserve"> </w:t>
      </w:r>
      <w:r w:rsidRPr="00444116">
        <w:rPr>
          <w:rFonts w:eastAsia="Calibri" w:cs="Times New Roman"/>
          <w:iCs/>
          <w:szCs w:val="24"/>
          <w:lang w:val="en-GB"/>
        </w:rPr>
        <w:t xml:space="preserve">U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prvo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navedenom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slučaju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, Sud je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zauzeo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stav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da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država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ne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može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da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proširi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primjenu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zakona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o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kleveti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kako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bi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ograničila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širenje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ekoloških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informacija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od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javnog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interesa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. </w:t>
      </w:r>
    </w:p>
    <w:p w14:paraId="3C282FBB" w14:textId="77777777" w:rsidR="00444116" w:rsidRPr="00444116" w:rsidRDefault="00444116" w:rsidP="00444116">
      <w:pPr>
        <w:jc w:val="both"/>
        <w:rPr>
          <w:rFonts w:eastAsia="Calibri" w:cs="Times New Roman"/>
          <w:iCs/>
          <w:szCs w:val="24"/>
          <w:lang w:val="en-GB"/>
        </w:rPr>
      </w:pPr>
      <w:r w:rsidRPr="00444116">
        <w:rPr>
          <w:rFonts w:eastAsia="Calibri" w:cs="Times New Roman"/>
          <w:iCs/>
          <w:szCs w:val="24"/>
          <w:lang w:val="en-GB"/>
        </w:rPr>
        <w:t xml:space="preserve">Sud je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utvrdio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povredu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prava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poštovanja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privatnog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porodičnog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života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iz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člana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8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Konvencije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u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slučajevima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Taşkin</w:t>
      </w:r>
      <w:proofErr w:type="spellEnd"/>
      <w:r w:rsidRPr="00444116">
        <w:rPr>
          <w:rFonts w:eastAsia="Times New Roman" w:cs="Times New Roman"/>
          <w:szCs w:val="24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i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drugi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protiv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Turske</w:t>
      </w:r>
      <w:proofErr w:type="spellEnd"/>
      <w:r w:rsidRPr="00444116">
        <w:rPr>
          <w:rFonts w:eastAsia="Calibri" w:cs="Times New Roman"/>
          <w:i/>
          <w:iCs/>
          <w:szCs w:val="24"/>
          <w:vertAlign w:val="superscript"/>
          <w:lang w:val="en-GB"/>
        </w:rPr>
        <w:footnoteReference w:id="13"/>
      </w:r>
      <w:r w:rsidRPr="00444116">
        <w:rPr>
          <w:rFonts w:eastAsia="Calibri" w:cs="Times New Roman"/>
          <w:i/>
          <w:iCs/>
          <w:szCs w:val="24"/>
          <w:lang w:val="en-GB"/>
        </w:rPr>
        <w:t>,</w:t>
      </w:r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r w:rsidRPr="00444116">
        <w:rPr>
          <w:rFonts w:eastAsia="Calibri" w:cs="Times New Roman"/>
          <w:i/>
          <w:iCs/>
          <w:szCs w:val="24"/>
          <w:lang w:val="en-GB"/>
        </w:rPr>
        <w:t>T</w:t>
      </w:r>
      <w:r w:rsidRPr="00444116">
        <w:rPr>
          <w:rFonts w:eastAsia="Times New Roman" w:cs="Times New Roman"/>
          <w:i/>
          <w:iCs/>
          <w:szCs w:val="24"/>
        </w:rPr>
        <w:t>ă</w:t>
      </w:r>
      <w:r w:rsidRPr="00444116">
        <w:rPr>
          <w:rFonts w:eastAsia="Calibri" w:cs="Times New Roman"/>
          <w:i/>
          <w:iCs/>
          <w:szCs w:val="24"/>
          <w:lang w:val="en-GB"/>
        </w:rPr>
        <w:t xml:space="preserve">tar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protiv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Rumunije</w:t>
      </w:r>
      <w:proofErr w:type="spellEnd"/>
      <w:r w:rsidRPr="00444116">
        <w:rPr>
          <w:rFonts w:eastAsia="Calibri" w:cs="Times New Roman"/>
          <w:i/>
          <w:iCs/>
          <w:szCs w:val="24"/>
          <w:vertAlign w:val="superscript"/>
          <w:lang w:val="en-GB"/>
        </w:rPr>
        <w:footnoteReference w:id="14"/>
      </w:r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r w:rsidRPr="00444116">
        <w:rPr>
          <w:rFonts w:eastAsia="Times New Roman" w:cs="Times New Roman"/>
          <w:i/>
          <w:iCs/>
          <w:szCs w:val="24"/>
        </w:rPr>
        <w:t>Ö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neryildiz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protiv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Turske</w:t>
      </w:r>
      <w:proofErr w:type="spellEnd"/>
      <w:r w:rsidRPr="00444116">
        <w:rPr>
          <w:rFonts w:eastAsia="Calibri" w:cs="Times New Roman"/>
          <w:i/>
          <w:iCs/>
          <w:szCs w:val="24"/>
          <w:vertAlign w:val="superscript"/>
          <w:lang w:val="en-GB"/>
        </w:rPr>
        <w:footnoteReference w:id="15"/>
      </w:r>
      <w:r w:rsidRPr="00444116">
        <w:rPr>
          <w:rFonts w:eastAsia="Calibri" w:cs="Times New Roman"/>
          <w:i/>
          <w:iCs/>
          <w:szCs w:val="24"/>
          <w:lang w:val="en-GB"/>
        </w:rPr>
        <w:t xml:space="preserve">. </w:t>
      </w:r>
      <w:r w:rsidRPr="00444116">
        <w:rPr>
          <w:rFonts w:eastAsia="Calibri" w:cs="Times New Roman"/>
          <w:iCs/>
          <w:szCs w:val="24"/>
          <w:lang w:val="en-GB"/>
        </w:rPr>
        <w:t xml:space="preserve">U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trećenavedenom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slučaju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Sud je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zaključio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da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Vlada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nije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pokazala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da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preduzete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bilo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kakve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mjere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da bi u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konkretnom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slučaju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stanovnicima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udžerica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podignutih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u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podnožju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deponije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bile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pružene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informacije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osnovu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kojih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bi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mogli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da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sagledaju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opasnost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koja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im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može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prijetiti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. Ali, po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mišljenju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Suda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samo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informisanje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, u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nedostatku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drugih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mjera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za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otklanjanje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opasnosti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po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život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ne bi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bilo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dovoljno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da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država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bude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oslobođena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odgovornosti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>.</w:t>
      </w:r>
    </w:p>
    <w:p w14:paraId="6CBBE223" w14:textId="77777777" w:rsidR="00444116" w:rsidRPr="00444116" w:rsidRDefault="00444116" w:rsidP="00444116">
      <w:pPr>
        <w:jc w:val="both"/>
        <w:rPr>
          <w:rFonts w:eastAsia="Calibri" w:cs="Times New Roman"/>
          <w:iCs/>
          <w:szCs w:val="24"/>
          <w:lang w:val="en-GB"/>
        </w:rPr>
      </w:pPr>
      <w:r w:rsidRPr="00444116">
        <w:rPr>
          <w:rFonts w:eastAsia="Calibri" w:cs="Times New Roman"/>
          <w:iCs/>
          <w:szCs w:val="24"/>
          <w:lang w:val="en-GB"/>
        </w:rPr>
        <w:t xml:space="preserve">Sud je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ustanovio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da je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došlo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do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povrede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prava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život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prema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članu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2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Konvencije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u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vezi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pitanjima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životne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sredine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u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slučaju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Budayeva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i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drugi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protiv</w:t>
      </w:r>
      <w:proofErr w:type="spellEnd"/>
      <w:r w:rsidRPr="00444116">
        <w:rPr>
          <w:rFonts w:eastAsia="Calibri" w:cs="Times New Roman"/>
          <w:i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/>
          <w:iCs/>
          <w:szCs w:val="24"/>
          <w:lang w:val="en-GB"/>
        </w:rPr>
        <w:t>Rusije</w:t>
      </w:r>
      <w:proofErr w:type="spellEnd"/>
      <w:r w:rsidRPr="00444116">
        <w:rPr>
          <w:rFonts w:eastAsia="Calibri" w:cs="Times New Roman"/>
          <w:i/>
          <w:iCs/>
          <w:szCs w:val="24"/>
          <w:vertAlign w:val="superscript"/>
          <w:lang w:val="en-GB"/>
        </w:rPr>
        <w:footnoteReference w:id="16"/>
      </w:r>
      <w:r w:rsidRPr="00444116">
        <w:rPr>
          <w:rFonts w:eastAsia="Calibri" w:cs="Times New Roman"/>
          <w:iCs/>
          <w:szCs w:val="24"/>
          <w:lang w:val="en-GB"/>
        </w:rPr>
        <w:t xml:space="preserve">. Sud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navodi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da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član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2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Konvencije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propisuje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pozitivnu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obavezu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država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da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preduzmu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odgovarajuće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korake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kako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bi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zaštitili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život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onih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koji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u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njihovoj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nadležnosti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. Ta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obaveza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je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tumačena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tako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da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uključuje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materijalne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procesne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aspekte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,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naročito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pozitivnu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obavezu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da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preduzme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regulatorne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mjere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da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adekvatno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informiše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javnost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o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svakom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hitnom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slučaju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. Sud je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posebno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naglasio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da u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okviru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ovih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preventivnih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lastRenderedPageBreak/>
        <w:t>mjera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,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poseban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akcenat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treba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staviti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pravo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javnosti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informisanje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.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Ovom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odlukom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prepoznato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je da se u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kontekstu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opasnih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aktivnosti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opseg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pozitivnih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obaveza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prema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članu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2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Konvencije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u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velikoj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meri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preklapa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onima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iz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člana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8.</w:t>
      </w:r>
      <w:r w:rsidRPr="00444116">
        <w:rPr>
          <w:rFonts w:eastAsia="Calibri" w:cs="Times New Roman"/>
          <w:iCs/>
          <w:szCs w:val="24"/>
          <w:vertAlign w:val="superscript"/>
          <w:lang w:val="en-GB"/>
        </w:rPr>
        <w:footnoteReference w:id="17"/>
      </w:r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Shodno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tome,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principi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razvijeni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u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sudskoj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praksi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Suda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koji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se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odnose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planiranje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pitanja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životne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sredine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koja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utiču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pravo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bookmarkStart w:id="3" w:name="_Hlk500236826"/>
      <w:proofErr w:type="spellStart"/>
      <w:r w:rsidRPr="00444116">
        <w:rPr>
          <w:rFonts w:eastAsia="Calibri" w:cs="Times New Roman"/>
          <w:iCs/>
          <w:szCs w:val="24"/>
          <w:lang w:val="en-GB"/>
        </w:rPr>
        <w:t>poštovanje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privatnog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porodičnog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života</w:t>
      </w:r>
      <w:bookmarkEnd w:id="3"/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,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takođe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se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mogu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primijeniti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i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zaštitu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prava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na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 xml:space="preserve"> </w:t>
      </w:r>
      <w:proofErr w:type="spellStart"/>
      <w:r w:rsidRPr="00444116">
        <w:rPr>
          <w:rFonts w:eastAsia="Calibri" w:cs="Times New Roman"/>
          <w:iCs/>
          <w:szCs w:val="24"/>
          <w:lang w:val="en-GB"/>
        </w:rPr>
        <w:t>život</w:t>
      </w:r>
      <w:proofErr w:type="spellEnd"/>
      <w:r w:rsidRPr="00444116">
        <w:rPr>
          <w:rFonts w:eastAsia="Calibri" w:cs="Times New Roman"/>
          <w:iCs/>
          <w:szCs w:val="24"/>
          <w:lang w:val="en-GB"/>
        </w:rPr>
        <w:t>.</w:t>
      </w:r>
    </w:p>
    <w:p w14:paraId="3585D025" w14:textId="754E2C15" w:rsidR="00BF63AA" w:rsidRDefault="00BF63AA"/>
    <w:p w14:paraId="52FE213B" w14:textId="20073035" w:rsidR="00926F6C" w:rsidRDefault="00926F6C">
      <w:r w:rsidRPr="00926F6C">
        <w:br/>
      </w:r>
      <w:r w:rsidRPr="00926F6C">
        <w:br/>
      </w:r>
    </w:p>
    <w:sectPr w:rsidR="00926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7CA2F" w14:textId="77777777" w:rsidR="004F5BDB" w:rsidRDefault="004F5BDB" w:rsidP="00444116">
      <w:pPr>
        <w:spacing w:after="0" w:line="240" w:lineRule="auto"/>
      </w:pPr>
      <w:r>
        <w:separator/>
      </w:r>
    </w:p>
  </w:endnote>
  <w:endnote w:type="continuationSeparator" w:id="0">
    <w:p w14:paraId="38F0AAB1" w14:textId="77777777" w:rsidR="004F5BDB" w:rsidRDefault="004F5BDB" w:rsidP="00444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E0F34" w14:textId="77777777" w:rsidR="004F5BDB" w:rsidRDefault="004F5BDB" w:rsidP="00444116">
      <w:pPr>
        <w:spacing w:after="0" w:line="240" w:lineRule="auto"/>
      </w:pPr>
      <w:r>
        <w:separator/>
      </w:r>
    </w:p>
  </w:footnote>
  <w:footnote w:type="continuationSeparator" w:id="0">
    <w:p w14:paraId="42A0DB79" w14:textId="77777777" w:rsidR="004F5BDB" w:rsidRDefault="004F5BDB" w:rsidP="00444116">
      <w:pPr>
        <w:spacing w:after="0" w:line="240" w:lineRule="auto"/>
      </w:pPr>
      <w:r>
        <w:continuationSeparator/>
      </w:r>
    </w:p>
  </w:footnote>
  <w:footnote w:id="1">
    <w:p w14:paraId="7EDF444F" w14:textId="77777777" w:rsidR="00444116" w:rsidRPr="00051C92" w:rsidRDefault="00444116" w:rsidP="00444116">
      <w:pPr>
        <w:pStyle w:val="FootnoteText"/>
        <w:jc w:val="both"/>
        <w:rPr>
          <w:iCs/>
          <w:lang w:val="en-GB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B73F27">
        <w:rPr>
          <w:iCs/>
          <w:lang w:val="en-GB"/>
        </w:rPr>
        <w:t>Vidi</w:t>
      </w:r>
      <w:proofErr w:type="spellEnd"/>
      <w:r w:rsidRPr="00B73F27">
        <w:rPr>
          <w:iCs/>
          <w:lang w:val="en-GB"/>
        </w:rPr>
        <w:t xml:space="preserve"> </w:t>
      </w:r>
      <w:proofErr w:type="spellStart"/>
      <w:r w:rsidRPr="00B73F27">
        <w:rPr>
          <w:iCs/>
          <w:lang w:val="en-GB"/>
        </w:rPr>
        <w:t>npr</w:t>
      </w:r>
      <w:proofErr w:type="spellEnd"/>
      <w:r w:rsidRPr="00B73F27">
        <w:rPr>
          <w:iCs/>
          <w:lang w:val="en-GB"/>
        </w:rPr>
        <w:t xml:space="preserve">. </w:t>
      </w:r>
      <w:proofErr w:type="spellStart"/>
      <w:r w:rsidRPr="00B73F27">
        <w:rPr>
          <w:iCs/>
          <w:lang w:val="en-GB"/>
        </w:rPr>
        <w:t>Konvenciju</w:t>
      </w:r>
      <w:proofErr w:type="spellEnd"/>
      <w:r w:rsidRPr="00B73F27">
        <w:rPr>
          <w:iCs/>
          <w:lang w:val="en-GB"/>
        </w:rPr>
        <w:t xml:space="preserve"> o </w:t>
      </w:r>
      <w:proofErr w:type="spellStart"/>
      <w:r w:rsidRPr="00B73F27">
        <w:rPr>
          <w:iCs/>
          <w:lang w:val="en-GB"/>
        </w:rPr>
        <w:t>građanskoj</w:t>
      </w:r>
      <w:proofErr w:type="spellEnd"/>
      <w:r w:rsidRPr="00B73F27">
        <w:rPr>
          <w:iCs/>
          <w:lang w:val="en-GB"/>
        </w:rPr>
        <w:t xml:space="preserve"> </w:t>
      </w:r>
      <w:proofErr w:type="spellStart"/>
      <w:r w:rsidRPr="00B73F27">
        <w:rPr>
          <w:iCs/>
          <w:lang w:val="en-GB"/>
        </w:rPr>
        <w:t>odgovornosti</w:t>
      </w:r>
      <w:proofErr w:type="spellEnd"/>
      <w:r w:rsidRPr="00B73F27">
        <w:rPr>
          <w:iCs/>
          <w:lang w:val="en-GB"/>
        </w:rPr>
        <w:t xml:space="preserve"> za </w:t>
      </w:r>
      <w:proofErr w:type="spellStart"/>
      <w:r w:rsidRPr="00B73F27">
        <w:rPr>
          <w:iCs/>
          <w:lang w:val="en-GB"/>
        </w:rPr>
        <w:t>štetu</w:t>
      </w:r>
      <w:proofErr w:type="spellEnd"/>
      <w:r w:rsidRPr="00B73F27">
        <w:rPr>
          <w:iCs/>
          <w:lang w:val="en-GB"/>
        </w:rPr>
        <w:t xml:space="preserve"> </w:t>
      </w:r>
      <w:proofErr w:type="spellStart"/>
      <w:r w:rsidRPr="00B73F27">
        <w:rPr>
          <w:iCs/>
          <w:lang w:val="en-GB"/>
        </w:rPr>
        <w:t>koja</w:t>
      </w:r>
      <w:proofErr w:type="spellEnd"/>
      <w:r w:rsidRPr="00B73F27">
        <w:rPr>
          <w:iCs/>
          <w:lang w:val="en-GB"/>
        </w:rPr>
        <w:t xml:space="preserve"> </w:t>
      </w:r>
      <w:proofErr w:type="spellStart"/>
      <w:r w:rsidRPr="00B73F27">
        <w:rPr>
          <w:iCs/>
          <w:lang w:val="en-GB"/>
        </w:rPr>
        <w:t>proizilazi</w:t>
      </w:r>
      <w:proofErr w:type="spellEnd"/>
      <w:r w:rsidRPr="00B73F27">
        <w:rPr>
          <w:iCs/>
          <w:lang w:val="en-GB"/>
        </w:rPr>
        <w:t xml:space="preserve"> </w:t>
      </w:r>
      <w:proofErr w:type="spellStart"/>
      <w:r w:rsidRPr="00B73F27">
        <w:rPr>
          <w:iCs/>
          <w:lang w:val="en-GB"/>
        </w:rPr>
        <w:t>iz</w:t>
      </w:r>
      <w:proofErr w:type="spellEnd"/>
      <w:r w:rsidRPr="00B73F27">
        <w:rPr>
          <w:iCs/>
          <w:lang w:val="en-GB"/>
        </w:rPr>
        <w:t xml:space="preserve"> </w:t>
      </w:r>
      <w:proofErr w:type="spellStart"/>
      <w:r w:rsidRPr="00B73F27">
        <w:rPr>
          <w:iCs/>
          <w:lang w:val="en-GB"/>
        </w:rPr>
        <w:t>aktivnosti</w:t>
      </w:r>
      <w:proofErr w:type="spellEnd"/>
      <w:r w:rsidRPr="00B73F27">
        <w:rPr>
          <w:iCs/>
          <w:lang w:val="en-GB"/>
        </w:rPr>
        <w:t xml:space="preserve"> </w:t>
      </w:r>
      <w:proofErr w:type="spellStart"/>
      <w:r w:rsidRPr="00B73F27">
        <w:rPr>
          <w:iCs/>
          <w:lang w:val="en-GB"/>
        </w:rPr>
        <w:t>opasne</w:t>
      </w:r>
      <w:proofErr w:type="spellEnd"/>
      <w:r w:rsidRPr="00B73F27">
        <w:rPr>
          <w:iCs/>
          <w:lang w:val="en-GB"/>
        </w:rPr>
        <w:t xml:space="preserve"> po </w:t>
      </w:r>
      <w:proofErr w:type="spellStart"/>
      <w:r w:rsidRPr="00B73F27">
        <w:rPr>
          <w:iCs/>
          <w:lang w:val="en-GB"/>
        </w:rPr>
        <w:t>životnu</w:t>
      </w:r>
      <w:proofErr w:type="spellEnd"/>
      <w:r w:rsidRPr="00B73F27">
        <w:rPr>
          <w:iCs/>
          <w:lang w:val="en-GB"/>
        </w:rPr>
        <w:t xml:space="preserve"> </w:t>
      </w:r>
      <w:proofErr w:type="spellStart"/>
      <w:r w:rsidRPr="00B73F27">
        <w:rPr>
          <w:iCs/>
          <w:lang w:val="en-GB"/>
        </w:rPr>
        <w:t>sredin</w:t>
      </w:r>
      <w:r>
        <w:rPr>
          <w:iCs/>
          <w:lang w:val="en-GB"/>
        </w:rPr>
        <w:t>u</w:t>
      </w:r>
      <w:proofErr w:type="spellEnd"/>
      <w:r>
        <w:rPr>
          <w:iCs/>
          <w:lang w:val="en-GB"/>
        </w:rPr>
        <w:t xml:space="preserve"> </w:t>
      </w:r>
      <w:proofErr w:type="spellStart"/>
      <w:r>
        <w:rPr>
          <w:iCs/>
          <w:lang w:val="en-GB"/>
        </w:rPr>
        <w:t>iz</w:t>
      </w:r>
      <w:proofErr w:type="spellEnd"/>
      <w:r>
        <w:rPr>
          <w:iCs/>
          <w:lang w:val="en-GB"/>
        </w:rPr>
        <w:t xml:space="preserve"> 1993, </w:t>
      </w:r>
      <w:proofErr w:type="spellStart"/>
      <w:r>
        <w:rPr>
          <w:iCs/>
          <w:lang w:val="en-GB"/>
        </w:rPr>
        <w:t>čl</w:t>
      </w:r>
      <w:proofErr w:type="spellEnd"/>
      <w:r>
        <w:rPr>
          <w:iCs/>
          <w:lang w:val="en-GB"/>
        </w:rPr>
        <w:t xml:space="preserve">. 13-16; </w:t>
      </w:r>
      <w:proofErr w:type="spellStart"/>
      <w:r>
        <w:rPr>
          <w:iCs/>
          <w:lang w:val="en-GB"/>
        </w:rPr>
        <w:t>Konvenciju</w:t>
      </w:r>
      <w:proofErr w:type="spellEnd"/>
      <w:r w:rsidRPr="00B73F27">
        <w:rPr>
          <w:iCs/>
          <w:lang w:val="en-GB"/>
        </w:rPr>
        <w:t xml:space="preserve"> o </w:t>
      </w:r>
      <w:proofErr w:type="spellStart"/>
      <w:r w:rsidRPr="00B73F27">
        <w:rPr>
          <w:iCs/>
          <w:lang w:val="en-GB"/>
        </w:rPr>
        <w:t>borbi</w:t>
      </w:r>
      <w:proofErr w:type="spellEnd"/>
      <w:r w:rsidRPr="00B73F27">
        <w:rPr>
          <w:iCs/>
          <w:lang w:val="en-GB"/>
        </w:rPr>
        <w:t xml:space="preserve"> </w:t>
      </w:r>
      <w:proofErr w:type="spellStart"/>
      <w:r w:rsidRPr="00B73F27">
        <w:rPr>
          <w:iCs/>
          <w:lang w:val="en-GB"/>
        </w:rPr>
        <w:t>protiv</w:t>
      </w:r>
      <w:proofErr w:type="spellEnd"/>
      <w:r w:rsidRPr="00B73F27">
        <w:rPr>
          <w:iCs/>
          <w:lang w:val="en-GB"/>
        </w:rPr>
        <w:t xml:space="preserve"> </w:t>
      </w:r>
      <w:proofErr w:type="spellStart"/>
      <w:r w:rsidRPr="00B73F27">
        <w:rPr>
          <w:iCs/>
          <w:lang w:val="en-GB"/>
        </w:rPr>
        <w:t>dezertifikacije</w:t>
      </w:r>
      <w:proofErr w:type="spellEnd"/>
      <w:r w:rsidRPr="00B73F27">
        <w:rPr>
          <w:iCs/>
          <w:lang w:val="en-GB"/>
        </w:rPr>
        <w:t xml:space="preserve"> u </w:t>
      </w:r>
      <w:proofErr w:type="spellStart"/>
      <w:r w:rsidRPr="00B73F27">
        <w:rPr>
          <w:iCs/>
          <w:lang w:val="en-GB"/>
        </w:rPr>
        <w:t>zemljama</w:t>
      </w:r>
      <w:proofErr w:type="spellEnd"/>
      <w:r w:rsidRPr="00B73F27">
        <w:rPr>
          <w:iCs/>
          <w:lang w:val="en-GB"/>
        </w:rPr>
        <w:t xml:space="preserve"> </w:t>
      </w:r>
      <w:proofErr w:type="spellStart"/>
      <w:r w:rsidRPr="00B73F27">
        <w:rPr>
          <w:iCs/>
          <w:lang w:val="en-GB"/>
        </w:rPr>
        <w:t>koje</w:t>
      </w:r>
      <w:proofErr w:type="spellEnd"/>
      <w:r w:rsidRPr="00B73F27">
        <w:rPr>
          <w:iCs/>
          <w:lang w:val="en-GB"/>
        </w:rPr>
        <w:t xml:space="preserve"> </w:t>
      </w:r>
      <w:proofErr w:type="spellStart"/>
      <w:r w:rsidRPr="00B73F27">
        <w:rPr>
          <w:iCs/>
          <w:lang w:val="en-GB"/>
        </w:rPr>
        <w:t>doživljavaju</w:t>
      </w:r>
      <w:proofErr w:type="spellEnd"/>
      <w:r w:rsidRPr="00B73F27">
        <w:rPr>
          <w:iCs/>
          <w:lang w:val="en-GB"/>
        </w:rPr>
        <w:t xml:space="preserve"> </w:t>
      </w:r>
      <w:proofErr w:type="spellStart"/>
      <w:r w:rsidRPr="00B73F27">
        <w:rPr>
          <w:iCs/>
          <w:lang w:val="en-GB"/>
        </w:rPr>
        <w:t>ozbiljnu</w:t>
      </w:r>
      <w:proofErr w:type="spellEnd"/>
      <w:r w:rsidRPr="00B73F27">
        <w:rPr>
          <w:iCs/>
          <w:lang w:val="en-GB"/>
        </w:rPr>
        <w:t xml:space="preserve"> </w:t>
      </w:r>
      <w:proofErr w:type="spellStart"/>
      <w:r w:rsidRPr="00B73F27">
        <w:rPr>
          <w:iCs/>
          <w:lang w:val="en-GB"/>
        </w:rPr>
        <w:t>sušu</w:t>
      </w:r>
      <w:proofErr w:type="spellEnd"/>
      <w:r w:rsidRPr="00B73F27">
        <w:rPr>
          <w:iCs/>
          <w:lang w:val="en-GB"/>
        </w:rPr>
        <w:t xml:space="preserve"> </w:t>
      </w:r>
      <w:proofErr w:type="spellStart"/>
      <w:r w:rsidRPr="00B73F27">
        <w:rPr>
          <w:iCs/>
          <w:lang w:val="en-GB"/>
        </w:rPr>
        <w:t>i</w:t>
      </w:r>
      <w:proofErr w:type="spellEnd"/>
      <w:r w:rsidRPr="00B73F27">
        <w:rPr>
          <w:iCs/>
          <w:lang w:val="en-GB"/>
        </w:rPr>
        <w:t xml:space="preserve"> / </w:t>
      </w:r>
      <w:proofErr w:type="spellStart"/>
      <w:r w:rsidRPr="00B73F27">
        <w:rPr>
          <w:iCs/>
          <w:lang w:val="en-GB"/>
        </w:rPr>
        <w:t>ili</w:t>
      </w:r>
      <w:proofErr w:type="spellEnd"/>
      <w:r w:rsidRPr="00B73F27">
        <w:rPr>
          <w:iCs/>
          <w:lang w:val="en-GB"/>
        </w:rPr>
        <w:t xml:space="preserve"> </w:t>
      </w:r>
      <w:proofErr w:type="spellStart"/>
      <w:r w:rsidRPr="00B73F27">
        <w:rPr>
          <w:iCs/>
          <w:lang w:val="en-GB"/>
        </w:rPr>
        <w:t>dezertifikaciju</w:t>
      </w:r>
      <w:proofErr w:type="spellEnd"/>
      <w:r w:rsidRPr="00B73F27">
        <w:rPr>
          <w:iCs/>
          <w:lang w:val="en-GB"/>
        </w:rPr>
        <w:t xml:space="preserve">, </w:t>
      </w:r>
      <w:proofErr w:type="spellStart"/>
      <w:r w:rsidRPr="00B73F27">
        <w:rPr>
          <w:iCs/>
          <w:lang w:val="en-GB"/>
        </w:rPr>
        <w:t>posebno</w:t>
      </w:r>
      <w:proofErr w:type="spellEnd"/>
      <w:r w:rsidRPr="00B73F27">
        <w:rPr>
          <w:iCs/>
          <w:lang w:val="en-GB"/>
        </w:rPr>
        <w:t xml:space="preserve"> u </w:t>
      </w:r>
      <w:proofErr w:type="spellStart"/>
      <w:r w:rsidRPr="00B73F27">
        <w:rPr>
          <w:iCs/>
          <w:lang w:val="en-GB"/>
        </w:rPr>
        <w:t>Africi</w:t>
      </w:r>
      <w:proofErr w:type="spellEnd"/>
      <w:r w:rsidRPr="00B73F27">
        <w:rPr>
          <w:iCs/>
          <w:lang w:val="en-GB"/>
        </w:rPr>
        <w:t xml:space="preserve"> </w:t>
      </w:r>
      <w:proofErr w:type="spellStart"/>
      <w:r w:rsidRPr="00B73F27">
        <w:rPr>
          <w:iCs/>
          <w:lang w:val="en-GB"/>
        </w:rPr>
        <w:t>iz</w:t>
      </w:r>
      <w:proofErr w:type="spellEnd"/>
      <w:r w:rsidRPr="00B73F27">
        <w:rPr>
          <w:iCs/>
          <w:lang w:val="en-GB"/>
        </w:rPr>
        <w:t xml:space="preserve"> 1995, </w:t>
      </w:r>
      <w:proofErr w:type="spellStart"/>
      <w:r w:rsidRPr="00B73F27">
        <w:rPr>
          <w:iCs/>
          <w:lang w:val="en-GB"/>
        </w:rPr>
        <w:t>čl</w:t>
      </w:r>
      <w:proofErr w:type="spellEnd"/>
      <w:r w:rsidRPr="00B73F27">
        <w:rPr>
          <w:iCs/>
          <w:lang w:val="en-GB"/>
        </w:rPr>
        <w:t xml:space="preserve">. 10 (2) (e), 13 (1) (b), 14 (2), 19, 25; </w:t>
      </w:r>
      <w:proofErr w:type="spellStart"/>
      <w:r w:rsidRPr="00B73F27">
        <w:rPr>
          <w:iCs/>
          <w:lang w:val="en-GB"/>
        </w:rPr>
        <w:t>Protokol</w:t>
      </w:r>
      <w:proofErr w:type="spellEnd"/>
      <w:r w:rsidRPr="00B73F27">
        <w:rPr>
          <w:iCs/>
          <w:lang w:val="en-GB"/>
        </w:rPr>
        <w:t xml:space="preserve"> o </w:t>
      </w:r>
      <w:proofErr w:type="spellStart"/>
      <w:r w:rsidRPr="00B73F27">
        <w:rPr>
          <w:iCs/>
          <w:lang w:val="en-GB"/>
        </w:rPr>
        <w:t>posebnim</w:t>
      </w:r>
      <w:proofErr w:type="spellEnd"/>
      <w:r w:rsidRPr="00B73F27">
        <w:rPr>
          <w:iCs/>
          <w:lang w:val="en-GB"/>
        </w:rPr>
        <w:t xml:space="preserve"> </w:t>
      </w:r>
      <w:proofErr w:type="spellStart"/>
      <w:r w:rsidRPr="00B73F27">
        <w:rPr>
          <w:iCs/>
          <w:lang w:val="en-GB"/>
        </w:rPr>
        <w:t>zaštićenim</w:t>
      </w:r>
      <w:proofErr w:type="spellEnd"/>
      <w:r w:rsidRPr="00B73F27">
        <w:rPr>
          <w:iCs/>
          <w:lang w:val="en-GB"/>
        </w:rPr>
        <w:t xml:space="preserve"> </w:t>
      </w:r>
      <w:proofErr w:type="spellStart"/>
      <w:r w:rsidRPr="00B73F27">
        <w:rPr>
          <w:iCs/>
          <w:lang w:val="en-GB"/>
        </w:rPr>
        <w:t>područjima</w:t>
      </w:r>
      <w:proofErr w:type="spellEnd"/>
      <w:r w:rsidRPr="00B73F27">
        <w:rPr>
          <w:iCs/>
          <w:lang w:val="en-GB"/>
        </w:rPr>
        <w:t xml:space="preserve"> </w:t>
      </w:r>
      <w:proofErr w:type="spellStart"/>
      <w:r w:rsidRPr="00B73F27">
        <w:rPr>
          <w:iCs/>
          <w:lang w:val="en-GB"/>
        </w:rPr>
        <w:t>i</w:t>
      </w:r>
      <w:proofErr w:type="spellEnd"/>
      <w:r w:rsidRPr="00B73F27">
        <w:rPr>
          <w:iCs/>
          <w:lang w:val="en-GB"/>
        </w:rPr>
        <w:t xml:space="preserve"> </w:t>
      </w:r>
      <w:proofErr w:type="spellStart"/>
      <w:r w:rsidRPr="00B73F27">
        <w:rPr>
          <w:iCs/>
          <w:lang w:val="en-GB"/>
        </w:rPr>
        <w:t>biološkoj</w:t>
      </w:r>
      <w:proofErr w:type="spellEnd"/>
      <w:r w:rsidRPr="00B73F27">
        <w:rPr>
          <w:iCs/>
          <w:lang w:val="en-GB"/>
        </w:rPr>
        <w:t xml:space="preserve"> </w:t>
      </w:r>
      <w:proofErr w:type="spellStart"/>
      <w:r w:rsidRPr="00B73F27">
        <w:rPr>
          <w:iCs/>
          <w:lang w:val="en-GB"/>
        </w:rPr>
        <w:t>raznovrsnosti</w:t>
      </w:r>
      <w:proofErr w:type="spellEnd"/>
      <w:r w:rsidRPr="00B73F27">
        <w:rPr>
          <w:iCs/>
          <w:lang w:val="en-GB"/>
        </w:rPr>
        <w:t xml:space="preserve"> </w:t>
      </w:r>
      <w:proofErr w:type="spellStart"/>
      <w:r w:rsidRPr="00B73F27">
        <w:rPr>
          <w:iCs/>
          <w:lang w:val="en-GB"/>
        </w:rPr>
        <w:t>na</w:t>
      </w:r>
      <w:proofErr w:type="spellEnd"/>
      <w:r w:rsidRPr="00B73F27">
        <w:rPr>
          <w:iCs/>
          <w:lang w:val="en-GB"/>
        </w:rPr>
        <w:t xml:space="preserve"> </w:t>
      </w:r>
      <w:proofErr w:type="spellStart"/>
      <w:r w:rsidRPr="00B73F27">
        <w:rPr>
          <w:iCs/>
          <w:lang w:val="en-GB"/>
        </w:rPr>
        <w:t>Mediteranu</w:t>
      </w:r>
      <w:proofErr w:type="spellEnd"/>
      <w:r w:rsidRPr="00B73F27">
        <w:rPr>
          <w:iCs/>
          <w:lang w:val="en-GB"/>
        </w:rPr>
        <w:t xml:space="preserve"> </w:t>
      </w:r>
      <w:proofErr w:type="spellStart"/>
      <w:r w:rsidRPr="00B73F27">
        <w:rPr>
          <w:iCs/>
          <w:lang w:val="en-GB"/>
        </w:rPr>
        <w:t>iz</w:t>
      </w:r>
      <w:proofErr w:type="spellEnd"/>
      <w:r w:rsidRPr="00B73F27">
        <w:rPr>
          <w:iCs/>
          <w:lang w:val="en-GB"/>
        </w:rPr>
        <w:t xml:space="preserve"> 19</w:t>
      </w:r>
      <w:r>
        <w:rPr>
          <w:iCs/>
          <w:lang w:val="en-GB"/>
        </w:rPr>
        <w:t xml:space="preserve">99, </w:t>
      </w:r>
      <w:proofErr w:type="spellStart"/>
      <w:r>
        <w:rPr>
          <w:iCs/>
          <w:lang w:val="en-GB"/>
        </w:rPr>
        <w:t>čl</w:t>
      </w:r>
      <w:proofErr w:type="spellEnd"/>
      <w:r>
        <w:rPr>
          <w:iCs/>
          <w:lang w:val="en-GB"/>
        </w:rPr>
        <w:t xml:space="preserve">. 19; </w:t>
      </w:r>
      <w:proofErr w:type="spellStart"/>
      <w:r w:rsidRPr="00B73F27">
        <w:rPr>
          <w:iCs/>
          <w:lang w:val="en-GB"/>
        </w:rPr>
        <w:t>Okvirnu</w:t>
      </w:r>
      <w:proofErr w:type="spellEnd"/>
      <w:r w:rsidRPr="00B73F27">
        <w:rPr>
          <w:iCs/>
          <w:lang w:val="en-GB"/>
        </w:rPr>
        <w:t xml:space="preserve"> </w:t>
      </w:r>
      <w:proofErr w:type="spellStart"/>
      <w:r w:rsidRPr="00B73F27">
        <w:rPr>
          <w:iCs/>
          <w:lang w:val="en-GB"/>
        </w:rPr>
        <w:t>konvencija</w:t>
      </w:r>
      <w:proofErr w:type="spellEnd"/>
      <w:r w:rsidRPr="00B73F27">
        <w:rPr>
          <w:iCs/>
          <w:lang w:val="en-GB"/>
        </w:rPr>
        <w:t xml:space="preserve"> o </w:t>
      </w:r>
      <w:proofErr w:type="spellStart"/>
      <w:r w:rsidRPr="00B73F27">
        <w:rPr>
          <w:iCs/>
          <w:lang w:val="en-GB"/>
        </w:rPr>
        <w:t>klimatskim</w:t>
      </w:r>
      <w:proofErr w:type="spellEnd"/>
      <w:r w:rsidRPr="00B73F27">
        <w:rPr>
          <w:iCs/>
          <w:lang w:val="en-GB"/>
        </w:rPr>
        <w:t xml:space="preserve"> </w:t>
      </w:r>
      <w:proofErr w:type="spellStart"/>
      <w:r w:rsidRPr="00B73F27">
        <w:rPr>
          <w:iCs/>
          <w:lang w:val="en-GB"/>
        </w:rPr>
        <w:t>promjenama</w:t>
      </w:r>
      <w:proofErr w:type="spellEnd"/>
      <w:r w:rsidRPr="00B73F27">
        <w:rPr>
          <w:iCs/>
          <w:lang w:val="en-GB"/>
        </w:rPr>
        <w:t xml:space="preserve">, </w:t>
      </w:r>
      <w:proofErr w:type="spellStart"/>
      <w:r w:rsidRPr="00B73F27">
        <w:rPr>
          <w:iCs/>
          <w:lang w:val="en-GB"/>
        </w:rPr>
        <w:t>čl</w:t>
      </w:r>
      <w:proofErr w:type="spellEnd"/>
      <w:r w:rsidRPr="00B73F27">
        <w:rPr>
          <w:iCs/>
          <w:lang w:val="en-GB"/>
        </w:rPr>
        <w:t xml:space="preserve">. 6; </w:t>
      </w:r>
      <w:proofErr w:type="spellStart"/>
      <w:r w:rsidRPr="00B73F27">
        <w:rPr>
          <w:iCs/>
          <w:lang w:val="en-GB"/>
        </w:rPr>
        <w:t>Espo</w:t>
      </w:r>
      <w:proofErr w:type="spellEnd"/>
      <w:r w:rsidRPr="00B73F27">
        <w:rPr>
          <w:iCs/>
          <w:lang w:val="en-GB"/>
        </w:rPr>
        <w:t xml:space="preserve"> </w:t>
      </w:r>
      <w:proofErr w:type="spellStart"/>
      <w:r w:rsidRPr="00B73F27">
        <w:rPr>
          <w:iCs/>
          <w:lang w:val="en-GB"/>
        </w:rPr>
        <w:t>konvenciju</w:t>
      </w:r>
      <w:proofErr w:type="spellEnd"/>
      <w:r w:rsidRPr="00B73F27">
        <w:rPr>
          <w:iCs/>
          <w:lang w:val="en-GB"/>
        </w:rPr>
        <w:t xml:space="preserve"> o </w:t>
      </w:r>
      <w:proofErr w:type="spellStart"/>
      <w:r w:rsidRPr="00B73F27">
        <w:rPr>
          <w:iCs/>
          <w:lang w:val="en-GB"/>
        </w:rPr>
        <w:t>procjeni</w:t>
      </w:r>
      <w:proofErr w:type="spellEnd"/>
      <w:r w:rsidRPr="00B73F27">
        <w:rPr>
          <w:iCs/>
          <w:lang w:val="en-GB"/>
        </w:rPr>
        <w:t xml:space="preserve"> </w:t>
      </w:r>
      <w:proofErr w:type="spellStart"/>
      <w:r w:rsidRPr="00B73F27">
        <w:rPr>
          <w:iCs/>
          <w:lang w:val="en-GB"/>
        </w:rPr>
        <w:t>uticaja</w:t>
      </w:r>
      <w:proofErr w:type="spellEnd"/>
      <w:r w:rsidRPr="00B73F27">
        <w:rPr>
          <w:iCs/>
          <w:lang w:val="en-GB"/>
        </w:rPr>
        <w:t xml:space="preserve"> </w:t>
      </w:r>
      <w:proofErr w:type="spellStart"/>
      <w:r w:rsidRPr="00B73F27">
        <w:rPr>
          <w:iCs/>
          <w:lang w:val="en-GB"/>
        </w:rPr>
        <w:t>na</w:t>
      </w:r>
      <w:proofErr w:type="spellEnd"/>
      <w:r w:rsidRPr="00B73F27">
        <w:rPr>
          <w:iCs/>
          <w:lang w:val="en-GB"/>
        </w:rPr>
        <w:t xml:space="preserve"> </w:t>
      </w:r>
      <w:proofErr w:type="spellStart"/>
      <w:r w:rsidRPr="00B73F27">
        <w:rPr>
          <w:iCs/>
          <w:lang w:val="en-GB"/>
        </w:rPr>
        <w:t>životnu</w:t>
      </w:r>
      <w:proofErr w:type="spellEnd"/>
      <w:r w:rsidRPr="00B73F27">
        <w:rPr>
          <w:iCs/>
          <w:lang w:val="en-GB"/>
        </w:rPr>
        <w:t xml:space="preserve"> </w:t>
      </w:r>
      <w:proofErr w:type="spellStart"/>
      <w:r w:rsidRPr="00B73F27">
        <w:rPr>
          <w:iCs/>
          <w:lang w:val="en-GB"/>
        </w:rPr>
        <w:t>sredinu</w:t>
      </w:r>
      <w:proofErr w:type="spellEnd"/>
      <w:r w:rsidRPr="00B73F27">
        <w:rPr>
          <w:iCs/>
          <w:lang w:val="en-GB"/>
        </w:rPr>
        <w:t xml:space="preserve"> u </w:t>
      </w:r>
      <w:proofErr w:type="spellStart"/>
      <w:r w:rsidRPr="00B73F27">
        <w:rPr>
          <w:iCs/>
          <w:lang w:val="en-GB"/>
        </w:rPr>
        <w:t>prekograničnom</w:t>
      </w:r>
      <w:proofErr w:type="spellEnd"/>
      <w:r w:rsidRPr="00B73F27">
        <w:rPr>
          <w:iCs/>
          <w:lang w:val="en-GB"/>
        </w:rPr>
        <w:t xml:space="preserve"> </w:t>
      </w:r>
      <w:proofErr w:type="spellStart"/>
      <w:r>
        <w:rPr>
          <w:iCs/>
          <w:lang w:val="en-GB"/>
        </w:rPr>
        <w:t>kontekstu</w:t>
      </w:r>
      <w:proofErr w:type="spellEnd"/>
      <w:r>
        <w:rPr>
          <w:iCs/>
          <w:lang w:val="en-GB"/>
        </w:rPr>
        <w:t xml:space="preserve"> </w:t>
      </w:r>
      <w:proofErr w:type="spellStart"/>
      <w:r>
        <w:rPr>
          <w:iCs/>
          <w:lang w:val="en-GB"/>
        </w:rPr>
        <w:t>iz</w:t>
      </w:r>
      <w:proofErr w:type="spellEnd"/>
      <w:r>
        <w:rPr>
          <w:iCs/>
          <w:lang w:val="en-GB"/>
        </w:rPr>
        <w:t xml:space="preserve"> 1992. (</w:t>
      </w:r>
      <w:proofErr w:type="spellStart"/>
      <w:r>
        <w:rPr>
          <w:iCs/>
          <w:lang w:val="en-GB"/>
        </w:rPr>
        <w:t>čl</w:t>
      </w:r>
      <w:proofErr w:type="spellEnd"/>
      <w:r>
        <w:rPr>
          <w:iCs/>
          <w:lang w:val="en-GB"/>
        </w:rPr>
        <w:t>. 3(8)</w:t>
      </w:r>
      <w:r w:rsidRPr="00662DA3">
        <w:rPr>
          <w:iCs/>
          <w:lang w:val="en-GB"/>
        </w:rPr>
        <w:t>)</w:t>
      </w:r>
      <w:r>
        <w:rPr>
          <w:iCs/>
          <w:lang w:val="en-GB"/>
        </w:rPr>
        <w:t xml:space="preserve"> </w:t>
      </w:r>
      <w:proofErr w:type="spellStart"/>
      <w:r>
        <w:rPr>
          <w:iCs/>
          <w:lang w:val="en-GB"/>
        </w:rPr>
        <w:t>i</w:t>
      </w:r>
      <w:proofErr w:type="spellEnd"/>
      <w:r>
        <w:rPr>
          <w:iCs/>
          <w:lang w:val="en-GB"/>
        </w:rPr>
        <w:t xml:space="preserve"> </w:t>
      </w:r>
      <w:proofErr w:type="spellStart"/>
      <w:r>
        <w:rPr>
          <w:iCs/>
          <w:lang w:val="en-GB"/>
        </w:rPr>
        <w:t>dr.</w:t>
      </w:r>
      <w:proofErr w:type="spellEnd"/>
      <w:r>
        <w:rPr>
          <w:iCs/>
          <w:lang w:val="en-GB"/>
        </w:rPr>
        <w:t xml:space="preserve">   </w:t>
      </w:r>
    </w:p>
  </w:footnote>
  <w:footnote w:id="2">
    <w:p w14:paraId="564C849B" w14:textId="77777777" w:rsidR="00444116" w:rsidRPr="00F81759" w:rsidRDefault="00444116" w:rsidP="00444116">
      <w:pPr>
        <w:pStyle w:val="FootnoteText"/>
        <w:jc w:val="both"/>
        <w:rPr>
          <w:bCs/>
          <w:i/>
          <w:iCs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Vidi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: </w:t>
      </w:r>
      <w:r w:rsidRPr="00F81759">
        <w:rPr>
          <w:bCs/>
          <w:iCs/>
        </w:rPr>
        <w:t xml:space="preserve">Hana </w:t>
      </w:r>
      <w:proofErr w:type="spellStart"/>
      <w:r w:rsidRPr="00F81759">
        <w:rPr>
          <w:bCs/>
          <w:iCs/>
        </w:rPr>
        <w:t>Müllerová</w:t>
      </w:r>
      <w:proofErr w:type="spellEnd"/>
      <w:r w:rsidRPr="003516BF">
        <w:rPr>
          <w:bCs/>
          <w:i/>
          <w:iCs/>
        </w:rPr>
        <w:t xml:space="preserve">, </w:t>
      </w:r>
      <w:r>
        <w:rPr>
          <w:bCs/>
          <w:iCs/>
        </w:rPr>
        <w:t>“</w:t>
      </w:r>
      <w:r w:rsidRPr="003516BF">
        <w:rPr>
          <w:bCs/>
        </w:rPr>
        <w:t>En</w:t>
      </w:r>
      <w:r>
        <w:rPr>
          <w:bCs/>
        </w:rPr>
        <w:t xml:space="preserve">vironment Playing Short-handed: </w:t>
      </w:r>
      <w:r w:rsidRPr="003516BF">
        <w:rPr>
          <w:bCs/>
        </w:rPr>
        <w:t>Margin of</w:t>
      </w:r>
      <w:r w:rsidRPr="003516BF">
        <w:t xml:space="preserve"> </w:t>
      </w:r>
      <w:r w:rsidRPr="003516BF">
        <w:rPr>
          <w:bCs/>
        </w:rPr>
        <w:t>Appreciation in Environmental Jurisprudence of the</w:t>
      </w:r>
      <w:r w:rsidRPr="003516BF">
        <w:t xml:space="preserve"> </w:t>
      </w:r>
      <w:r w:rsidRPr="003516BF">
        <w:rPr>
          <w:bCs/>
        </w:rPr>
        <w:t>European Court of Human Rights</w:t>
      </w:r>
      <w:r>
        <w:rPr>
          <w:bCs/>
        </w:rPr>
        <w:t>”</w:t>
      </w:r>
      <w:r w:rsidRPr="003516BF">
        <w:rPr>
          <w:bCs/>
        </w:rPr>
        <w:t xml:space="preserve">, </w:t>
      </w:r>
      <w:r w:rsidRPr="003516BF">
        <w:rPr>
          <w:bCs/>
          <w:i/>
          <w:iCs/>
        </w:rPr>
        <w:t>RECIEL 24 (1) 2015</w:t>
      </w:r>
      <w:r w:rsidRPr="00F81759">
        <w:rPr>
          <w:bCs/>
          <w:i/>
          <w:iCs/>
        </w:rPr>
        <w:t>, p. 84-86.</w:t>
      </w:r>
    </w:p>
  </w:footnote>
  <w:footnote w:id="3">
    <w:p w14:paraId="50881C87" w14:textId="77777777" w:rsidR="00444116" w:rsidRPr="00D0367A" w:rsidRDefault="00444116" w:rsidP="00444116">
      <w:pPr>
        <w:jc w:val="both"/>
        <w:rPr>
          <w:rFonts w:eastAsia="Calibri"/>
          <w:iCs/>
          <w:sz w:val="20"/>
          <w:szCs w:val="20"/>
          <w:u w:val="single"/>
          <w:lang w:val="en-GB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D0367A">
        <w:rPr>
          <w:rFonts w:eastAsia="Calibri"/>
          <w:iCs/>
          <w:sz w:val="20"/>
          <w:szCs w:val="20"/>
          <w:lang w:val="en-GB"/>
        </w:rPr>
        <w:t>Član</w:t>
      </w:r>
      <w:proofErr w:type="spellEnd"/>
      <w:r w:rsidRPr="00D0367A">
        <w:rPr>
          <w:rFonts w:eastAsia="Calibri"/>
          <w:iCs/>
          <w:sz w:val="20"/>
          <w:szCs w:val="20"/>
          <w:lang w:val="en-GB"/>
        </w:rPr>
        <w:t xml:space="preserve"> 8 </w:t>
      </w:r>
      <w:proofErr w:type="spellStart"/>
      <w:r>
        <w:rPr>
          <w:rFonts w:eastAsia="Calibri"/>
          <w:iCs/>
          <w:sz w:val="20"/>
          <w:szCs w:val="20"/>
          <w:lang w:val="en-GB"/>
        </w:rPr>
        <w:t>Konvencije</w:t>
      </w:r>
      <w:proofErr w:type="spellEnd"/>
      <w:r>
        <w:rPr>
          <w:rFonts w:eastAsia="Calibri"/>
          <w:iCs/>
          <w:sz w:val="20"/>
          <w:szCs w:val="20"/>
          <w:lang w:val="en-GB"/>
        </w:rPr>
        <w:t xml:space="preserve"> </w:t>
      </w:r>
      <w:proofErr w:type="spellStart"/>
      <w:r w:rsidRPr="00D0367A">
        <w:rPr>
          <w:rFonts w:eastAsia="Calibri"/>
          <w:iCs/>
          <w:sz w:val="20"/>
          <w:szCs w:val="20"/>
          <w:lang w:val="en-GB"/>
        </w:rPr>
        <w:t>može</w:t>
      </w:r>
      <w:proofErr w:type="spellEnd"/>
      <w:r w:rsidRPr="00D0367A">
        <w:rPr>
          <w:rFonts w:eastAsia="Calibri"/>
          <w:iCs/>
          <w:sz w:val="20"/>
          <w:szCs w:val="20"/>
          <w:lang w:val="en-GB"/>
        </w:rPr>
        <w:t xml:space="preserve"> se </w:t>
      </w:r>
      <w:proofErr w:type="spellStart"/>
      <w:r w:rsidRPr="00D0367A">
        <w:rPr>
          <w:rFonts w:eastAsia="Calibri"/>
          <w:iCs/>
          <w:sz w:val="20"/>
          <w:szCs w:val="20"/>
          <w:lang w:val="en-GB"/>
        </w:rPr>
        <w:t>primijeniti</w:t>
      </w:r>
      <w:proofErr w:type="spellEnd"/>
      <w:r w:rsidRPr="00D0367A">
        <w:rPr>
          <w:rFonts w:eastAsia="Calibri"/>
          <w:iCs/>
          <w:sz w:val="20"/>
          <w:szCs w:val="20"/>
          <w:lang w:val="en-GB"/>
        </w:rPr>
        <w:t xml:space="preserve"> </w:t>
      </w:r>
      <w:proofErr w:type="spellStart"/>
      <w:r w:rsidRPr="00D0367A">
        <w:rPr>
          <w:rFonts w:eastAsia="Calibri"/>
          <w:iCs/>
          <w:sz w:val="20"/>
          <w:szCs w:val="20"/>
          <w:lang w:val="en-GB"/>
        </w:rPr>
        <w:t>na</w:t>
      </w:r>
      <w:proofErr w:type="spellEnd"/>
      <w:r w:rsidRPr="00D0367A">
        <w:rPr>
          <w:rFonts w:eastAsia="Calibri"/>
          <w:iCs/>
          <w:sz w:val="20"/>
          <w:szCs w:val="20"/>
          <w:lang w:val="en-GB"/>
        </w:rPr>
        <w:t xml:space="preserve"> </w:t>
      </w:r>
      <w:proofErr w:type="spellStart"/>
      <w:r w:rsidRPr="00D0367A">
        <w:rPr>
          <w:rFonts w:eastAsia="Calibri"/>
          <w:iCs/>
          <w:sz w:val="20"/>
          <w:szCs w:val="20"/>
          <w:lang w:val="en-GB"/>
        </w:rPr>
        <w:t>slučajeve</w:t>
      </w:r>
      <w:proofErr w:type="spellEnd"/>
      <w:r w:rsidRPr="00D0367A">
        <w:rPr>
          <w:rFonts w:eastAsia="Calibri"/>
          <w:iCs/>
          <w:sz w:val="20"/>
          <w:szCs w:val="20"/>
          <w:lang w:val="en-GB"/>
        </w:rPr>
        <w:t xml:space="preserve"> </w:t>
      </w:r>
      <w:proofErr w:type="spellStart"/>
      <w:r w:rsidRPr="00D0367A">
        <w:rPr>
          <w:rFonts w:eastAsia="Calibri"/>
          <w:iCs/>
          <w:sz w:val="20"/>
          <w:szCs w:val="20"/>
          <w:lang w:val="en-GB"/>
        </w:rPr>
        <w:t>koji</w:t>
      </w:r>
      <w:proofErr w:type="spellEnd"/>
      <w:r w:rsidRPr="00D0367A">
        <w:rPr>
          <w:rFonts w:eastAsia="Calibri"/>
          <w:iCs/>
          <w:sz w:val="20"/>
          <w:szCs w:val="20"/>
          <w:lang w:val="en-GB"/>
        </w:rPr>
        <w:t xml:space="preserve"> se </w:t>
      </w:r>
      <w:proofErr w:type="spellStart"/>
      <w:r w:rsidRPr="00D0367A">
        <w:rPr>
          <w:rFonts w:eastAsia="Calibri"/>
          <w:iCs/>
          <w:sz w:val="20"/>
          <w:szCs w:val="20"/>
          <w:lang w:val="en-GB"/>
        </w:rPr>
        <w:t>odnose</w:t>
      </w:r>
      <w:proofErr w:type="spellEnd"/>
      <w:r w:rsidRPr="00D0367A">
        <w:rPr>
          <w:rFonts w:eastAsia="Calibri"/>
          <w:iCs/>
          <w:sz w:val="20"/>
          <w:szCs w:val="20"/>
          <w:lang w:val="en-GB"/>
        </w:rPr>
        <w:t xml:space="preserve"> </w:t>
      </w:r>
      <w:proofErr w:type="spellStart"/>
      <w:r w:rsidRPr="00D0367A">
        <w:rPr>
          <w:rFonts w:eastAsia="Calibri"/>
          <w:iCs/>
          <w:sz w:val="20"/>
          <w:szCs w:val="20"/>
          <w:lang w:val="en-GB"/>
        </w:rPr>
        <w:t>na</w:t>
      </w:r>
      <w:proofErr w:type="spellEnd"/>
      <w:r w:rsidRPr="00D0367A">
        <w:rPr>
          <w:rFonts w:eastAsia="Calibri"/>
          <w:iCs/>
          <w:sz w:val="20"/>
          <w:szCs w:val="20"/>
          <w:lang w:val="en-GB"/>
        </w:rPr>
        <w:t xml:space="preserve"> </w:t>
      </w:r>
      <w:proofErr w:type="spellStart"/>
      <w:r w:rsidRPr="00D0367A">
        <w:rPr>
          <w:rFonts w:eastAsia="Calibri"/>
          <w:iCs/>
          <w:sz w:val="20"/>
          <w:szCs w:val="20"/>
          <w:lang w:val="en-GB"/>
        </w:rPr>
        <w:t>životnu</w:t>
      </w:r>
      <w:proofErr w:type="spellEnd"/>
      <w:r w:rsidRPr="00D0367A">
        <w:rPr>
          <w:rFonts w:eastAsia="Calibri"/>
          <w:iCs/>
          <w:sz w:val="20"/>
          <w:szCs w:val="20"/>
          <w:lang w:val="en-GB"/>
        </w:rPr>
        <w:t xml:space="preserve"> </w:t>
      </w:r>
      <w:proofErr w:type="spellStart"/>
      <w:r w:rsidRPr="00D0367A">
        <w:rPr>
          <w:rFonts w:eastAsia="Calibri"/>
          <w:iCs/>
          <w:sz w:val="20"/>
          <w:szCs w:val="20"/>
          <w:lang w:val="en-GB"/>
        </w:rPr>
        <w:t>sredinu</w:t>
      </w:r>
      <w:proofErr w:type="spellEnd"/>
      <w:r w:rsidRPr="00D0367A">
        <w:rPr>
          <w:rFonts w:eastAsia="Calibri"/>
          <w:iCs/>
          <w:sz w:val="20"/>
          <w:szCs w:val="20"/>
          <w:lang w:val="en-GB"/>
        </w:rPr>
        <w:t xml:space="preserve"> </w:t>
      </w:r>
      <w:proofErr w:type="spellStart"/>
      <w:r w:rsidRPr="00D0367A">
        <w:rPr>
          <w:rFonts w:eastAsia="Calibri"/>
          <w:iCs/>
          <w:sz w:val="20"/>
          <w:szCs w:val="20"/>
          <w:lang w:val="en-GB"/>
        </w:rPr>
        <w:t>bilo</w:t>
      </w:r>
      <w:proofErr w:type="spellEnd"/>
      <w:r w:rsidRPr="00D0367A">
        <w:rPr>
          <w:rFonts w:eastAsia="Calibri"/>
          <w:iCs/>
          <w:sz w:val="20"/>
          <w:szCs w:val="20"/>
          <w:lang w:val="en-GB"/>
        </w:rPr>
        <w:t xml:space="preserve"> da je </w:t>
      </w:r>
      <w:proofErr w:type="spellStart"/>
      <w:r w:rsidRPr="00D0367A">
        <w:rPr>
          <w:rFonts w:eastAsia="Calibri"/>
          <w:iCs/>
          <w:sz w:val="20"/>
          <w:szCs w:val="20"/>
          <w:lang w:val="en-GB"/>
        </w:rPr>
        <w:t>država</w:t>
      </w:r>
      <w:proofErr w:type="spellEnd"/>
      <w:r w:rsidRPr="00D0367A">
        <w:rPr>
          <w:rFonts w:eastAsia="Calibri"/>
          <w:iCs/>
          <w:sz w:val="20"/>
          <w:szCs w:val="20"/>
          <w:lang w:val="en-GB"/>
        </w:rPr>
        <w:t xml:space="preserve"> </w:t>
      </w:r>
      <w:proofErr w:type="spellStart"/>
      <w:r w:rsidRPr="00D0367A">
        <w:rPr>
          <w:rFonts w:eastAsia="Calibri"/>
          <w:iCs/>
          <w:sz w:val="20"/>
          <w:szCs w:val="20"/>
          <w:lang w:val="en-GB"/>
        </w:rPr>
        <w:t>neposredno</w:t>
      </w:r>
      <w:proofErr w:type="spellEnd"/>
      <w:r w:rsidRPr="00D0367A">
        <w:rPr>
          <w:rFonts w:eastAsia="Calibri"/>
          <w:iCs/>
          <w:sz w:val="20"/>
          <w:szCs w:val="20"/>
          <w:lang w:val="en-GB"/>
        </w:rPr>
        <w:t xml:space="preserve"> </w:t>
      </w:r>
      <w:proofErr w:type="spellStart"/>
      <w:r w:rsidRPr="00D0367A">
        <w:rPr>
          <w:rFonts w:eastAsia="Calibri"/>
          <w:iCs/>
          <w:sz w:val="20"/>
          <w:szCs w:val="20"/>
          <w:lang w:val="en-GB"/>
        </w:rPr>
        <w:t>odgovorna</w:t>
      </w:r>
      <w:proofErr w:type="spellEnd"/>
      <w:r w:rsidRPr="00D0367A">
        <w:rPr>
          <w:rFonts w:eastAsia="Calibri"/>
          <w:iCs/>
          <w:sz w:val="20"/>
          <w:szCs w:val="20"/>
          <w:lang w:val="en-GB"/>
        </w:rPr>
        <w:t xml:space="preserve"> za </w:t>
      </w:r>
      <w:proofErr w:type="spellStart"/>
      <w:r w:rsidRPr="00D0367A">
        <w:rPr>
          <w:rFonts w:eastAsia="Calibri"/>
          <w:iCs/>
          <w:sz w:val="20"/>
          <w:szCs w:val="20"/>
          <w:lang w:val="en-GB"/>
        </w:rPr>
        <w:t>zagađenje</w:t>
      </w:r>
      <w:proofErr w:type="spellEnd"/>
      <w:r w:rsidRPr="00D0367A">
        <w:rPr>
          <w:rFonts w:eastAsia="Calibri"/>
          <w:iCs/>
          <w:sz w:val="20"/>
          <w:szCs w:val="20"/>
          <w:lang w:val="en-GB"/>
        </w:rPr>
        <w:t xml:space="preserve">, </w:t>
      </w:r>
      <w:proofErr w:type="spellStart"/>
      <w:r w:rsidRPr="00D0367A">
        <w:rPr>
          <w:rFonts w:eastAsia="Calibri"/>
          <w:iCs/>
          <w:sz w:val="20"/>
          <w:szCs w:val="20"/>
          <w:lang w:val="en-GB"/>
        </w:rPr>
        <w:t>bilo</w:t>
      </w:r>
      <w:proofErr w:type="spellEnd"/>
      <w:r w:rsidRPr="00D0367A">
        <w:rPr>
          <w:rFonts w:eastAsia="Calibri"/>
          <w:iCs/>
          <w:sz w:val="20"/>
          <w:szCs w:val="20"/>
          <w:lang w:val="en-GB"/>
        </w:rPr>
        <w:t xml:space="preserve"> da je </w:t>
      </w:r>
      <w:proofErr w:type="spellStart"/>
      <w:r w:rsidRPr="00D0367A">
        <w:rPr>
          <w:rFonts w:eastAsia="Calibri"/>
          <w:iCs/>
          <w:sz w:val="20"/>
          <w:szCs w:val="20"/>
          <w:lang w:val="en-GB"/>
        </w:rPr>
        <w:t>odgovorna</w:t>
      </w:r>
      <w:proofErr w:type="spellEnd"/>
      <w:r w:rsidRPr="00D0367A">
        <w:rPr>
          <w:rFonts w:eastAsia="Calibri"/>
          <w:iCs/>
          <w:sz w:val="20"/>
          <w:szCs w:val="20"/>
          <w:lang w:val="en-GB"/>
        </w:rPr>
        <w:t xml:space="preserve"> </w:t>
      </w:r>
      <w:proofErr w:type="spellStart"/>
      <w:r w:rsidRPr="00D0367A">
        <w:rPr>
          <w:rFonts w:eastAsia="Calibri"/>
          <w:iCs/>
          <w:sz w:val="20"/>
          <w:szCs w:val="20"/>
          <w:lang w:val="en-GB"/>
        </w:rPr>
        <w:t>zbog</w:t>
      </w:r>
      <w:proofErr w:type="spellEnd"/>
      <w:r w:rsidRPr="00D0367A">
        <w:rPr>
          <w:rFonts w:eastAsia="Calibri"/>
          <w:iCs/>
          <w:sz w:val="20"/>
          <w:szCs w:val="20"/>
          <w:lang w:val="en-GB"/>
        </w:rPr>
        <w:t xml:space="preserve"> </w:t>
      </w:r>
      <w:proofErr w:type="spellStart"/>
      <w:r w:rsidRPr="00D0367A">
        <w:rPr>
          <w:rFonts w:eastAsia="Calibri"/>
          <w:iCs/>
          <w:sz w:val="20"/>
          <w:szCs w:val="20"/>
          <w:lang w:val="en-GB"/>
        </w:rPr>
        <w:t>propusta</w:t>
      </w:r>
      <w:proofErr w:type="spellEnd"/>
      <w:r w:rsidRPr="00D0367A">
        <w:rPr>
          <w:rFonts w:eastAsia="Calibri"/>
          <w:iCs/>
          <w:sz w:val="20"/>
          <w:szCs w:val="20"/>
          <w:lang w:val="en-GB"/>
        </w:rPr>
        <w:t xml:space="preserve"> da </w:t>
      </w:r>
      <w:proofErr w:type="spellStart"/>
      <w:r w:rsidRPr="00D0367A">
        <w:rPr>
          <w:rFonts w:eastAsia="Calibri"/>
          <w:iCs/>
          <w:sz w:val="20"/>
          <w:szCs w:val="20"/>
          <w:lang w:val="en-GB"/>
        </w:rPr>
        <w:t>na</w:t>
      </w:r>
      <w:proofErr w:type="spellEnd"/>
      <w:r w:rsidRPr="00D0367A">
        <w:rPr>
          <w:rFonts w:eastAsia="Calibri"/>
          <w:iCs/>
          <w:sz w:val="20"/>
          <w:szCs w:val="20"/>
          <w:lang w:val="en-GB"/>
        </w:rPr>
        <w:t xml:space="preserve"> </w:t>
      </w:r>
      <w:proofErr w:type="spellStart"/>
      <w:r w:rsidRPr="00D0367A">
        <w:rPr>
          <w:rFonts w:eastAsia="Calibri"/>
          <w:iCs/>
          <w:sz w:val="20"/>
          <w:szCs w:val="20"/>
          <w:lang w:val="en-GB"/>
        </w:rPr>
        <w:t>adekvatan</w:t>
      </w:r>
      <w:proofErr w:type="spellEnd"/>
      <w:r w:rsidRPr="00D0367A">
        <w:rPr>
          <w:rFonts w:eastAsia="Calibri"/>
          <w:iCs/>
          <w:sz w:val="20"/>
          <w:szCs w:val="20"/>
          <w:lang w:val="en-GB"/>
        </w:rPr>
        <w:t xml:space="preserve"> </w:t>
      </w:r>
      <w:proofErr w:type="spellStart"/>
      <w:r w:rsidRPr="00D0367A">
        <w:rPr>
          <w:rFonts w:eastAsia="Calibri"/>
          <w:iCs/>
          <w:sz w:val="20"/>
          <w:szCs w:val="20"/>
          <w:lang w:val="en-GB"/>
        </w:rPr>
        <w:t>način</w:t>
      </w:r>
      <w:proofErr w:type="spellEnd"/>
      <w:r w:rsidRPr="00D0367A">
        <w:rPr>
          <w:rFonts w:eastAsia="Calibri"/>
          <w:iCs/>
          <w:sz w:val="20"/>
          <w:szCs w:val="20"/>
          <w:lang w:val="en-GB"/>
        </w:rPr>
        <w:t xml:space="preserve"> </w:t>
      </w:r>
      <w:proofErr w:type="spellStart"/>
      <w:r w:rsidRPr="00D0367A">
        <w:rPr>
          <w:rFonts w:eastAsia="Calibri"/>
          <w:iCs/>
          <w:sz w:val="20"/>
          <w:szCs w:val="20"/>
          <w:lang w:val="en-GB"/>
        </w:rPr>
        <w:t>reguliše</w:t>
      </w:r>
      <w:proofErr w:type="spellEnd"/>
      <w:r w:rsidRPr="00D0367A">
        <w:rPr>
          <w:rFonts w:eastAsia="Calibri"/>
          <w:iCs/>
          <w:sz w:val="20"/>
          <w:szCs w:val="20"/>
          <w:lang w:val="en-GB"/>
        </w:rPr>
        <w:t xml:space="preserve"> </w:t>
      </w:r>
      <w:proofErr w:type="spellStart"/>
      <w:r w:rsidRPr="00D0367A">
        <w:rPr>
          <w:rFonts w:eastAsia="Calibri"/>
          <w:iCs/>
          <w:sz w:val="20"/>
          <w:szCs w:val="20"/>
          <w:lang w:val="en-GB"/>
        </w:rPr>
        <w:t>privatnu</w:t>
      </w:r>
      <w:proofErr w:type="spellEnd"/>
      <w:r w:rsidRPr="00D0367A">
        <w:rPr>
          <w:rFonts w:eastAsia="Calibri"/>
          <w:iCs/>
          <w:sz w:val="20"/>
          <w:szCs w:val="20"/>
          <w:lang w:val="en-GB"/>
        </w:rPr>
        <w:t xml:space="preserve"> </w:t>
      </w:r>
      <w:proofErr w:type="spellStart"/>
      <w:r w:rsidRPr="00D0367A">
        <w:rPr>
          <w:rFonts w:eastAsia="Calibri"/>
          <w:iCs/>
          <w:sz w:val="20"/>
          <w:szCs w:val="20"/>
          <w:lang w:val="en-GB"/>
        </w:rPr>
        <w:t>ind</w:t>
      </w:r>
      <w:r>
        <w:rPr>
          <w:rFonts w:eastAsia="Calibri"/>
          <w:iCs/>
          <w:sz w:val="20"/>
          <w:szCs w:val="20"/>
          <w:lang w:val="en-GB"/>
        </w:rPr>
        <w:t>ustriju</w:t>
      </w:r>
      <w:proofErr w:type="spellEnd"/>
      <w:r>
        <w:rPr>
          <w:rFonts w:eastAsia="Calibri"/>
          <w:iCs/>
          <w:sz w:val="20"/>
          <w:szCs w:val="20"/>
          <w:lang w:val="en-GB"/>
        </w:rPr>
        <w:t xml:space="preserve"> (</w:t>
      </w:r>
      <w:r w:rsidRPr="00F07C9F">
        <w:rPr>
          <w:rFonts w:eastAsia="Calibri"/>
          <w:i/>
          <w:iCs/>
          <w:sz w:val="20"/>
          <w:szCs w:val="20"/>
          <w:lang w:val="en-GB"/>
        </w:rPr>
        <w:t xml:space="preserve">Hatton </w:t>
      </w:r>
      <w:proofErr w:type="spellStart"/>
      <w:r w:rsidRPr="00F07C9F">
        <w:rPr>
          <w:rFonts w:eastAsia="Calibri"/>
          <w:i/>
          <w:iCs/>
          <w:sz w:val="20"/>
          <w:szCs w:val="20"/>
          <w:lang w:val="en-GB"/>
        </w:rPr>
        <w:t>i</w:t>
      </w:r>
      <w:proofErr w:type="spellEnd"/>
      <w:r w:rsidRPr="00F07C9F">
        <w:rPr>
          <w:rFonts w:eastAsia="Calibri"/>
          <w:i/>
          <w:iCs/>
          <w:sz w:val="20"/>
          <w:szCs w:val="20"/>
          <w:lang w:val="en-GB"/>
        </w:rPr>
        <w:t xml:space="preserve"> </w:t>
      </w:r>
      <w:proofErr w:type="spellStart"/>
      <w:r w:rsidRPr="00F07C9F">
        <w:rPr>
          <w:rFonts w:eastAsia="Calibri"/>
          <w:i/>
          <w:iCs/>
          <w:sz w:val="20"/>
          <w:szCs w:val="20"/>
          <w:lang w:val="en-GB"/>
        </w:rPr>
        <w:t>drugi</w:t>
      </w:r>
      <w:proofErr w:type="spellEnd"/>
      <w:r w:rsidRPr="00F07C9F">
        <w:rPr>
          <w:rFonts w:eastAsia="Calibri"/>
          <w:i/>
          <w:iCs/>
          <w:sz w:val="20"/>
          <w:szCs w:val="20"/>
          <w:lang w:val="en-GB"/>
        </w:rPr>
        <w:t xml:space="preserve"> </w:t>
      </w:r>
      <w:proofErr w:type="spellStart"/>
      <w:r w:rsidRPr="00F07C9F">
        <w:rPr>
          <w:rFonts w:eastAsia="Calibri"/>
          <w:i/>
          <w:iCs/>
          <w:sz w:val="20"/>
          <w:szCs w:val="20"/>
          <w:lang w:val="en-GB"/>
        </w:rPr>
        <w:t>protiv</w:t>
      </w:r>
      <w:proofErr w:type="spellEnd"/>
      <w:r w:rsidRPr="00F07C9F">
        <w:rPr>
          <w:rFonts w:eastAsia="Calibri"/>
          <w:i/>
          <w:iCs/>
          <w:sz w:val="20"/>
          <w:szCs w:val="20"/>
          <w:lang w:val="en-GB"/>
        </w:rPr>
        <w:t xml:space="preserve"> </w:t>
      </w:r>
      <w:proofErr w:type="spellStart"/>
      <w:r w:rsidRPr="00F07C9F">
        <w:rPr>
          <w:rFonts w:eastAsia="Calibri"/>
          <w:i/>
          <w:iCs/>
          <w:sz w:val="20"/>
          <w:szCs w:val="20"/>
          <w:lang w:val="en-GB"/>
        </w:rPr>
        <w:t>Ujedinjenog</w:t>
      </w:r>
      <w:proofErr w:type="spellEnd"/>
      <w:r w:rsidRPr="00F07C9F">
        <w:rPr>
          <w:rFonts w:eastAsia="Calibri"/>
          <w:i/>
          <w:iCs/>
          <w:sz w:val="20"/>
          <w:szCs w:val="20"/>
          <w:lang w:val="en-GB"/>
        </w:rPr>
        <w:t xml:space="preserve"> </w:t>
      </w:r>
      <w:proofErr w:type="spellStart"/>
      <w:r w:rsidRPr="00F07C9F">
        <w:rPr>
          <w:rFonts w:eastAsia="Calibri"/>
          <w:i/>
          <w:iCs/>
          <w:sz w:val="20"/>
          <w:szCs w:val="20"/>
          <w:lang w:val="en-GB"/>
        </w:rPr>
        <w:t>Kraljevstva</w:t>
      </w:r>
      <w:proofErr w:type="spellEnd"/>
      <w:r w:rsidRPr="00F07C9F">
        <w:rPr>
          <w:rFonts w:eastAsia="Calibri"/>
          <w:i/>
          <w:iCs/>
          <w:sz w:val="20"/>
          <w:szCs w:val="20"/>
          <w:lang w:val="en-GB"/>
        </w:rPr>
        <w:t>,</w:t>
      </w:r>
      <w:r>
        <w:rPr>
          <w:rFonts w:eastAsia="Calibri"/>
          <w:iCs/>
          <w:sz w:val="20"/>
          <w:szCs w:val="20"/>
          <w:lang w:val="en-GB"/>
        </w:rPr>
        <w:t xml:space="preserve"> </w:t>
      </w:r>
      <w:proofErr w:type="spellStart"/>
      <w:r w:rsidRPr="004D6F73">
        <w:rPr>
          <w:rFonts w:eastAsia="Calibri"/>
          <w:i/>
          <w:iCs/>
          <w:sz w:val="20"/>
          <w:szCs w:val="20"/>
          <w:lang w:val="en-GB"/>
        </w:rPr>
        <w:t>paragraf</w:t>
      </w:r>
      <w:proofErr w:type="spellEnd"/>
      <w:r w:rsidRPr="004D6F73">
        <w:rPr>
          <w:rFonts w:eastAsia="Calibri"/>
          <w:i/>
          <w:iCs/>
          <w:sz w:val="20"/>
          <w:szCs w:val="20"/>
          <w:lang w:val="en-GB"/>
        </w:rPr>
        <w:t xml:space="preserve"> 98</w:t>
      </w:r>
      <w:r w:rsidRPr="00D0367A">
        <w:rPr>
          <w:rFonts w:eastAsia="Calibri"/>
          <w:iCs/>
          <w:sz w:val="20"/>
          <w:szCs w:val="20"/>
          <w:lang w:val="en-GB"/>
        </w:rPr>
        <w:t>)</w:t>
      </w:r>
      <w:r w:rsidRPr="004D6F73">
        <w:rPr>
          <w:rFonts w:eastAsia="Calibri"/>
          <w:iCs/>
          <w:sz w:val="20"/>
          <w:szCs w:val="20"/>
          <w:lang w:val="en-GB"/>
        </w:rPr>
        <w:t>.</w:t>
      </w:r>
    </w:p>
  </w:footnote>
  <w:footnote w:id="4">
    <w:p w14:paraId="10BB484E" w14:textId="77777777" w:rsidR="00444116" w:rsidRPr="00E2319F" w:rsidRDefault="00444116" w:rsidP="00444116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bookmarkStart w:id="1" w:name="_Hlk500238318"/>
      <w:r>
        <w:rPr>
          <w:lang w:val="sr-Latn-RS"/>
        </w:rPr>
        <w:t xml:space="preserve">Predstavka br. 16798/90, presuda </w:t>
      </w:r>
      <w:bookmarkEnd w:id="1"/>
      <w:r>
        <w:rPr>
          <w:lang w:val="sr-Latn-RS"/>
        </w:rPr>
        <w:t>iz 1994. godine, paragrafi 51, 122.</w:t>
      </w:r>
    </w:p>
  </w:footnote>
  <w:footnote w:id="5">
    <w:p w14:paraId="7BD182F8" w14:textId="77777777" w:rsidR="00444116" w:rsidRPr="00E2319F" w:rsidRDefault="00444116" w:rsidP="00444116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RS"/>
        </w:rPr>
        <w:t xml:space="preserve">Predstavka </w:t>
      </w:r>
      <w:r>
        <w:rPr>
          <w:lang w:val="sr-Latn-RS"/>
        </w:rPr>
        <w:t>br.</w:t>
      </w:r>
      <w:r w:rsidRPr="00E2319F">
        <w:rPr>
          <w:lang w:val="sr-Latn-RS"/>
        </w:rPr>
        <w:t xml:space="preserve"> </w:t>
      </w:r>
      <w:r>
        <w:rPr>
          <w:lang w:val="sr-Latn-RS"/>
        </w:rPr>
        <w:t>36022</w:t>
      </w:r>
      <w:r w:rsidRPr="00E2319F">
        <w:rPr>
          <w:lang w:val="sr-Latn-RS"/>
        </w:rPr>
        <w:t>/9</w:t>
      </w:r>
      <w:r>
        <w:rPr>
          <w:lang w:val="sr-Latn-RS"/>
        </w:rPr>
        <w:t>7</w:t>
      </w:r>
      <w:r w:rsidRPr="00E2319F">
        <w:rPr>
          <w:lang w:val="sr-Latn-RS"/>
        </w:rPr>
        <w:t xml:space="preserve">, presuda </w:t>
      </w:r>
      <w:r>
        <w:rPr>
          <w:lang w:val="sr-Latn-RS"/>
        </w:rPr>
        <w:t>Vijeća iz 2001. i presuda Velikog vijeća iz 2003 godine.</w:t>
      </w:r>
    </w:p>
  </w:footnote>
  <w:footnote w:id="6">
    <w:p w14:paraId="2F9A4B7F" w14:textId="77777777" w:rsidR="00444116" w:rsidRPr="00F16ABC" w:rsidRDefault="00444116" w:rsidP="00444116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 w:rsidRPr="00E13D79">
        <w:rPr>
          <w:rFonts w:eastAsia="Calibri"/>
          <w:i/>
          <w:iCs/>
          <w:lang w:val="en-GB"/>
        </w:rPr>
        <w:t>Hatton</w:t>
      </w:r>
      <w:r w:rsidRPr="00E2319F">
        <w:rPr>
          <w:rFonts w:eastAsia="Calibri"/>
          <w:i/>
          <w:iCs/>
          <w:lang w:val="en-GB"/>
        </w:rPr>
        <w:t xml:space="preserve"> </w:t>
      </w:r>
      <w:proofErr w:type="spellStart"/>
      <w:r w:rsidRPr="00E2319F">
        <w:rPr>
          <w:rFonts w:eastAsia="Calibri"/>
          <w:i/>
          <w:iCs/>
          <w:lang w:val="en-GB"/>
        </w:rPr>
        <w:t>i</w:t>
      </w:r>
      <w:proofErr w:type="spellEnd"/>
      <w:r w:rsidRPr="00E2319F">
        <w:rPr>
          <w:rFonts w:eastAsia="Calibri"/>
          <w:i/>
          <w:iCs/>
          <w:lang w:val="en-GB"/>
        </w:rPr>
        <w:t xml:space="preserve"> </w:t>
      </w:r>
      <w:proofErr w:type="spellStart"/>
      <w:r w:rsidRPr="00E2319F">
        <w:rPr>
          <w:rFonts w:eastAsia="Calibri"/>
          <w:i/>
          <w:iCs/>
          <w:lang w:val="en-GB"/>
        </w:rPr>
        <w:t>drugi</w:t>
      </w:r>
      <w:proofErr w:type="spellEnd"/>
      <w:r w:rsidRPr="00E2319F">
        <w:rPr>
          <w:rFonts w:eastAsia="Calibri"/>
          <w:i/>
          <w:iCs/>
          <w:lang w:val="en-GB"/>
        </w:rPr>
        <w:t xml:space="preserve"> </w:t>
      </w:r>
      <w:proofErr w:type="spellStart"/>
      <w:r w:rsidRPr="00E2319F">
        <w:rPr>
          <w:rFonts w:eastAsia="Calibri"/>
          <w:i/>
          <w:iCs/>
          <w:lang w:val="en-GB"/>
        </w:rPr>
        <w:t>protiv</w:t>
      </w:r>
      <w:proofErr w:type="spellEnd"/>
      <w:r w:rsidRPr="00E2319F">
        <w:rPr>
          <w:rFonts w:eastAsia="Calibri"/>
          <w:i/>
          <w:iCs/>
          <w:lang w:val="en-GB"/>
        </w:rPr>
        <w:t xml:space="preserve"> </w:t>
      </w:r>
      <w:proofErr w:type="spellStart"/>
      <w:r w:rsidRPr="00E2319F">
        <w:rPr>
          <w:rFonts w:eastAsia="Calibri"/>
          <w:i/>
          <w:iCs/>
          <w:lang w:val="en-GB"/>
        </w:rPr>
        <w:t>Ujedinjenog</w:t>
      </w:r>
      <w:proofErr w:type="spellEnd"/>
      <w:r w:rsidRPr="00E2319F">
        <w:rPr>
          <w:rFonts w:eastAsia="Calibri"/>
          <w:i/>
          <w:iCs/>
          <w:lang w:val="en-GB"/>
        </w:rPr>
        <w:t xml:space="preserve"> </w:t>
      </w:r>
      <w:proofErr w:type="spellStart"/>
      <w:r w:rsidRPr="00E2319F">
        <w:rPr>
          <w:rFonts w:eastAsia="Calibri"/>
          <w:i/>
          <w:iCs/>
          <w:lang w:val="en-GB"/>
        </w:rPr>
        <w:t>Kraljevstva</w:t>
      </w:r>
      <w:proofErr w:type="spellEnd"/>
      <w:r>
        <w:rPr>
          <w:rFonts w:eastAsia="Calibri"/>
          <w:i/>
          <w:iCs/>
          <w:lang w:val="en-GB"/>
        </w:rPr>
        <w:t xml:space="preserve">, </w:t>
      </w:r>
      <w:proofErr w:type="spellStart"/>
      <w:r>
        <w:rPr>
          <w:rFonts w:eastAsia="Calibri"/>
          <w:iCs/>
          <w:lang w:val="en-GB"/>
        </w:rPr>
        <w:t>paragraf</w:t>
      </w:r>
      <w:proofErr w:type="spellEnd"/>
      <w:r>
        <w:rPr>
          <w:rFonts w:eastAsia="Calibri"/>
          <w:iCs/>
          <w:lang w:val="en-GB"/>
        </w:rPr>
        <w:t xml:space="preserve">  97.</w:t>
      </w:r>
    </w:p>
  </w:footnote>
  <w:footnote w:id="7">
    <w:p w14:paraId="4D4F1416" w14:textId="77777777" w:rsidR="00444116" w:rsidRPr="004457C9" w:rsidRDefault="00444116" w:rsidP="00444116">
      <w:pPr>
        <w:jc w:val="both"/>
        <w:rPr>
          <w:rFonts w:eastAsia="Calibri"/>
          <w:i/>
          <w:iCs/>
          <w:lang w:val="en-GB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4D6F73">
        <w:rPr>
          <w:iCs/>
          <w:sz w:val="20"/>
          <w:szCs w:val="20"/>
          <w:lang w:val="en-GB"/>
        </w:rPr>
        <w:t>Član</w:t>
      </w:r>
      <w:proofErr w:type="spellEnd"/>
      <w:r w:rsidRPr="004D6F73">
        <w:rPr>
          <w:iCs/>
          <w:sz w:val="20"/>
          <w:szCs w:val="20"/>
          <w:lang w:val="en-GB"/>
        </w:rPr>
        <w:t xml:space="preserve"> 10 </w:t>
      </w:r>
      <w:proofErr w:type="spellStart"/>
      <w:r w:rsidRPr="004D6F73">
        <w:rPr>
          <w:iCs/>
          <w:sz w:val="20"/>
          <w:szCs w:val="20"/>
          <w:lang w:val="en-GB"/>
        </w:rPr>
        <w:t>stav</w:t>
      </w:r>
      <w:proofErr w:type="spellEnd"/>
      <w:r w:rsidRPr="004D6F73">
        <w:rPr>
          <w:iCs/>
          <w:sz w:val="20"/>
          <w:szCs w:val="20"/>
          <w:lang w:val="en-GB"/>
        </w:rPr>
        <w:t xml:space="preserve"> 1 </w:t>
      </w:r>
      <w:proofErr w:type="spellStart"/>
      <w:r w:rsidRPr="004D6F73">
        <w:rPr>
          <w:iCs/>
          <w:sz w:val="20"/>
          <w:szCs w:val="20"/>
          <w:lang w:val="en-GB"/>
        </w:rPr>
        <w:t>Konvencije</w:t>
      </w:r>
      <w:proofErr w:type="spellEnd"/>
      <w:r w:rsidRPr="004D6F73">
        <w:rPr>
          <w:iCs/>
          <w:sz w:val="20"/>
          <w:szCs w:val="20"/>
          <w:lang w:val="en-GB"/>
        </w:rPr>
        <w:t xml:space="preserve"> </w:t>
      </w:r>
      <w:proofErr w:type="spellStart"/>
      <w:r w:rsidRPr="004D6F73">
        <w:rPr>
          <w:iCs/>
          <w:sz w:val="20"/>
          <w:szCs w:val="20"/>
          <w:lang w:val="en-GB"/>
        </w:rPr>
        <w:t>glasi</w:t>
      </w:r>
      <w:proofErr w:type="spellEnd"/>
      <w:r>
        <w:rPr>
          <w:i/>
          <w:iCs/>
          <w:lang w:val="en-GB"/>
        </w:rPr>
        <w:t xml:space="preserve">: </w:t>
      </w:r>
      <w:r w:rsidRPr="004457C9">
        <w:rPr>
          <w:rFonts w:eastAsia="Calibri"/>
          <w:i/>
          <w:iCs/>
          <w:sz w:val="20"/>
          <w:szCs w:val="20"/>
          <w:lang w:val="en-GB"/>
        </w:rPr>
        <w:t>“</w:t>
      </w:r>
      <w:proofErr w:type="spellStart"/>
      <w:r w:rsidRPr="004457C9">
        <w:rPr>
          <w:rFonts w:eastAsia="Calibri"/>
          <w:i/>
          <w:iCs/>
          <w:sz w:val="20"/>
          <w:szCs w:val="20"/>
          <w:lang w:val="en-GB"/>
        </w:rPr>
        <w:t>Svako</w:t>
      </w:r>
      <w:proofErr w:type="spellEnd"/>
      <w:r w:rsidRPr="004457C9">
        <w:rPr>
          <w:rFonts w:eastAsia="Calibri"/>
          <w:i/>
          <w:iCs/>
          <w:sz w:val="20"/>
          <w:szCs w:val="20"/>
          <w:lang w:val="en-GB"/>
        </w:rPr>
        <w:t xml:space="preserve"> </w:t>
      </w:r>
      <w:proofErr w:type="spellStart"/>
      <w:r w:rsidRPr="004457C9">
        <w:rPr>
          <w:rFonts w:eastAsia="Calibri"/>
          <w:i/>
          <w:iCs/>
          <w:sz w:val="20"/>
          <w:szCs w:val="20"/>
          <w:lang w:val="en-GB"/>
        </w:rPr>
        <w:t>ima</w:t>
      </w:r>
      <w:proofErr w:type="spellEnd"/>
      <w:r w:rsidRPr="004457C9">
        <w:rPr>
          <w:rFonts w:eastAsia="Calibri"/>
          <w:i/>
          <w:iCs/>
          <w:sz w:val="20"/>
          <w:szCs w:val="20"/>
          <w:lang w:val="en-GB"/>
        </w:rPr>
        <w:t xml:space="preserve"> </w:t>
      </w:r>
      <w:proofErr w:type="spellStart"/>
      <w:r w:rsidRPr="004457C9">
        <w:rPr>
          <w:rFonts w:eastAsia="Calibri"/>
          <w:i/>
          <w:iCs/>
          <w:sz w:val="20"/>
          <w:szCs w:val="20"/>
          <w:lang w:val="en-GB"/>
        </w:rPr>
        <w:t>pravo</w:t>
      </w:r>
      <w:proofErr w:type="spellEnd"/>
      <w:r w:rsidRPr="004457C9">
        <w:rPr>
          <w:rFonts w:eastAsia="Calibri"/>
          <w:i/>
          <w:iCs/>
          <w:sz w:val="20"/>
          <w:szCs w:val="20"/>
          <w:lang w:val="en-GB"/>
        </w:rPr>
        <w:t xml:space="preserve"> </w:t>
      </w:r>
      <w:proofErr w:type="spellStart"/>
      <w:r w:rsidRPr="004457C9">
        <w:rPr>
          <w:rFonts w:eastAsia="Calibri"/>
          <w:i/>
          <w:iCs/>
          <w:sz w:val="20"/>
          <w:szCs w:val="20"/>
          <w:lang w:val="en-GB"/>
        </w:rPr>
        <w:t>na</w:t>
      </w:r>
      <w:proofErr w:type="spellEnd"/>
      <w:r w:rsidRPr="004457C9">
        <w:rPr>
          <w:rFonts w:eastAsia="Calibri"/>
          <w:i/>
          <w:iCs/>
          <w:sz w:val="20"/>
          <w:szCs w:val="20"/>
          <w:lang w:val="en-GB"/>
        </w:rPr>
        <w:t xml:space="preserve"> </w:t>
      </w:r>
      <w:proofErr w:type="spellStart"/>
      <w:r w:rsidRPr="004457C9">
        <w:rPr>
          <w:rFonts w:eastAsia="Calibri"/>
          <w:i/>
          <w:iCs/>
          <w:sz w:val="20"/>
          <w:szCs w:val="20"/>
          <w:lang w:val="en-GB"/>
        </w:rPr>
        <w:t>slobodu</w:t>
      </w:r>
      <w:proofErr w:type="spellEnd"/>
      <w:r w:rsidRPr="004457C9">
        <w:rPr>
          <w:rFonts w:eastAsia="Calibri"/>
          <w:i/>
          <w:iCs/>
          <w:sz w:val="20"/>
          <w:szCs w:val="20"/>
          <w:lang w:val="en-GB"/>
        </w:rPr>
        <w:t xml:space="preserve"> </w:t>
      </w:r>
      <w:proofErr w:type="spellStart"/>
      <w:r w:rsidRPr="004457C9">
        <w:rPr>
          <w:rFonts w:eastAsia="Calibri"/>
          <w:i/>
          <w:iCs/>
          <w:sz w:val="20"/>
          <w:szCs w:val="20"/>
          <w:lang w:val="en-GB"/>
        </w:rPr>
        <w:t>izražavanja</w:t>
      </w:r>
      <w:proofErr w:type="spellEnd"/>
      <w:r w:rsidRPr="004457C9">
        <w:rPr>
          <w:rFonts w:eastAsia="Calibri"/>
          <w:i/>
          <w:iCs/>
          <w:sz w:val="20"/>
          <w:szCs w:val="20"/>
          <w:lang w:val="en-GB"/>
        </w:rPr>
        <w:t xml:space="preserve">. Ovo </w:t>
      </w:r>
      <w:proofErr w:type="spellStart"/>
      <w:r w:rsidRPr="004457C9">
        <w:rPr>
          <w:rFonts w:eastAsia="Calibri"/>
          <w:i/>
          <w:iCs/>
          <w:sz w:val="20"/>
          <w:szCs w:val="20"/>
          <w:lang w:val="en-GB"/>
        </w:rPr>
        <w:t>pravo</w:t>
      </w:r>
      <w:proofErr w:type="spellEnd"/>
      <w:r w:rsidRPr="004457C9">
        <w:rPr>
          <w:rFonts w:eastAsia="Calibri"/>
          <w:i/>
          <w:iCs/>
          <w:sz w:val="20"/>
          <w:szCs w:val="20"/>
          <w:lang w:val="en-GB"/>
        </w:rPr>
        <w:t xml:space="preserve"> </w:t>
      </w:r>
      <w:proofErr w:type="spellStart"/>
      <w:r w:rsidRPr="004457C9">
        <w:rPr>
          <w:rFonts w:eastAsia="Calibri"/>
          <w:i/>
          <w:iCs/>
          <w:sz w:val="20"/>
          <w:szCs w:val="20"/>
          <w:lang w:val="en-GB"/>
        </w:rPr>
        <w:t>uključuje</w:t>
      </w:r>
      <w:proofErr w:type="spellEnd"/>
      <w:r w:rsidRPr="004457C9">
        <w:rPr>
          <w:rFonts w:eastAsia="Calibri"/>
          <w:i/>
          <w:iCs/>
          <w:sz w:val="20"/>
          <w:szCs w:val="20"/>
          <w:lang w:val="en-GB"/>
        </w:rPr>
        <w:t xml:space="preserve"> </w:t>
      </w:r>
      <w:proofErr w:type="spellStart"/>
      <w:r w:rsidRPr="004457C9">
        <w:rPr>
          <w:rFonts w:eastAsia="Calibri"/>
          <w:i/>
          <w:iCs/>
          <w:sz w:val="20"/>
          <w:szCs w:val="20"/>
          <w:lang w:val="en-GB"/>
        </w:rPr>
        <w:t>slobodu</w:t>
      </w:r>
      <w:proofErr w:type="spellEnd"/>
      <w:r w:rsidRPr="004457C9">
        <w:rPr>
          <w:rFonts w:eastAsia="Calibri"/>
          <w:i/>
          <w:iCs/>
          <w:sz w:val="20"/>
          <w:szCs w:val="20"/>
          <w:lang w:val="en-GB"/>
        </w:rPr>
        <w:t xml:space="preserve"> </w:t>
      </w:r>
      <w:proofErr w:type="spellStart"/>
      <w:r w:rsidRPr="004457C9">
        <w:rPr>
          <w:rFonts w:eastAsia="Calibri"/>
          <w:i/>
          <w:iCs/>
          <w:sz w:val="20"/>
          <w:szCs w:val="20"/>
          <w:lang w:val="en-GB"/>
        </w:rPr>
        <w:t>posjedovanja</w:t>
      </w:r>
      <w:proofErr w:type="spellEnd"/>
      <w:r w:rsidRPr="004457C9">
        <w:rPr>
          <w:rFonts w:eastAsia="Calibri"/>
          <w:i/>
          <w:iCs/>
          <w:sz w:val="20"/>
          <w:szCs w:val="20"/>
          <w:lang w:val="en-GB"/>
        </w:rPr>
        <w:t xml:space="preserve"> </w:t>
      </w:r>
      <w:proofErr w:type="spellStart"/>
      <w:r w:rsidRPr="004457C9">
        <w:rPr>
          <w:rFonts w:eastAsia="Calibri"/>
          <w:i/>
          <w:iCs/>
          <w:sz w:val="20"/>
          <w:szCs w:val="20"/>
          <w:lang w:val="en-GB"/>
        </w:rPr>
        <w:t>sopstvenog</w:t>
      </w:r>
      <w:proofErr w:type="spellEnd"/>
      <w:r w:rsidRPr="004457C9">
        <w:rPr>
          <w:rFonts w:eastAsia="Calibri"/>
          <w:i/>
          <w:iCs/>
          <w:sz w:val="20"/>
          <w:szCs w:val="20"/>
          <w:lang w:val="en-GB"/>
        </w:rPr>
        <w:t xml:space="preserve"> </w:t>
      </w:r>
      <w:proofErr w:type="spellStart"/>
      <w:r w:rsidRPr="004457C9">
        <w:rPr>
          <w:rFonts w:eastAsia="Calibri"/>
          <w:i/>
          <w:iCs/>
          <w:sz w:val="20"/>
          <w:szCs w:val="20"/>
          <w:lang w:val="en-GB"/>
        </w:rPr>
        <w:t>mišljenja</w:t>
      </w:r>
      <w:proofErr w:type="spellEnd"/>
      <w:r w:rsidRPr="004457C9">
        <w:rPr>
          <w:rFonts w:eastAsia="Calibri"/>
          <w:i/>
          <w:iCs/>
          <w:sz w:val="20"/>
          <w:szCs w:val="20"/>
          <w:lang w:val="en-GB"/>
        </w:rPr>
        <w:t xml:space="preserve">, </w:t>
      </w:r>
      <w:proofErr w:type="spellStart"/>
      <w:r w:rsidRPr="004457C9">
        <w:rPr>
          <w:rFonts w:eastAsia="Calibri"/>
          <w:i/>
          <w:iCs/>
          <w:sz w:val="20"/>
          <w:szCs w:val="20"/>
          <w:lang w:val="en-GB"/>
        </w:rPr>
        <w:t>primanja</w:t>
      </w:r>
      <w:proofErr w:type="spellEnd"/>
      <w:r w:rsidRPr="004457C9">
        <w:rPr>
          <w:rFonts w:eastAsia="Calibri"/>
          <w:i/>
          <w:iCs/>
          <w:sz w:val="20"/>
          <w:szCs w:val="20"/>
          <w:lang w:val="en-GB"/>
        </w:rPr>
        <w:t xml:space="preserve"> </w:t>
      </w:r>
      <w:proofErr w:type="spellStart"/>
      <w:r w:rsidRPr="004457C9">
        <w:rPr>
          <w:rFonts w:eastAsia="Calibri"/>
          <w:i/>
          <w:iCs/>
          <w:sz w:val="20"/>
          <w:szCs w:val="20"/>
          <w:lang w:val="en-GB"/>
        </w:rPr>
        <w:t>i</w:t>
      </w:r>
      <w:proofErr w:type="spellEnd"/>
      <w:r w:rsidRPr="004457C9">
        <w:rPr>
          <w:rFonts w:eastAsia="Calibri"/>
          <w:i/>
          <w:iCs/>
          <w:sz w:val="20"/>
          <w:szCs w:val="20"/>
          <w:lang w:val="en-GB"/>
        </w:rPr>
        <w:t xml:space="preserve"> </w:t>
      </w:r>
      <w:proofErr w:type="spellStart"/>
      <w:r w:rsidRPr="004457C9">
        <w:rPr>
          <w:rFonts w:eastAsia="Calibri"/>
          <w:i/>
          <w:iCs/>
          <w:sz w:val="20"/>
          <w:szCs w:val="20"/>
          <w:lang w:val="en-GB"/>
        </w:rPr>
        <w:t>saopštavanja</w:t>
      </w:r>
      <w:proofErr w:type="spellEnd"/>
      <w:r w:rsidRPr="004457C9">
        <w:rPr>
          <w:rFonts w:eastAsia="Calibri"/>
          <w:i/>
          <w:iCs/>
          <w:sz w:val="20"/>
          <w:szCs w:val="20"/>
          <w:lang w:val="en-GB"/>
        </w:rPr>
        <w:t xml:space="preserve"> </w:t>
      </w:r>
      <w:proofErr w:type="spellStart"/>
      <w:r w:rsidRPr="004457C9">
        <w:rPr>
          <w:rFonts w:eastAsia="Calibri"/>
          <w:i/>
          <w:iCs/>
          <w:sz w:val="20"/>
          <w:szCs w:val="20"/>
          <w:lang w:val="en-GB"/>
        </w:rPr>
        <w:t>informacija</w:t>
      </w:r>
      <w:proofErr w:type="spellEnd"/>
      <w:r w:rsidRPr="004457C9">
        <w:rPr>
          <w:rFonts w:eastAsia="Calibri"/>
          <w:i/>
          <w:iCs/>
          <w:sz w:val="20"/>
          <w:szCs w:val="20"/>
          <w:lang w:val="en-GB"/>
        </w:rPr>
        <w:t xml:space="preserve"> </w:t>
      </w:r>
      <w:proofErr w:type="spellStart"/>
      <w:r w:rsidRPr="004457C9">
        <w:rPr>
          <w:rFonts w:eastAsia="Calibri"/>
          <w:i/>
          <w:iCs/>
          <w:sz w:val="20"/>
          <w:szCs w:val="20"/>
          <w:lang w:val="en-GB"/>
        </w:rPr>
        <w:t>i</w:t>
      </w:r>
      <w:proofErr w:type="spellEnd"/>
      <w:r w:rsidRPr="004457C9">
        <w:rPr>
          <w:rFonts w:eastAsia="Calibri"/>
          <w:i/>
          <w:iCs/>
          <w:sz w:val="20"/>
          <w:szCs w:val="20"/>
          <w:lang w:val="en-GB"/>
        </w:rPr>
        <w:t xml:space="preserve"> </w:t>
      </w:r>
      <w:proofErr w:type="spellStart"/>
      <w:r w:rsidRPr="004457C9">
        <w:rPr>
          <w:rFonts w:eastAsia="Calibri"/>
          <w:i/>
          <w:iCs/>
          <w:sz w:val="20"/>
          <w:szCs w:val="20"/>
          <w:lang w:val="en-GB"/>
        </w:rPr>
        <w:t>ideja</w:t>
      </w:r>
      <w:proofErr w:type="spellEnd"/>
      <w:r w:rsidRPr="004457C9">
        <w:rPr>
          <w:rFonts w:eastAsia="Calibri"/>
          <w:i/>
          <w:iCs/>
          <w:sz w:val="20"/>
          <w:szCs w:val="20"/>
          <w:lang w:val="en-GB"/>
        </w:rPr>
        <w:t xml:space="preserve"> bez </w:t>
      </w:r>
      <w:proofErr w:type="spellStart"/>
      <w:r w:rsidRPr="004457C9">
        <w:rPr>
          <w:rFonts w:eastAsia="Calibri"/>
          <w:i/>
          <w:iCs/>
          <w:sz w:val="20"/>
          <w:szCs w:val="20"/>
          <w:lang w:val="en-GB"/>
        </w:rPr>
        <w:t>miješanja</w:t>
      </w:r>
      <w:proofErr w:type="spellEnd"/>
      <w:r w:rsidRPr="004457C9">
        <w:rPr>
          <w:rFonts w:eastAsia="Calibri"/>
          <w:i/>
          <w:iCs/>
          <w:sz w:val="20"/>
          <w:szCs w:val="20"/>
          <w:lang w:val="en-GB"/>
        </w:rPr>
        <w:t xml:space="preserve"> </w:t>
      </w:r>
      <w:proofErr w:type="spellStart"/>
      <w:r w:rsidRPr="004457C9">
        <w:rPr>
          <w:rFonts w:eastAsia="Calibri"/>
          <w:i/>
          <w:iCs/>
          <w:sz w:val="20"/>
          <w:szCs w:val="20"/>
          <w:lang w:val="en-GB"/>
        </w:rPr>
        <w:t>javne</w:t>
      </w:r>
      <w:proofErr w:type="spellEnd"/>
      <w:r w:rsidRPr="004457C9">
        <w:rPr>
          <w:rFonts w:eastAsia="Calibri"/>
          <w:i/>
          <w:iCs/>
          <w:sz w:val="20"/>
          <w:szCs w:val="20"/>
          <w:lang w:val="en-GB"/>
        </w:rPr>
        <w:t xml:space="preserve"> </w:t>
      </w:r>
      <w:proofErr w:type="spellStart"/>
      <w:r w:rsidRPr="004457C9">
        <w:rPr>
          <w:rFonts w:eastAsia="Calibri"/>
          <w:i/>
          <w:iCs/>
          <w:sz w:val="20"/>
          <w:szCs w:val="20"/>
          <w:lang w:val="en-GB"/>
        </w:rPr>
        <w:t>vlasti</w:t>
      </w:r>
      <w:proofErr w:type="spellEnd"/>
      <w:r w:rsidRPr="004457C9">
        <w:rPr>
          <w:rFonts w:eastAsia="Calibri"/>
          <w:i/>
          <w:iCs/>
          <w:sz w:val="20"/>
          <w:szCs w:val="20"/>
          <w:lang w:val="en-GB"/>
        </w:rPr>
        <w:t xml:space="preserve"> </w:t>
      </w:r>
      <w:proofErr w:type="spellStart"/>
      <w:r w:rsidRPr="004457C9">
        <w:rPr>
          <w:rFonts w:eastAsia="Calibri"/>
          <w:i/>
          <w:iCs/>
          <w:sz w:val="20"/>
          <w:szCs w:val="20"/>
          <w:lang w:val="en-GB"/>
        </w:rPr>
        <w:t>i</w:t>
      </w:r>
      <w:proofErr w:type="spellEnd"/>
      <w:r w:rsidRPr="004457C9">
        <w:rPr>
          <w:rFonts w:eastAsia="Calibri"/>
          <w:i/>
          <w:iCs/>
          <w:sz w:val="20"/>
          <w:szCs w:val="20"/>
          <w:lang w:val="en-GB"/>
        </w:rPr>
        <w:t xml:space="preserve"> bez </w:t>
      </w:r>
      <w:proofErr w:type="spellStart"/>
      <w:r w:rsidRPr="004457C9">
        <w:rPr>
          <w:rFonts w:eastAsia="Calibri"/>
          <w:i/>
          <w:iCs/>
          <w:sz w:val="20"/>
          <w:szCs w:val="20"/>
          <w:lang w:val="en-GB"/>
        </w:rPr>
        <w:t>obzira</w:t>
      </w:r>
      <w:proofErr w:type="spellEnd"/>
      <w:r w:rsidRPr="004457C9">
        <w:rPr>
          <w:rFonts w:eastAsia="Calibri"/>
          <w:i/>
          <w:iCs/>
          <w:sz w:val="20"/>
          <w:szCs w:val="20"/>
          <w:lang w:val="en-GB"/>
        </w:rPr>
        <w:t xml:space="preserve"> </w:t>
      </w:r>
      <w:proofErr w:type="spellStart"/>
      <w:r w:rsidRPr="004457C9">
        <w:rPr>
          <w:rFonts w:eastAsia="Calibri"/>
          <w:i/>
          <w:iCs/>
          <w:sz w:val="20"/>
          <w:szCs w:val="20"/>
          <w:lang w:val="en-GB"/>
        </w:rPr>
        <w:t>na</w:t>
      </w:r>
      <w:proofErr w:type="spellEnd"/>
      <w:r w:rsidRPr="004457C9">
        <w:rPr>
          <w:rFonts w:eastAsia="Calibri"/>
          <w:i/>
          <w:iCs/>
          <w:sz w:val="20"/>
          <w:szCs w:val="20"/>
          <w:lang w:val="en-GB"/>
        </w:rPr>
        <w:t xml:space="preserve"> </w:t>
      </w:r>
      <w:proofErr w:type="spellStart"/>
      <w:r w:rsidRPr="004457C9">
        <w:rPr>
          <w:rFonts w:eastAsia="Calibri"/>
          <w:i/>
          <w:iCs/>
          <w:sz w:val="20"/>
          <w:szCs w:val="20"/>
          <w:lang w:val="en-GB"/>
        </w:rPr>
        <w:t>granice</w:t>
      </w:r>
      <w:proofErr w:type="spellEnd"/>
      <w:r w:rsidRPr="004457C9">
        <w:rPr>
          <w:rFonts w:eastAsia="Calibri"/>
          <w:i/>
          <w:iCs/>
          <w:sz w:val="20"/>
          <w:szCs w:val="20"/>
          <w:lang w:val="en-GB"/>
        </w:rPr>
        <w:t>…</w:t>
      </w:r>
      <w:r>
        <w:rPr>
          <w:rFonts w:eastAsia="Calibri"/>
          <w:i/>
          <w:iCs/>
          <w:sz w:val="20"/>
          <w:szCs w:val="20"/>
          <w:lang w:val="en-GB"/>
        </w:rPr>
        <w:t>”.</w:t>
      </w:r>
    </w:p>
  </w:footnote>
  <w:footnote w:id="8">
    <w:p w14:paraId="6DC27EBC" w14:textId="77777777" w:rsidR="00444116" w:rsidRPr="00E2319F" w:rsidRDefault="00444116" w:rsidP="00444116">
      <w:pPr>
        <w:pStyle w:val="FootnoteText"/>
        <w:jc w:val="both"/>
        <w:rPr>
          <w:lang w:val="sr-Latn-RS"/>
        </w:rPr>
      </w:pPr>
      <w:r>
        <w:rPr>
          <w:rStyle w:val="FootnoteReference"/>
        </w:rPr>
        <w:footnoteRef/>
      </w:r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</w:t>
      </w:r>
      <w:proofErr w:type="spellStart"/>
      <w:r w:rsidRPr="00B73F27">
        <w:rPr>
          <w:rFonts w:eastAsia="Calibri"/>
          <w:iCs/>
          <w:lang w:val="en-GB"/>
        </w:rPr>
        <w:t>podnosioci</w:t>
      </w:r>
      <w:proofErr w:type="spellEnd"/>
      <w:r w:rsidRPr="00B73F27">
        <w:rPr>
          <w:rFonts w:eastAsia="Calibri"/>
          <w:iCs/>
          <w:lang w:val="en-GB"/>
        </w:rPr>
        <w:t xml:space="preserve"> </w:t>
      </w:r>
      <w:proofErr w:type="spellStart"/>
      <w:r w:rsidRPr="00B73F27">
        <w:rPr>
          <w:rFonts w:eastAsia="Calibri"/>
          <w:iCs/>
          <w:lang w:val="en-GB"/>
        </w:rPr>
        <w:t>predstavke</w:t>
      </w:r>
      <w:proofErr w:type="spellEnd"/>
      <w:r w:rsidRPr="00B73F27">
        <w:rPr>
          <w:rFonts w:eastAsia="Calibri"/>
          <w:iCs/>
          <w:lang w:val="en-GB"/>
        </w:rPr>
        <w:t xml:space="preserve"> </w:t>
      </w:r>
      <w:proofErr w:type="spellStart"/>
      <w:r w:rsidRPr="00B73F27">
        <w:rPr>
          <w:rFonts w:eastAsia="Calibri"/>
          <w:iCs/>
          <w:lang w:val="en-GB"/>
        </w:rPr>
        <w:t>žalili</w:t>
      </w:r>
      <w:proofErr w:type="spellEnd"/>
      <w:r w:rsidRPr="00B73F27">
        <w:rPr>
          <w:rFonts w:eastAsia="Calibri"/>
          <w:iCs/>
          <w:lang w:val="en-GB"/>
        </w:rPr>
        <w:t xml:space="preserve"> </w:t>
      </w:r>
      <w:proofErr w:type="spellStart"/>
      <w:r>
        <w:rPr>
          <w:rFonts w:eastAsia="Calibri"/>
          <w:iCs/>
          <w:lang w:val="en-GB"/>
        </w:rPr>
        <w:t>su</w:t>
      </w:r>
      <w:proofErr w:type="spellEnd"/>
      <w:r>
        <w:rPr>
          <w:rFonts w:eastAsia="Calibri"/>
          <w:iCs/>
          <w:lang w:val="en-GB"/>
        </w:rPr>
        <w:t xml:space="preserve"> </w:t>
      </w:r>
      <w:r w:rsidRPr="00B73F27">
        <w:rPr>
          <w:rFonts w:eastAsia="Calibri"/>
          <w:iCs/>
          <w:lang w:val="en-GB"/>
        </w:rPr>
        <w:t xml:space="preserve">se </w:t>
      </w:r>
      <w:proofErr w:type="spellStart"/>
      <w:r w:rsidRPr="00B73F27">
        <w:rPr>
          <w:rFonts w:eastAsia="Calibri"/>
          <w:iCs/>
          <w:lang w:val="en-GB"/>
        </w:rPr>
        <w:t>na</w:t>
      </w:r>
      <w:proofErr w:type="spellEnd"/>
      <w:r w:rsidRPr="00B73F27">
        <w:rPr>
          <w:rFonts w:eastAsia="Calibri"/>
          <w:iCs/>
          <w:lang w:val="en-GB"/>
        </w:rPr>
        <w:t xml:space="preserve"> </w:t>
      </w:r>
      <w:proofErr w:type="spellStart"/>
      <w:r w:rsidRPr="00B73F27">
        <w:rPr>
          <w:rFonts w:eastAsia="Calibri"/>
          <w:iCs/>
          <w:lang w:val="en-GB"/>
        </w:rPr>
        <w:t>fabriku</w:t>
      </w:r>
      <w:proofErr w:type="spellEnd"/>
      <w:r w:rsidRPr="00B73F27">
        <w:rPr>
          <w:rFonts w:eastAsia="Calibri"/>
          <w:iCs/>
          <w:lang w:val="en-GB"/>
        </w:rPr>
        <w:t xml:space="preserve"> </w:t>
      </w:r>
      <w:proofErr w:type="spellStart"/>
      <w:r w:rsidRPr="00B73F27">
        <w:rPr>
          <w:rFonts w:eastAsia="Calibri"/>
          <w:iCs/>
          <w:lang w:val="en-GB"/>
        </w:rPr>
        <w:t>hemikalija</w:t>
      </w:r>
      <w:proofErr w:type="spellEnd"/>
      <w:r w:rsidRPr="00B73F27">
        <w:rPr>
          <w:rFonts w:eastAsia="Calibri"/>
          <w:iCs/>
          <w:lang w:val="en-GB"/>
        </w:rPr>
        <w:t xml:space="preserve"> </w:t>
      </w:r>
      <w:proofErr w:type="spellStart"/>
      <w:r>
        <w:rPr>
          <w:rFonts w:eastAsia="Calibri"/>
          <w:iCs/>
          <w:lang w:val="en-GB"/>
        </w:rPr>
        <w:t>i</w:t>
      </w:r>
      <w:proofErr w:type="spellEnd"/>
      <w:r>
        <w:rPr>
          <w:rFonts w:eastAsia="Calibri"/>
          <w:iCs/>
          <w:lang w:val="en-GB"/>
        </w:rPr>
        <w:t xml:space="preserve"> </w:t>
      </w:r>
      <w:proofErr w:type="spellStart"/>
      <w:r w:rsidRPr="00B73F27">
        <w:rPr>
          <w:rFonts w:eastAsia="Calibri"/>
          <w:iCs/>
          <w:lang w:val="en-GB"/>
        </w:rPr>
        <w:t>posebno</w:t>
      </w:r>
      <w:proofErr w:type="spellEnd"/>
      <w:r w:rsidRPr="00B73F27">
        <w:rPr>
          <w:rFonts w:eastAsia="Calibri"/>
          <w:iCs/>
          <w:lang w:val="en-GB"/>
        </w:rPr>
        <w:t xml:space="preserve"> </w:t>
      </w:r>
      <w:proofErr w:type="spellStart"/>
      <w:r w:rsidRPr="00B73F27">
        <w:rPr>
          <w:rFonts w:eastAsia="Calibri"/>
          <w:iCs/>
          <w:lang w:val="en-GB"/>
        </w:rPr>
        <w:t>na</w:t>
      </w:r>
      <w:proofErr w:type="spellEnd"/>
      <w:r w:rsidRPr="00B73F27">
        <w:rPr>
          <w:rFonts w:eastAsia="Calibri"/>
          <w:iCs/>
          <w:lang w:val="en-GB"/>
        </w:rPr>
        <w:t xml:space="preserve"> </w:t>
      </w:r>
      <w:proofErr w:type="spellStart"/>
      <w:r w:rsidRPr="00B73F27">
        <w:rPr>
          <w:rFonts w:eastAsia="Calibri"/>
          <w:iCs/>
          <w:lang w:val="en-GB"/>
        </w:rPr>
        <w:t>zagađenje</w:t>
      </w:r>
      <w:proofErr w:type="spellEnd"/>
      <w:r w:rsidRPr="00B73F27">
        <w:rPr>
          <w:rFonts w:eastAsia="Calibri"/>
          <w:iCs/>
          <w:lang w:val="en-GB"/>
        </w:rPr>
        <w:t xml:space="preserve"> </w:t>
      </w:r>
      <w:proofErr w:type="spellStart"/>
      <w:r w:rsidRPr="00B73F27">
        <w:rPr>
          <w:rFonts w:eastAsia="Calibri"/>
          <w:iCs/>
          <w:lang w:val="en-GB"/>
        </w:rPr>
        <w:t>i</w:t>
      </w:r>
      <w:proofErr w:type="spellEnd"/>
      <w:r w:rsidRPr="00B73F27">
        <w:rPr>
          <w:rFonts w:eastAsia="Calibri"/>
          <w:iCs/>
          <w:lang w:val="en-GB"/>
        </w:rPr>
        <w:t xml:space="preserve"> </w:t>
      </w:r>
      <w:proofErr w:type="spellStart"/>
      <w:r w:rsidRPr="00B73F27">
        <w:rPr>
          <w:rFonts w:eastAsia="Calibri"/>
          <w:iCs/>
          <w:lang w:val="en-GB"/>
        </w:rPr>
        <w:t>rizik</w:t>
      </w:r>
      <w:proofErr w:type="spellEnd"/>
      <w:r w:rsidRPr="00B73F27">
        <w:rPr>
          <w:rFonts w:eastAsia="Calibri"/>
          <w:iCs/>
          <w:lang w:val="en-GB"/>
        </w:rPr>
        <w:t xml:space="preserve"> </w:t>
      </w:r>
      <w:proofErr w:type="spellStart"/>
      <w:r w:rsidRPr="00B73F27">
        <w:rPr>
          <w:rFonts w:eastAsia="Calibri"/>
          <w:iCs/>
          <w:lang w:val="en-GB"/>
        </w:rPr>
        <w:t>od</w:t>
      </w:r>
      <w:proofErr w:type="spellEnd"/>
      <w:r w:rsidRPr="00B73F27">
        <w:rPr>
          <w:rFonts w:eastAsia="Calibri"/>
          <w:iCs/>
          <w:lang w:val="en-GB"/>
        </w:rPr>
        <w:t xml:space="preserve"> </w:t>
      </w:r>
      <w:proofErr w:type="spellStart"/>
      <w:r w:rsidRPr="00B73F27">
        <w:rPr>
          <w:rFonts w:eastAsia="Calibri"/>
          <w:iCs/>
          <w:lang w:val="en-GB"/>
        </w:rPr>
        <w:t>akcidenata</w:t>
      </w:r>
      <w:proofErr w:type="spellEnd"/>
      <w:r w:rsidRPr="00B73F27">
        <w:rPr>
          <w:rFonts w:eastAsia="Calibri"/>
          <w:iCs/>
          <w:lang w:val="en-GB"/>
        </w:rPr>
        <w:t xml:space="preserve"> u </w:t>
      </w:r>
      <w:proofErr w:type="spellStart"/>
      <w:r w:rsidRPr="00B73F27">
        <w:rPr>
          <w:rFonts w:eastAsia="Calibri"/>
          <w:iCs/>
          <w:lang w:val="en-GB"/>
        </w:rPr>
        <w:t>postrojenju</w:t>
      </w:r>
      <w:proofErr w:type="spellEnd"/>
      <w:r w:rsidRPr="00B73F27">
        <w:rPr>
          <w:rFonts w:eastAsia="Calibri"/>
          <w:iCs/>
          <w:lang w:val="en-GB"/>
        </w:rPr>
        <w:t xml:space="preserve"> </w:t>
      </w:r>
      <w:proofErr w:type="spellStart"/>
      <w:r w:rsidRPr="00B73F27">
        <w:rPr>
          <w:rFonts w:eastAsia="Calibri"/>
          <w:iCs/>
          <w:lang w:val="en-GB"/>
        </w:rPr>
        <w:t>i</w:t>
      </w:r>
      <w:proofErr w:type="spellEnd"/>
      <w:r w:rsidRPr="00B73F27">
        <w:rPr>
          <w:rFonts w:eastAsia="Calibri"/>
          <w:iCs/>
          <w:lang w:val="en-GB"/>
        </w:rPr>
        <w:t xml:space="preserve"> </w:t>
      </w:r>
      <w:proofErr w:type="spellStart"/>
      <w:r w:rsidRPr="00B73F27">
        <w:rPr>
          <w:rFonts w:eastAsia="Calibri"/>
          <w:iCs/>
          <w:lang w:val="en-GB"/>
        </w:rPr>
        <w:t>na</w:t>
      </w:r>
      <w:proofErr w:type="spellEnd"/>
      <w:r w:rsidRPr="00B73F27">
        <w:rPr>
          <w:rFonts w:eastAsia="Calibri"/>
          <w:iCs/>
          <w:lang w:val="en-GB"/>
        </w:rPr>
        <w:t xml:space="preserve"> </w:t>
      </w:r>
      <w:proofErr w:type="spellStart"/>
      <w:r w:rsidRPr="00B73F27">
        <w:rPr>
          <w:rFonts w:eastAsia="Calibri"/>
          <w:iCs/>
          <w:lang w:val="en-GB"/>
        </w:rPr>
        <w:t>propuste</w:t>
      </w:r>
      <w:proofErr w:type="spellEnd"/>
      <w:r w:rsidRPr="00B73F27">
        <w:rPr>
          <w:rFonts w:eastAsia="Calibri"/>
          <w:iCs/>
          <w:lang w:val="en-GB"/>
        </w:rPr>
        <w:t xml:space="preserve"> </w:t>
      </w:r>
      <w:proofErr w:type="spellStart"/>
      <w:r w:rsidRPr="00B73F27">
        <w:rPr>
          <w:rFonts w:eastAsia="Calibri"/>
          <w:iCs/>
          <w:lang w:val="en-GB"/>
        </w:rPr>
        <w:t>javnih</w:t>
      </w:r>
      <w:proofErr w:type="spellEnd"/>
      <w:r w:rsidRPr="00B73F27">
        <w:rPr>
          <w:rFonts w:eastAsia="Calibri"/>
          <w:iCs/>
          <w:lang w:val="en-GB"/>
        </w:rPr>
        <w:t xml:space="preserve"> </w:t>
      </w:r>
      <w:proofErr w:type="spellStart"/>
      <w:r w:rsidRPr="00B73F27">
        <w:rPr>
          <w:rFonts w:eastAsia="Calibri"/>
          <w:iCs/>
          <w:lang w:val="en-GB"/>
        </w:rPr>
        <w:t>vlasti</w:t>
      </w:r>
      <w:proofErr w:type="spellEnd"/>
      <w:r w:rsidRPr="00B73F27">
        <w:rPr>
          <w:rFonts w:eastAsia="Calibri"/>
          <w:iCs/>
          <w:lang w:val="en-GB"/>
        </w:rPr>
        <w:t xml:space="preserve"> da </w:t>
      </w:r>
      <w:proofErr w:type="spellStart"/>
      <w:r w:rsidRPr="00B73F27">
        <w:rPr>
          <w:rFonts w:eastAsia="Calibri"/>
          <w:iCs/>
          <w:lang w:val="en-GB"/>
        </w:rPr>
        <w:t>ispune</w:t>
      </w:r>
      <w:proofErr w:type="spellEnd"/>
      <w:r w:rsidRPr="00B73F27">
        <w:rPr>
          <w:rFonts w:eastAsia="Calibri"/>
          <w:iCs/>
          <w:lang w:val="en-GB"/>
        </w:rPr>
        <w:t xml:space="preserve"> </w:t>
      </w:r>
      <w:proofErr w:type="spellStart"/>
      <w:r w:rsidRPr="00B73F27">
        <w:rPr>
          <w:rFonts w:eastAsia="Calibri"/>
          <w:iCs/>
          <w:lang w:val="en-GB"/>
        </w:rPr>
        <w:t>obaveze</w:t>
      </w:r>
      <w:proofErr w:type="spellEnd"/>
      <w:r w:rsidRPr="00B73F27">
        <w:rPr>
          <w:rFonts w:eastAsia="Calibri"/>
          <w:iCs/>
          <w:lang w:val="en-GB"/>
        </w:rPr>
        <w:t xml:space="preserve"> u </w:t>
      </w:r>
      <w:proofErr w:type="spellStart"/>
      <w:r w:rsidRPr="00B73F27">
        <w:rPr>
          <w:rFonts w:eastAsia="Calibri"/>
          <w:iCs/>
          <w:lang w:val="en-GB"/>
        </w:rPr>
        <w:t>pogledu</w:t>
      </w:r>
      <w:proofErr w:type="spellEnd"/>
      <w:r w:rsidRPr="00B73F27">
        <w:rPr>
          <w:rFonts w:eastAsia="Calibri"/>
          <w:iCs/>
          <w:lang w:val="en-GB"/>
        </w:rPr>
        <w:t xml:space="preserve"> </w:t>
      </w:r>
      <w:proofErr w:type="spellStart"/>
      <w:r w:rsidRPr="00B73F27">
        <w:rPr>
          <w:rFonts w:eastAsia="Calibri"/>
          <w:iCs/>
          <w:lang w:val="en-GB"/>
        </w:rPr>
        <w:t>informisanja</w:t>
      </w:r>
      <w:proofErr w:type="spellEnd"/>
      <w:r w:rsidRPr="00B73F27">
        <w:rPr>
          <w:rFonts w:eastAsia="Calibri"/>
          <w:iCs/>
          <w:lang w:val="en-GB"/>
        </w:rPr>
        <w:t xml:space="preserve"> </w:t>
      </w:r>
      <w:proofErr w:type="spellStart"/>
      <w:r w:rsidRPr="00B73F27">
        <w:rPr>
          <w:rFonts w:eastAsia="Calibri"/>
          <w:iCs/>
          <w:lang w:val="en-GB"/>
        </w:rPr>
        <w:t>javnosti</w:t>
      </w:r>
      <w:proofErr w:type="spellEnd"/>
      <w:r w:rsidRPr="00B73F27">
        <w:rPr>
          <w:rFonts w:eastAsia="Calibri"/>
          <w:iCs/>
          <w:lang w:val="en-GB"/>
        </w:rPr>
        <w:t xml:space="preserve"> o </w:t>
      </w:r>
      <w:proofErr w:type="spellStart"/>
      <w:r w:rsidRPr="00B73F27">
        <w:rPr>
          <w:rFonts w:eastAsia="Calibri"/>
          <w:iCs/>
          <w:lang w:val="en-GB"/>
        </w:rPr>
        <w:t>opasnosti</w:t>
      </w:r>
      <w:proofErr w:type="spellEnd"/>
      <w:r w:rsidRPr="00B73F27">
        <w:rPr>
          <w:rFonts w:eastAsia="Calibri"/>
          <w:iCs/>
          <w:lang w:val="en-GB"/>
        </w:rPr>
        <w:t xml:space="preserve"> </w:t>
      </w:r>
      <w:proofErr w:type="spellStart"/>
      <w:r w:rsidRPr="00B73F27">
        <w:rPr>
          <w:rFonts w:eastAsia="Calibri"/>
          <w:iCs/>
          <w:lang w:val="en-GB"/>
        </w:rPr>
        <w:t>kojoj</w:t>
      </w:r>
      <w:proofErr w:type="spellEnd"/>
      <w:r w:rsidRPr="00B73F27">
        <w:rPr>
          <w:rFonts w:eastAsia="Calibri"/>
          <w:iCs/>
          <w:lang w:val="en-GB"/>
        </w:rPr>
        <w:t xml:space="preserve"> </w:t>
      </w:r>
      <w:proofErr w:type="spellStart"/>
      <w:r w:rsidRPr="00B73F27">
        <w:rPr>
          <w:rFonts w:eastAsia="Calibri"/>
          <w:iCs/>
          <w:lang w:val="en-GB"/>
        </w:rPr>
        <w:t>su</w:t>
      </w:r>
      <w:proofErr w:type="spellEnd"/>
      <w:r w:rsidRPr="00B73F27">
        <w:rPr>
          <w:rFonts w:eastAsia="Calibri"/>
          <w:iCs/>
          <w:lang w:val="en-GB"/>
        </w:rPr>
        <w:t xml:space="preserve"> </w:t>
      </w:r>
      <w:proofErr w:type="spellStart"/>
      <w:r w:rsidRPr="00B73F27">
        <w:rPr>
          <w:rFonts w:eastAsia="Calibri"/>
          <w:iCs/>
          <w:lang w:val="en-GB"/>
        </w:rPr>
        <w:t>izloženi</w:t>
      </w:r>
      <w:proofErr w:type="spellEnd"/>
      <w:r w:rsidRPr="00B73F27">
        <w:rPr>
          <w:rFonts w:eastAsia="Calibri"/>
          <w:iCs/>
          <w:lang w:val="en-GB"/>
        </w:rPr>
        <w:t xml:space="preserve">. </w:t>
      </w:r>
      <w:proofErr w:type="spellStart"/>
      <w:r w:rsidRPr="00B73F27">
        <w:rPr>
          <w:rFonts w:eastAsia="Calibri"/>
          <w:iCs/>
          <w:lang w:val="en-GB"/>
        </w:rPr>
        <w:t>Poziv</w:t>
      </w:r>
      <w:r>
        <w:rPr>
          <w:rFonts w:eastAsia="Calibri"/>
          <w:iCs/>
          <w:lang w:val="en-GB"/>
        </w:rPr>
        <w:t>ajući</w:t>
      </w:r>
      <w:proofErr w:type="spellEnd"/>
      <w:r>
        <w:rPr>
          <w:rFonts w:eastAsia="Calibri"/>
          <w:iCs/>
          <w:lang w:val="en-GB"/>
        </w:rPr>
        <w:t xml:space="preserve"> se </w:t>
      </w:r>
      <w:proofErr w:type="spellStart"/>
      <w:r>
        <w:rPr>
          <w:rFonts w:eastAsia="Calibri"/>
          <w:iCs/>
          <w:lang w:val="en-GB"/>
        </w:rPr>
        <w:t>na</w:t>
      </w:r>
      <w:proofErr w:type="spellEnd"/>
      <w:r>
        <w:rPr>
          <w:rFonts w:eastAsia="Calibri"/>
          <w:iCs/>
          <w:lang w:val="en-GB"/>
        </w:rPr>
        <w:t xml:space="preserve"> </w:t>
      </w:r>
      <w:proofErr w:type="spellStart"/>
      <w:r>
        <w:rPr>
          <w:rFonts w:eastAsia="Calibri"/>
          <w:iCs/>
          <w:lang w:val="en-GB"/>
        </w:rPr>
        <w:t>član</w:t>
      </w:r>
      <w:proofErr w:type="spellEnd"/>
      <w:r>
        <w:rPr>
          <w:rFonts w:eastAsia="Calibri"/>
          <w:iCs/>
          <w:lang w:val="en-GB"/>
        </w:rPr>
        <w:t xml:space="preserve"> 10 </w:t>
      </w:r>
      <w:proofErr w:type="spellStart"/>
      <w:r>
        <w:rPr>
          <w:rFonts w:eastAsia="Calibri"/>
          <w:iCs/>
          <w:lang w:val="en-GB"/>
        </w:rPr>
        <w:t>K</w:t>
      </w:r>
      <w:r w:rsidRPr="00B73F27">
        <w:rPr>
          <w:rFonts w:eastAsia="Calibri"/>
          <w:iCs/>
          <w:lang w:val="en-GB"/>
        </w:rPr>
        <w:t>onvencije</w:t>
      </w:r>
      <w:proofErr w:type="spellEnd"/>
      <w:r w:rsidRPr="00B73F27">
        <w:rPr>
          <w:rFonts w:eastAsia="Calibri"/>
          <w:iCs/>
          <w:lang w:val="en-GB"/>
        </w:rPr>
        <w:t xml:space="preserve"> o </w:t>
      </w:r>
      <w:proofErr w:type="spellStart"/>
      <w:r w:rsidRPr="00B73F27">
        <w:rPr>
          <w:rFonts w:eastAsia="Calibri"/>
          <w:iCs/>
          <w:lang w:val="en-GB"/>
        </w:rPr>
        <w:t>ljudskim</w:t>
      </w:r>
      <w:proofErr w:type="spellEnd"/>
      <w:r w:rsidRPr="00B73F27">
        <w:rPr>
          <w:rFonts w:eastAsia="Calibri"/>
          <w:iCs/>
          <w:lang w:val="en-GB"/>
        </w:rPr>
        <w:t xml:space="preserve"> </w:t>
      </w:r>
      <w:proofErr w:type="spellStart"/>
      <w:r w:rsidRPr="00B73F27">
        <w:rPr>
          <w:rFonts w:eastAsia="Calibri"/>
          <w:iCs/>
          <w:lang w:val="en-GB"/>
        </w:rPr>
        <w:t>pravima</w:t>
      </w:r>
      <w:proofErr w:type="spellEnd"/>
      <w:r w:rsidRPr="00B73F27">
        <w:rPr>
          <w:rFonts w:eastAsia="Calibri"/>
          <w:iCs/>
          <w:lang w:val="en-GB"/>
        </w:rPr>
        <w:t xml:space="preserve">, </w:t>
      </w:r>
      <w:proofErr w:type="spellStart"/>
      <w:r w:rsidRPr="00B73F27">
        <w:rPr>
          <w:rFonts w:eastAsia="Calibri"/>
          <w:iCs/>
          <w:lang w:val="en-GB"/>
        </w:rPr>
        <w:t>podnosioci</w:t>
      </w:r>
      <w:proofErr w:type="spellEnd"/>
      <w:r w:rsidRPr="00B73F27">
        <w:rPr>
          <w:rFonts w:eastAsia="Calibri"/>
          <w:iCs/>
          <w:lang w:val="en-GB"/>
        </w:rPr>
        <w:t xml:space="preserve"> </w:t>
      </w:r>
      <w:proofErr w:type="spellStart"/>
      <w:r w:rsidRPr="00B73F27">
        <w:rPr>
          <w:rFonts w:eastAsia="Calibri"/>
          <w:iCs/>
          <w:lang w:val="en-GB"/>
        </w:rPr>
        <w:t>predstavke</w:t>
      </w:r>
      <w:proofErr w:type="spellEnd"/>
      <w:r w:rsidRPr="00B73F27">
        <w:rPr>
          <w:rFonts w:eastAsia="Calibri"/>
          <w:iCs/>
          <w:lang w:val="en-GB"/>
        </w:rPr>
        <w:t xml:space="preserve"> </w:t>
      </w:r>
      <w:proofErr w:type="spellStart"/>
      <w:r w:rsidRPr="00B73F27">
        <w:rPr>
          <w:rFonts w:eastAsia="Calibri"/>
          <w:iCs/>
          <w:lang w:val="en-GB"/>
        </w:rPr>
        <w:t>su</w:t>
      </w:r>
      <w:proofErr w:type="spellEnd"/>
      <w:r w:rsidRPr="00B73F27">
        <w:rPr>
          <w:rFonts w:eastAsia="Calibri"/>
          <w:iCs/>
          <w:lang w:val="en-GB"/>
        </w:rPr>
        <w:t xml:space="preserve"> </w:t>
      </w:r>
      <w:proofErr w:type="spellStart"/>
      <w:r>
        <w:rPr>
          <w:rFonts w:eastAsia="Calibri"/>
          <w:iCs/>
          <w:lang w:val="en-GB"/>
        </w:rPr>
        <w:t>naveli</w:t>
      </w:r>
      <w:proofErr w:type="spellEnd"/>
      <w:r w:rsidRPr="00B73F27">
        <w:rPr>
          <w:rFonts w:eastAsia="Calibri"/>
          <w:iCs/>
          <w:lang w:val="en-GB"/>
        </w:rPr>
        <w:t xml:space="preserve"> </w:t>
      </w:r>
      <w:proofErr w:type="spellStart"/>
      <w:r w:rsidRPr="00B73F27">
        <w:rPr>
          <w:rFonts w:eastAsia="Calibri"/>
          <w:iCs/>
          <w:lang w:val="en-GB"/>
        </w:rPr>
        <w:t>propust</w:t>
      </w:r>
      <w:proofErr w:type="spellEnd"/>
      <w:r w:rsidRPr="00B73F27">
        <w:rPr>
          <w:rFonts w:eastAsia="Calibri"/>
          <w:iCs/>
          <w:lang w:val="en-GB"/>
        </w:rPr>
        <w:t xml:space="preserve"> </w:t>
      </w:r>
      <w:proofErr w:type="spellStart"/>
      <w:r w:rsidRPr="00B73F27">
        <w:rPr>
          <w:rFonts w:eastAsia="Calibri"/>
          <w:iCs/>
          <w:lang w:val="en-GB"/>
        </w:rPr>
        <w:t>vlasti</w:t>
      </w:r>
      <w:proofErr w:type="spellEnd"/>
      <w:r w:rsidRPr="00B73F27">
        <w:rPr>
          <w:rFonts w:eastAsia="Calibri"/>
          <w:iCs/>
          <w:lang w:val="en-GB"/>
        </w:rPr>
        <w:t xml:space="preserve"> da </w:t>
      </w:r>
      <w:proofErr w:type="spellStart"/>
      <w:r w:rsidRPr="00B73F27">
        <w:rPr>
          <w:rFonts w:eastAsia="Calibri"/>
          <w:iCs/>
          <w:lang w:val="en-GB"/>
        </w:rPr>
        <w:t>informiše</w:t>
      </w:r>
      <w:proofErr w:type="spellEnd"/>
      <w:r w:rsidRPr="00B73F27">
        <w:rPr>
          <w:rFonts w:eastAsia="Calibri"/>
          <w:iCs/>
          <w:lang w:val="en-GB"/>
        </w:rPr>
        <w:t xml:space="preserve"> </w:t>
      </w:r>
      <w:proofErr w:type="spellStart"/>
      <w:r w:rsidRPr="00B73F27">
        <w:rPr>
          <w:rFonts w:eastAsia="Calibri"/>
          <w:iCs/>
          <w:lang w:val="en-GB"/>
        </w:rPr>
        <w:t>javnost</w:t>
      </w:r>
      <w:proofErr w:type="spellEnd"/>
      <w:r w:rsidRPr="00B73F27">
        <w:rPr>
          <w:rFonts w:eastAsia="Calibri"/>
          <w:iCs/>
          <w:lang w:val="en-GB"/>
        </w:rPr>
        <w:t xml:space="preserve"> o </w:t>
      </w:r>
      <w:proofErr w:type="spellStart"/>
      <w:r w:rsidRPr="00B73F27">
        <w:rPr>
          <w:rFonts w:eastAsia="Calibri"/>
          <w:iCs/>
          <w:lang w:val="en-GB"/>
        </w:rPr>
        <w:t>rizicima</w:t>
      </w:r>
      <w:proofErr w:type="spellEnd"/>
      <w:r w:rsidRPr="00B73F27">
        <w:rPr>
          <w:rFonts w:eastAsia="Calibri"/>
          <w:iCs/>
          <w:lang w:val="en-GB"/>
        </w:rPr>
        <w:t xml:space="preserve"> </w:t>
      </w:r>
      <w:proofErr w:type="spellStart"/>
      <w:r w:rsidRPr="00B73F27">
        <w:rPr>
          <w:rFonts w:eastAsia="Calibri"/>
          <w:iCs/>
          <w:lang w:val="en-GB"/>
        </w:rPr>
        <w:t>i</w:t>
      </w:r>
      <w:proofErr w:type="spellEnd"/>
      <w:r w:rsidRPr="00B73F27">
        <w:rPr>
          <w:rFonts w:eastAsia="Calibri"/>
          <w:iCs/>
          <w:lang w:val="en-GB"/>
        </w:rPr>
        <w:t xml:space="preserve"> </w:t>
      </w:r>
      <w:proofErr w:type="spellStart"/>
      <w:r w:rsidRPr="00B73F27">
        <w:rPr>
          <w:rFonts w:eastAsia="Calibri"/>
          <w:iCs/>
          <w:lang w:val="en-GB"/>
        </w:rPr>
        <w:t>mjerama</w:t>
      </w:r>
      <w:proofErr w:type="spellEnd"/>
      <w:r w:rsidRPr="00B73F27">
        <w:rPr>
          <w:rFonts w:eastAsia="Calibri"/>
          <w:iCs/>
          <w:lang w:val="en-GB"/>
        </w:rPr>
        <w:t xml:space="preserve"> </w:t>
      </w:r>
      <w:proofErr w:type="spellStart"/>
      <w:r w:rsidRPr="00B73F27">
        <w:rPr>
          <w:rFonts w:eastAsia="Calibri"/>
          <w:iCs/>
          <w:lang w:val="en-GB"/>
        </w:rPr>
        <w:t>koje</w:t>
      </w:r>
      <w:proofErr w:type="spellEnd"/>
      <w:r w:rsidRPr="00B73F27">
        <w:rPr>
          <w:rFonts w:eastAsia="Calibri"/>
          <w:iCs/>
          <w:lang w:val="en-GB"/>
        </w:rPr>
        <w:t xml:space="preserve"> </w:t>
      </w:r>
      <w:proofErr w:type="spellStart"/>
      <w:r w:rsidRPr="00B73F27">
        <w:rPr>
          <w:rFonts w:eastAsia="Calibri"/>
          <w:iCs/>
          <w:lang w:val="en-GB"/>
        </w:rPr>
        <w:t>treba</w:t>
      </w:r>
      <w:proofErr w:type="spellEnd"/>
      <w:r w:rsidRPr="00B73F27">
        <w:rPr>
          <w:rFonts w:eastAsia="Calibri"/>
          <w:iCs/>
          <w:lang w:val="en-GB"/>
        </w:rPr>
        <w:t xml:space="preserve"> </w:t>
      </w:r>
      <w:proofErr w:type="spellStart"/>
      <w:r w:rsidRPr="00B73F27">
        <w:rPr>
          <w:rFonts w:eastAsia="Calibri"/>
          <w:iCs/>
          <w:lang w:val="en-GB"/>
        </w:rPr>
        <w:t>preduzeti</w:t>
      </w:r>
      <w:proofErr w:type="spellEnd"/>
      <w:r w:rsidRPr="00B73F27">
        <w:rPr>
          <w:rFonts w:eastAsia="Calibri"/>
          <w:iCs/>
          <w:lang w:val="en-GB"/>
        </w:rPr>
        <w:t xml:space="preserve"> u </w:t>
      </w:r>
      <w:proofErr w:type="spellStart"/>
      <w:r w:rsidRPr="00B73F27">
        <w:rPr>
          <w:rFonts w:eastAsia="Calibri"/>
          <w:iCs/>
          <w:lang w:val="en-GB"/>
        </w:rPr>
        <w:t>slučaju</w:t>
      </w:r>
      <w:proofErr w:type="spellEnd"/>
      <w:r w:rsidRPr="00B73F27">
        <w:rPr>
          <w:rFonts w:eastAsia="Calibri"/>
          <w:iCs/>
          <w:lang w:val="en-GB"/>
        </w:rPr>
        <w:t xml:space="preserve"> </w:t>
      </w:r>
      <w:proofErr w:type="spellStart"/>
      <w:r>
        <w:rPr>
          <w:rFonts w:eastAsia="Calibri"/>
          <w:iCs/>
          <w:lang w:val="en-GB"/>
        </w:rPr>
        <w:t>industrijskog</w:t>
      </w:r>
      <w:proofErr w:type="spellEnd"/>
      <w:r>
        <w:rPr>
          <w:rFonts w:eastAsia="Calibri"/>
          <w:iCs/>
          <w:lang w:val="en-GB"/>
        </w:rPr>
        <w:t xml:space="preserve"> </w:t>
      </w:r>
      <w:proofErr w:type="spellStart"/>
      <w:r>
        <w:rPr>
          <w:rFonts w:eastAsia="Calibri"/>
          <w:iCs/>
          <w:lang w:val="en-GB"/>
        </w:rPr>
        <w:t>akcidenta</w:t>
      </w:r>
      <w:proofErr w:type="spellEnd"/>
      <w:r w:rsidRPr="00B73F27">
        <w:rPr>
          <w:rFonts w:eastAsia="Calibri"/>
          <w:iCs/>
          <w:lang w:val="en-GB"/>
        </w:rPr>
        <w:t xml:space="preserve">, </w:t>
      </w:r>
      <w:proofErr w:type="spellStart"/>
      <w:r w:rsidRPr="00B73F27">
        <w:rPr>
          <w:rFonts w:eastAsia="Calibri"/>
          <w:iCs/>
          <w:lang w:val="en-GB"/>
        </w:rPr>
        <w:t>propisane</w:t>
      </w:r>
      <w:proofErr w:type="spellEnd"/>
      <w:r w:rsidRPr="00B73F27">
        <w:rPr>
          <w:rFonts w:eastAsia="Calibri"/>
          <w:iCs/>
          <w:lang w:val="en-GB"/>
        </w:rPr>
        <w:t xml:space="preserve"> </w:t>
      </w:r>
      <w:proofErr w:type="spellStart"/>
      <w:r w:rsidRPr="00B73F27">
        <w:rPr>
          <w:rFonts w:eastAsia="Calibri"/>
          <w:iCs/>
          <w:lang w:val="en-GB"/>
        </w:rPr>
        <w:t>domaćim</w:t>
      </w:r>
      <w:proofErr w:type="spellEnd"/>
      <w:r w:rsidRPr="00B73F27">
        <w:rPr>
          <w:rFonts w:eastAsia="Calibri"/>
          <w:iCs/>
          <w:lang w:val="en-GB"/>
        </w:rPr>
        <w:t xml:space="preserve"> </w:t>
      </w:r>
      <w:proofErr w:type="spellStart"/>
      <w:r w:rsidRPr="00B73F27">
        <w:rPr>
          <w:rFonts w:eastAsia="Calibri"/>
          <w:iCs/>
          <w:lang w:val="en-GB"/>
        </w:rPr>
        <w:t>zakonom</w:t>
      </w:r>
      <w:proofErr w:type="spellEnd"/>
      <w:r w:rsidRPr="00B73F27">
        <w:rPr>
          <w:rFonts w:eastAsia="Calibri"/>
          <w:iCs/>
          <w:lang w:val="en-GB"/>
        </w:rPr>
        <w:t xml:space="preserve"> </w:t>
      </w:r>
      <w:proofErr w:type="spellStart"/>
      <w:r w:rsidRPr="00B73F27">
        <w:rPr>
          <w:rFonts w:eastAsia="Calibri"/>
          <w:iCs/>
          <w:lang w:val="en-GB"/>
        </w:rPr>
        <w:t>kojim</w:t>
      </w:r>
      <w:proofErr w:type="spellEnd"/>
      <w:r w:rsidRPr="00B73F27">
        <w:rPr>
          <w:rFonts w:eastAsia="Calibri"/>
          <w:iCs/>
          <w:lang w:val="en-GB"/>
        </w:rPr>
        <w:t xml:space="preserve"> se </w:t>
      </w:r>
      <w:proofErr w:type="spellStart"/>
      <w:r w:rsidRPr="00B73F27">
        <w:rPr>
          <w:rFonts w:eastAsia="Calibri"/>
          <w:iCs/>
          <w:lang w:val="en-GB"/>
        </w:rPr>
        <w:t>vrši</w:t>
      </w:r>
      <w:proofErr w:type="spellEnd"/>
      <w:r w:rsidRPr="00B73F27">
        <w:rPr>
          <w:rFonts w:eastAsia="Calibri"/>
          <w:iCs/>
          <w:lang w:val="en-GB"/>
        </w:rPr>
        <w:t xml:space="preserve"> </w:t>
      </w:r>
      <w:proofErr w:type="spellStart"/>
      <w:r w:rsidRPr="00B73F27">
        <w:rPr>
          <w:rFonts w:eastAsia="Calibri"/>
          <w:iCs/>
          <w:lang w:val="en-GB"/>
        </w:rPr>
        <w:t>transpozicija</w:t>
      </w:r>
      <w:proofErr w:type="spellEnd"/>
      <w:r w:rsidRPr="00B73F27">
        <w:rPr>
          <w:rFonts w:eastAsia="Calibri"/>
          <w:iCs/>
          <w:lang w:val="en-GB"/>
        </w:rPr>
        <w:t xml:space="preserve"> </w:t>
      </w:r>
      <w:proofErr w:type="spellStart"/>
      <w:r w:rsidRPr="00B73F27">
        <w:rPr>
          <w:rFonts w:eastAsia="Calibri"/>
          <w:iCs/>
          <w:lang w:val="en-GB"/>
        </w:rPr>
        <w:t>Direktive</w:t>
      </w:r>
      <w:proofErr w:type="spellEnd"/>
      <w:r w:rsidRPr="00B73F27">
        <w:rPr>
          <w:rFonts w:eastAsia="Calibri"/>
          <w:iCs/>
          <w:lang w:val="en-GB"/>
        </w:rPr>
        <w:t xml:space="preserve"> </w:t>
      </w:r>
      <w:proofErr w:type="spellStart"/>
      <w:r w:rsidRPr="00B73F27">
        <w:rPr>
          <w:rFonts w:eastAsia="Calibri"/>
          <w:iCs/>
          <w:lang w:val="en-GB"/>
        </w:rPr>
        <w:t>Evropske</w:t>
      </w:r>
      <w:proofErr w:type="spellEnd"/>
      <w:r w:rsidRPr="00B73F27">
        <w:rPr>
          <w:rFonts w:eastAsia="Calibri"/>
          <w:iCs/>
          <w:lang w:val="en-GB"/>
        </w:rPr>
        <w:t xml:space="preserve"> </w:t>
      </w:r>
      <w:proofErr w:type="spellStart"/>
      <w:r w:rsidRPr="00B73F27">
        <w:rPr>
          <w:rFonts w:eastAsia="Calibri"/>
          <w:iCs/>
          <w:lang w:val="en-GB"/>
        </w:rPr>
        <w:t>zajednice</w:t>
      </w:r>
      <w:proofErr w:type="spellEnd"/>
      <w:r w:rsidRPr="00B73F27">
        <w:rPr>
          <w:rFonts w:eastAsia="Calibri"/>
          <w:iCs/>
          <w:lang w:val="en-GB"/>
        </w:rPr>
        <w:t xml:space="preserve"> </w:t>
      </w:r>
      <w:r>
        <w:rPr>
          <w:rFonts w:eastAsia="Calibri"/>
          <w:iCs/>
          <w:lang w:val="en-GB"/>
        </w:rPr>
        <w:t>“</w:t>
      </w:r>
      <w:r w:rsidRPr="00B73F27">
        <w:rPr>
          <w:rFonts w:eastAsia="Calibri"/>
          <w:iCs/>
          <w:lang w:val="en-GB"/>
        </w:rPr>
        <w:t>Seveso</w:t>
      </w:r>
      <w:r>
        <w:rPr>
          <w:rFonts w:eastAsia="Calibri"/>
          <w:iCs/>
          <w:lang w:val="en-GB"/>
        </w:rPr>
        <w:t>”</w:t>
      </w:r>
      <w:r w:rsidRPr="00B73F27">
        <w:rPr>
          <w:rFonts w:eastAsia="Calibri"/>
          <w:iCs/>
          <w:lang w:val="en-GB"/>
        </w:rPr>
        <w:t>.</w:t>
      </w:r>
      <w:r>
        <w:rPr>
          <w:rFonts w:eastAsia="Calibri"/>
          <w:iCs/>
          <w:lang w:val="en-GB"/>
        </w:rPr>
        <w:t xml:space="preserve"> </w:t>
      </w:r>
      <w:r>
        <w:rPr>
          <w:lang w:val="sr-Latn-RS"/>
        </w:rPr>
        <w:t>Predstavka br.</w:t>
      </w:r>
      <w:r w:rsidRPr="00E2319F">
        <w:rPr>
          <w:lang w:val="sr-Latn-RS"/>
        </w:rPr>
        <w:t xml:space="preserve"> 1</w:t>
      </w:r>
      <w:r>
        <w:rPr>
          <w:lang w:val="sr-Latn-RS"/>
        </w:rPr>
        <w:t>4967</w:t>
      </w:r>
      <w:r w:rsidRPr="00E2319F">
        <w:rPr>
          <w:lang w:val="sr-Latn-RS"/>
        </w:rPr>
        <w:t>/</w:t>
      </w:r>
      <w:r>
        <w:rPr>
          <w:lang w:val="sr-Latn-RS"/>
        </w:rPr>
        <w:t>89</w:t>
      </w:r>
      <w:r w:rsidRPr="00E2319F">
        <w:rPr>
          <w:lang w:val="sr-Latn-RS"/>
        </w:rPr>
        <w:t xml:space="preserve">, presuda </w:t>
      </w:r>
      <w:r>
        <w:rPr>
          <w:lang w:val="sr-Latn-RS"/>
        </w:rPr>
        <w:t>iz 1998. godine.</w:t>
      </w:r>
    </w:p>
  </w:footnote>
  <w:footnote w:id="9">
    <w:p w14:paraId="5984DDF8" w14:textId="77777777" w:rsidR="00444116" w:rsidRPr="008C5354" w:rsidRDefault="00444116" w:rsidP="0044411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Komisija</w:t>
      </w:r>
      <w:proofErr w:type="spellEnd"/>
      <w:r>
        <w:t xml:space="preserve"> je </w:t>
      </w:r>
      <w:proofErr w:type="spellStart"/>
      <w:r>
        <w:t>zaključila</w:t>
      </w:r>
      <w:proofErr w:type="spellEnd"/>
      <w:r>
        <w:t xml:space="preserve"> da </w:t>
      </w:r>
      <w:proofErr w:type="spellStart"/>
      <w:r>
        <w:t>član</w:t>
      </w:r>
      <w:proofErr w:type="spellEnd"/>
      <w:r w:rsidRPr="004F5FEE">
        <w:t xml:space="preserve"> 10</w:t>
      </w:r>
      <w:r>
        <w:t xml:space="preserve"> </w:t>
      </w:r>
      <w:proofErr w:type="spellStart"/>
      <w:r w:rsidRPr="004F5FEE">
        <w:t>navodi</w:t>
      </w:r>
      <w:proofErr w:type="spellEnd"/>
      <w:r w:rsidRPr="004F5FEE">
        <w:t xml:space="preserve"> </w:t>
      </w:r>
      <w:proofErr w:type="spellStart"/>
      <w:r w:rsidRPr="004F5FEE">
        <w:t>obavezu</w:t>
      </w:r>
      <w:proofErr w:type="spellEnd"/>
      <w:r w:rsidRPr="004F5FEE">
        <w:t xml:space="preserve"> ne </w:t>
      </w:r>
      <w:proofErr w:type="spellStart"/>
      <w:r w:rsidRPr="004F5FEE">
        <w:t>samo</w:t>
      </w:r>
      <w:proofErr w:type="spellEnd"/>
      <w:r w:rsidRPr="004F5FEE"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informacijama</w:t>
      </w:r>
      <w:proofErr w:type="spellEnd"/>
      <w:r w:rsidRPr="004F5FEE">
        <w:t xml:space="preserve"> o </w:t>
      </w:r>
      <w:proofErr w:type="spellStart"/>
      <w:r w:rsidRPr="004F5FEE">
        <w:t>životnoj</w:t>
      </w:r>
      <w:proofErr w:type="spellEnd"/>
      <w:r w:rsidRPr="004F5FEE">
        <w:t xml:space="preserve"> </w:t>
      </w:r>
      <w:proofErr w:type="spellStart"/>
      <w:r w:rsidRPr="004F5FEE">
        <w:t>sredini</w:t>
      </w:r>
      <w:proofErr w:type="spellEnd"/>
      <w:r w:rsidRPr="004F5FEE">
        <w:t xml:space="preserve">, </w:t>
      </w:r>
      <w:proofErr w:type="spellStart"/>
      <w:r w:rsidRPr="004F5FEE">
        <w:t>već</w:t>
      </w:r>
      <w:proofErr w:type="spellEnd"/>
      <w:r w:rsidRPr="004F5FEE">
        <w:t xml:space="preserve"> </w:t>
      </w:r>
      <w:proofErr w:type="spellStart"/>
      <w:r w:rsidRPr="004F5FEE">
        <w:t>i</w:t>
      </w:r>
      <w:proofErr w:type="spellEnd"/>
      <w:r w:rsidRPr="004F5FEE">
        <w:t xml:space="preserve"> </w:t>
      </w:r>
      <w:proofErr w:type="spellStart"/>
      <w:r w:rsidRPr="004F5FEE">
        <w:t>pozitivnu</w:t>
      </w:r>
      <w:proofErr w:type="spellEnd"/>
      <w:r w:rsidRPr="004F5FEE">
        <w:t xml:space="preserve"> </w:t>
      </w:r>
      <w:proofErr w:type="spellStart"/>
      <w:r>
        <w:t>obavezu</w:t>
      </w:r>
      <w:proofErr w:type="spellEnd"/>
      <w:r w:rsidRPr="004F5FEE">
        <w:t xml:space="preserve"> </w:t>
      </w:r>
      <w:proofErr w:type="spellStart"/>
      <w:r>
        <w:t>priku</w:t>
      </w:r>
      <w:r w:rsidRPr="004F5FEE">
        <w:t>pljanja</w:t>
      </w:r>
      <w:proofErr w:type="spellEnd"/>
      <w:r w:rsidRPr="004F5FEE">
        <w:t xml:space="preserve"> </w:t>
      </w:r>
      <w:proofErr w:type="spellStart"/>
      <w:r w:rsidRPr="004F5FEE">
        <w:t>i</w:t>
      </w:r>
      <w:proofErr w:type="spellEnd"/>
      <w:r w:rsidRPr="004F5FEE">
        <w:t xml:space="preserve"> </w:t>
      </w:r>
      <w:proofErr w:type="spellStart"/>
      <w:r>
        <w:t>širenja</w:t>
      </w:r>
      <w:proofErr w:type="spellEnd"/>
      <w:r>
        <w:t xml:space="preserve"> </w:t>
      </w:r>
      <w:proofErr w:type="spellStart"/>
      <w:r>
        <w:t>informacija</w:t>
      </w:r>
      <w:proofErr w:type="spellEnd"/>
      <w:r w:rsidRPr="004F5FEE">
        <w:t xml:space="preserve"> </w:t>
      </w:r>
      <w:proofErr w:type="spellStart"/>
      <w:r w:rsidRPr="004F5FEE">
        <w:t>koje</w:t>
      </w:r>
      <w:proofErr w:type="spellEnd"/>
      <w:r w:rsidRPr="004F5FEE">
        <w:t xml:space="preserve"> </w:t>
      </w:r>
      <w:proofErr w:type="spellStart"/>
      <w:r w:rsidRPr="004F5FEE">
        <w:t>inače</w:t>
      </w:r>
      <w:proofErr w:type="spellEnd"/>
      <w:r w:rsidRPr="004F5FEE">
        <w:t xml:space="preserve"> ne bi bile </w:t>
      </w:r>
      <w:proofErr w:type="spellStart"/>
      <w:r w:rsidRPr="004F5FEE">
        <w:t>direktno</w:t>
      </w:r>
      <w:proofErr w:type="spellEnd"/>
      <w:r w:rsidRPr="004F5FEE">
        <w:t xml:space="preserve"> </w:t>
      </w:r>
      <w:proofErr w:type="spellStart"/>
      <w:r w:rsidRPr="004F5FEE">
        <w:t>dostupne</w:t>
      </w:r>
      <w:proofErr w:type="spellEnd"/>
      <w:r w:rsidRPr="004F5FEE">
        <w:t xml:space="preserve"> </w:t>
      </w:r>
      <w:proofErr w:type="spellStart"/>
      <w:r w:rsidRPr="004F5FEE">
        <w:t>javnosti</w:t>
      </w:r>
      <w:proofErr w:type="spellEnd"/>
      <w:r w:rsidRPr="004F5FEE">
        <w:t xml:space="preserve"> </w:t>
      </w:r>
      <w:proofErr w:type="spellStart"/>
      <w:r w:rsidRPr="004F5FEE">
        <w:t>ili</w:t>
      </w:r>
      <w:proofErr w:type="spellEnd"/>
      <w:r>
        <w:t xml:space="preserve"> ne bi </w:t>
      </w:r>
      <w:proofErr w:type="spellStart"/>
      <w:r>
        <w:t>privukle</w:t>
      </w:r>
      <w:proofErr w:type="spellEnd"/>
      <w:r w:rsidRPr="004F5FEE">
        <w:t xml:space="preserve"> </w:t>
      </w:r>
      <w:proofErr w:type="spellStart"/>
      <w:r w:rsidRPr="004F5FEE">
        <w:t>pažnju</w:t>
      </w:r>
      <w:proofErr w:type="spellEnd"/>
      <w:r w:rsidRPr="004F5FEE">
        <w:t xml:space="preserve"> </w:t>
      </w:r>
      <w:proofErr w:type="spellStart"/>
      <w:r w:rsidRPr="004F5FEE">
        <w:t>javnosti</w:t>
      </w:r>
      <w:proofErr w:type="spellEnd"/>
      <w:r w:rsidRPr="004F5FEE">
        <w:t xml:space="preserve">. </w:t>
      </w:r>
    </w:p>
  </w:footnote>
  <w:footnote w:id="10">
    <w:p w14:paraId="59444DAE" w14:textId="77777777" w:rsidR="00444116" w:rsidRPr="008633EB" w:rsidRDefault="00444116" w:rsidP="00444116">
      <w:pPr>
        <w:pStyle w:val="FootnoteText"/>
        <w:jc w:val="both"/>
        <w:rPr>
          <w:iCs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8C5354">
        <w:rPr>
          <w:iCs/>
        </w:rPr>
        <w:t>Iako</w:t>
      </w:r>
      <w:proofErr w:type="spellEnd"/>
      <w:r w:rsidRPr="008C5354">
        <w:rPr>
          <w:iCs/>
        </w:rPr>
        <w:t xml:space="preserve"> je </w:t>
      </w:r>
      <w:proofErr w:type="spellStart"/>
      <w:r w:rsidRPr="008C5354">
        <w:rPr>
          <w:iCs/>
        </w:rPr>
        <w:t>utvrđeno</w:t>
      </w:r>
      <w:proofErr w:type="spellEnd"/>
      <w:r w:rsidRPr="008C5354">
        <w:rPr>
          <w:iCs/>
        </w:rPr>
        <w:t xml:space="preserve"> da se </w:t>
      </w:r>
      <w:proofErr w:type="spellStart"/>
      <w:r w:rsidRPr="008C5354">
        <w:rPr>
          <w:iCs/>
        </w:rPr>
        <w:t>član</w:t>
      </w:r>
      <w:proofErr w:type="spellEnd"/>
      <w:r w:rsidRPr="008C5354">
        <w:rPr>
          <w:iCs/>
        </w:rPr>
        <w:t xml:space="preserve"> 10 ne </w:t>
      </w:r>
      <w:proofErr w:type="spellStart"/>
      <w:r w:rsidRPr="008C5354">
        <w:rPr>
          <w:iCs/>
        </w:rPr>
        <w:t>primjenjuje</w:t>
      </w:r>
      <w:proofErr w:type="spellEnd"/>
      <w:r w:rsidRPr="008C5354">
        <w:rPr>
          <w:iCs/>
        </w:rPr>
        <w:t xml:space="preserve"> </w:t>
      </w:r>
      <w:proofErr w:type="spellStart"/>
      <w:r w:rsidRPr="008C5354">
        <w:rPr>
          <w:iCs/>
        </w:rPr>
        <w:t>na</w:t>
      </w:r>
      <w:proofErr w:type="spellEnd"/>
      <w:r w:rsidRPr="008C5354">
        <w:rPr>
          <w:iCs/>
        </w:rPr>
        <w:t xml:space="preserve"> </w:t>
      </w:r>
      <w:proofErr w:type="spellStart"/>
      <w:r w:rsidRPr="008C5354">
        <w:rPr>
          <w:iCs/>
        </w:rPr>
        <w:t>slučaj</w:t>
      </w:r>
      <w:proofErr w:type="spellEnd"/>
      <w:r w:rsidRPr="008C5354">
        <w:rPr>
          <w:iCs/>
        </w:rPr>
        <w:t xml:space="preserve">, </w:t>
      </w:r>
      <w:proofErr w:type="spellStart"/>
      <w:r w:rsidRPr="008C5354">
        <w:rPr>
          <w:iCs/>
        </w:rPr>
        <w:t>osam</w:t>
      </w:r>
      <w:proofErr w:type="spellEnd"/>
      <w:r w:rsidRPr="008C5354">
        <w:rPr>
          <w:iCs/>
        </w:rPr>
        <w:t xml:space="preserve"> od </w:t>
      </w:r>
      <w:proofErr w:type="spellStart"/>
      <w:r w:rsidRPr="008C5354">
        <w:rPr>
          <w:iCs/>
        </w:rPr>
        <w:t>dvadeset</w:t>
      </w:r>
      <w:proofErr w:type="spellEnd"/>
      <w:r w:rsidRPr="008C5354">
        <w:rPr>
          <w:iCs/>
        </w:rPr>
        <w:t xml:space="preserve"> </w:t>
      </w:r>
      <w:proofErr w:type="spellStart"/>
      <w:r w:rsidRPr="008C5354">
        <w:rPr>
          <w:iCs/>
        </w:rPr>
        <w:t>sudija</w:t>
      </w:r>
      <w:proofErr w:type="spellEnd"/>
      <w:r w:rsidRPr="008C5354">
        <w:rPr>
          <w:iCs/>
        </w:rPr>
        <w:t xml:space="preserve"> </w:t>
      </w:r>
      <w:proofErr w:type="spellStart"/>
      <w:r w:rsidRPr="008C5354">
        <w:rPr>
          <w:iCs/>
        </w:rPr>
        <w:t>su</w:t>
      </w:r>
      <w:proofErr w:type="spellEnd"/>
      <w:r w:rsidRPr="008C5354">
        <w:rPr>
          <w:iCs/>
        </w:rPr>
        <w:t xml:space="preserve"> u </w:t>
      </w:r>
      <w:proofErr w:type="spellStart"/>
      <w:r w:rsidRPr="008C5354">
        <w:rPr>
          <w:iCs/>
        </w:rPr>
        <w:t>izdvojenim</w:t>
      </w:r>
      <w:proofErr w:type="spellEnd"/>
      <w:r w:rsidRPr="008C5354">
        <w:rPr>
          <w:iCs/>
        </w:rPr>
        <w:t xml:space="preserve"> </w:t>
      </w:r>
      <w:proofErr w:type="spellStart"/>
      <w:r w:rsidRPr="008C5354">
        <w:rPr>
          <w:iCs/>
        </w:rPr>
        <w:t>mišljenjima</w:t>
      </w:r>
      <w:proofErr w:type="spellEnd"/>
      <w:r w:rsidRPr="008C5354">
        <w:rPr>
          <w:iCs/>
        </w:rPr>
        <w:t xml:space="preserve"> </w:t>
      </w:r>
      <w:proofErr w:type="spellStart"/>
      <w:r w:rsidRPr="008C5354">
        <w:rPr>
          <w:iCs/>
        </w:rPr>
        <w:t>iskazali</w:t>
      </w:r>
      <w:proofErr w:type="spellEnd"/>
      <w:r w:rsidRPr="008C5354">
        <w:rPr>
          <w:iCs/>
        </w:rPr>
        <w:t xml:space="preserve"> </w:t>
      </w:r>
      <w:proofErr w:type="spellStart"/>
      <w:r w:rsidRPr="008C5354">
        <w:rPr>
          <w:iCs/>
        </w:rPr>
        <w:t>spremnost</w:t>
      </w:r>
      <w:proofErr w:type="spellEnd"/>
      <w:r w:rsidRPr="008C5354">
        <w:rPr>
          <w:iCs/>
        </w:rPr>
        <w:t xml:space="preserve"> da </w:t>
      </w:r>
      <w:proofErr w:type="spellStart"/>
      <w:r w:rsidRPr="008C5354">
        <w:rPr>
          <w:iCs/>
        </w:rPr>
        <w:t>razmotr</w:t>
      </w:r>
      <w:r>
        <w:rPr>
          <w:iCs/>
        </w:rPr>
        <w:t>e</w:t>
      </w:r>
      <w:proofErr w:type="spellEnd"/>
      <w:r w:rsidRPr="008C5354">
        <w:rPr>
          <w:iCs/>
        </w:rPr>
        <w:t xml:space="preserve"> </w:t>
      </w:r>
      <w:proofErr w:type="spellStart"/>
      <w:r w:rsidRPr="008C5354">
        <w:rPr>
          <w:iCs/>
        </w:rPr>
        <w:t>pozitivne</w:t>
      </w:r>
      <w:proofErr w:type="spellEnd"/>
      <w:r w:rsidRPr="008C5354">
        <w:rPr>
          <w:iCs/>
        </w:rPr>
        <w:t xml:space="preserve"> </w:t>
      </w:r>
      <w:proofErr w:type="spellStart"/>
      <w:r w:rsidRPr="008C5354">
        <w:rPr>
          <w:iCs/>
        </w:rPr>
        <w:t>obaveze</w:t>
      </w:r>
      <w:proofErr w:type="spellEnd"/>
      <w:r w:rsidRPr="008C5354">
        <w:rPr>
          <w:iCs/>
        </w:rPr>
        <w:t xml:space="preserve"> za </w:t>
      </w:r>
      <w:proofErr w:type="spellStart"/>
      <w:r w:rsidRPr="008C5354">
        <w:rPr>
          <w:iCs/>
        </w:rPr>
        <w:t>prikupljanje</w:t>
      </w:r>
      <w:proofErr w:type="spellEnd"/>
      <w:r w:rsidRPr="008C5354">
        <w:rPr>
          <w:iCs/>
        </w:rPr>
        <w:t xml:space="preserve"> </w:t>
      </w:r>
      <w:proofErr w:type="spellStart"/>
      <w:r w:rsidRPr="008C5354">
        <w:rPr>
          <w:iCs/>
        </w:rPr>
        <w:t>i</w:t>
      </w:r>
      <w:proofErr w:type="spellEnd"/>
      <w:r w:rsidRPr="008C5354">
        <w:rPr>
          <w:iCs/>
        </w:rPr>
        <w:t xml:space="preserve"> </w:t>
      </w:r>
      <w:proofErr w:type="spellStart"/>
      <w:r w:rsidRPr="008C5354">
        <w:rPr>
          <w:iCs/>
        </w:rPr>
        <w:t>širenje</w:t>
      </w:r>
      <w:proofErr w:type="spellEnd"/>
      <w:r w:rsidRPr="008C5354">
        <w:rPr>
          <w:iCs/>
        </w:rPr>
        <w:t xml:space="preserve"> </w:t>
      </w:r>
      <w:proofErr w:type="spellStart"/>
      <w:r w:rsidRPr="008C5354">
        <w:rPr>
          <w:iCs/>
        </w:rPr>
        <w:t>informacija</w:t>
      </w:r>
      <w:proofErr w:type="spellEnd"/>
      <w:r w:rsidRPr="008C5354">
        <w:rPr>
          <w:iCs/>
        </w:rPr>
        <w:t xml:space="preserve"> u </w:t>
      </w:r>
      <w:proofErr w:type="spellStart"/>
      <w:r w:rsidRPr="008C5354">
        <w:rPr>
          <w:iCs/>
        </w:rPr>
        <w:t>nekim</w:t>
      </w:r>
      <w:proofErr w:type="spellEnd"/>
      <w:r w:rsidRPr="008C5354">
        <w:rPr>
          <w:iCs/>
        </w:rPr>
        <w:t xml:space="preserve"> </w:t>
      </w:r>
      <w:proofErr w:type="spellStart"/>
      <w:r w:rsidRPr="008C5354">
        <w:rPr>
          <w:iCs/>
        </w:rPr>
        <w:t>okolnostima</w:t>
      </w:r>
      <w:proofErr w:type="spellEnd"/>
      <w:r w:rsidRPr="008C5354">
        <w:rPr>
          <w:iCs/>
        </w:rPr>
        <w:t>.</w:t>
      </w:r>
    </w:p>
  </w:footnote>
  <w:footnote w:id="11">
    <w:p w14:paraId="2C64FD34" w14:textId="77777777" w:rsidR="00444116" w:rsidRPr="001454E7" w:rsidRDefault="00444116" w:rsidP="00444116">
      <w:pPr>
        <w:pStyle w:val="FootnoteText"/>
        <w:jc w:val="both"/>
        <w:rPr>
          <w:iCs/>
          <w:lang w:val="en-GB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1454E7">
        <w:rPr>
          <w:iCs/>
          <w:lang w:val="en-GB"/>
        </w:rPr>
        <w:t>Prvu</w:t>
      </w:r>
      <w:proofErr w:type="spellEnd"/>
      <w:r w:rsidRPr="001454E7">
        <w:rPr>
          <w:iCs/>
          <w:lang w:val="en-GB"/>
        </w:rPr>
        <w:t xml:space="preserve"> </w:t>
      </w:r>
      <w:proofErr w:type="spellStart"/>
      <w:r w:rsidRPr="001454E7">
        <w:rPr>
          <w:iCs/>
          <w:lang w:val="en-GB"/>
        </w:rPr>
        <w:t>primenjenu</w:t>
      </w:r>
      <w:proofErr w:type="spellEnd"/>
      <w:r w:rsidRPr="001454E7">
        <w:rPr>
          <w:iCs/>
          <w:lang w:val="en-GB"/>
        </w:rPr>
        <w:t xml:space="preserve"> </w:t>
      </w:r>
      <w:proofErr w:type="spellStart"/>
      <w:r w:rsidRPr="001454E7">
        <w:rPr>
          <w:iCs/>
          <w:lang w:val="en-GB"/>
        </w:rPr>
        <w:t>proce</w:t>
      </w:r>
      <w:r>
        <w:rPr>
          <w:iCs/>
          <w:lang w:val="en-GB"/>
        </w:rPr>
        <w:t>s</w:t>
      </w:r>
      <w:r w:rsidRPr="001454E7">
        <w:rPr>
          <w:iCs/>
          <w:lang w:val="en-GB"/>
        </w:rPr>
        <w:t>nog</w:t>
      </w:r>
      <w:proofErr w:type="spellEnd"/>
      <w:r w:rsidRPr="001454E7">
        <w:rPr>
          <w:iCs/>
          <w:lang w:val="en-GB"/>
        </w:rPr>
        <w:t xml:space="preserve"> </w:t>
      </w:r>
      <w:proofErr w:type="spellStart"/>
      <w:r w:rsidRPr="001454E7">
        <w:rPr>
          <w:iCs/>
          <w:lang w:val="en-GB"/>
        </w:rPr>
        <w:t>prava</w:t>
      </w:r>
      <w:proofErr w:type="spellEnd"/>
      <w:r w:rsidRPr="001454E7">
        <w:rPr>
          <w:iCs/>
          <w:lang w:val="en-GB"/>
        </w:rPr>
        <w:t xml:space="preserve"> </w:t>
      </w:r>
      <w:proofErr w:type="spellStart"/>
      <w:r w:rsidRPr="001454E7">
        <w:rPr>
          <w:iCs/>
          <w:lang w:val="en-GB"/>
        </w:rPr>
        <w:t>na</w:t>
      </w:r>
      <w:proofErr w:type="spellEnd"/>
      <w:r w:rsidRPr="001454E7">
        <w:rPr>
          <w:iCs/>
          <w:lang w:val="en-GB"/>
        </w:rPr>
        <w:t xml:space="preserve"> </w:t>
      </w:r>
      <w:proofErr w:type="spellStart"/>
      <w:r w:rsidRPr="001454E7">
        <w:rPr>
          <w:iCs/>
          <w:lang w:val="en-GB"/>
        </w:rPr>
        <w:t>zdravu</w:t>
      </w:r>
      <w:proofErr w:type="spellEnd"/>
      <w:r w:rsidRPr="001454E7">
        <w:rPr>
          <w:iCs/>
          <w:lang w:val="en-GB"/>
        </w:rPr>
        <w:t xml:space="preserve"> </w:t>
      </w:r>
      <w:proofErr w:type="spellStart"/>
      <w:r w:rsidRPr="001454E7">
        <w:rPr>
          <w:iCs/>
          <w:lang w:val="en-GB"/>
        </w:rPr>
        <w:t>životnu</w:t>
      </w:r>
      <w:proofErr w:type="spellEnd"/>
      <w:r w:rsidRPr="001454E7">
        <w:rPr>
          <w:iCs/>
          <w:lang w:val="en-GB"/>
        </w:rPr>
        <w:t xml:space="preserve"> </w:t>
      </w:r>
      <w:proofErr w:type="spellStart"/>
      <w:r w:rsidRPr="001454E7">
        <w:rPr>
          <w:iCs/>
          <w:lang w:val="en-GB"/>
        </w:rPr>
        <w:t>sredinu</w:t>
      </w:r>
      <w:proofErr w:type="spellEnd"/>
      <w:r w:rsidRPr="001454E7">
        <w:rPr>
          <w:iCs/>
          <w:lang w:val="en-GB"/>
        </w:rPr>
        <w:t xml:space="preserve"> u </w:t>
      </w:r>
      <w:proofErr w:type="spellStart"/>
      <w:r w:rsidRPr="001454E7">
        <w:rPr>
          <w:iCs/>
          <w:lang w:val="en-GB"/>
        </w:rPr>
        <w:t>okviru</w:t>
      </w:r>
      <w:proofErr w:type="spellEnd"/>
      <w:r w:rsidRPr="001454E7">
        <w:rPr>
          <w:iCs/>
          <w:lang w:val="en-GB"/>
        </w:rPr>
        <w:t xml:space="preserve"> </w:t>
      </w:r>
      <w:proofErr w:type="spellStart"/>
      <w:r w:rsidRPr="001454E7">
        <w:rPr>
          <w:iCs/>
          <w:lang w:val="en-GB"/>
        </w:rPr>
        <w:t>člana</w:t>
      </w:r>
      <w:proofErr w:type="spellEnd"/>
      <w:r w:rsidRPr="001454E7">
        <w:rPr>
          <w:iCs/>
          <w:lang w:val="en-GB"/>
        </w:rPr>
        <w:t xml:space="preserve"> 8 </w:t>
      </w:r>
      <w:proofErr w:type="spellStart"/>
      <w:r w:rsidRPr="001454E7">
        <w:rPr>
          <w:iCs/>
          <w:lang w:val="en-GB"/>
        </w:rPr>
        <w:t>Evropske</w:t>
      </w:r>
      <w:proofErr w:type="spellEnd"/>
      <w:r w:rsidRPr="001454E7">
        <w:rPr>
          <w:iCs/>
          <w:lang w:val="en-GB"/>
        </w:rPr>
        <w:t xml:space="preserve"> </w:t>
      </w:r>
      <w:proofErr w:type="spellStart"/>
      <w:r w:rsidRPr="001454E7">
        <w:rPr>
          <w:iCs/>
          <w:lang w:val="en-GB"/>
        </w:rPr>
        <w:t>konvencije</w:t>
      </w:r>
      <w:proofErr w:type="spellEnd"/>
      <w:r w:rsidRPr="001454E7">
        <w:rPr>
          <w:iCs/>
          <w:lang w:val="en-GB"/>
        </w:rPr>
        <w:t xml:space="preserve"> o </w:t>
      </w:r>
      <w:proofErr w:type="spellStart"/>
      <w:r w:rsidRPr="001454E7">
        <w:rPr>
          <w:iCs/>
          <w:lang w:val="en-GB"/>
        </w:rPr>
        <w:t>ljudskim</w:t>
      </w:r>
      <w:proofErr w:type="spellEnd"/>
      <w:r w:rsidRPr="001454E7">
        <w:rPr>
          <w:iCs/>
          <w:lang w:val="en-GB"/>
        </w:rPr>
        <w:t xml:space="preserve"> </w:t>
      </w:r>
      <w:proofErr w:type="spellStart"/>
      <w:r w:rsidRPr="001454E7">
        <w:rPr>
          <w:iCs/>
          <w:lang w:val="en-GB"/>
        </w:rPr>
        <w:t>pravima</w:t>
      </w:r>
      <w:proofErr w:type="spellEnd"/>
      <w:r w:rsidRPr="001454E7">
        <w:rPr>
          <w:iCs/>
          <w:lang w:val="en-GB"/>
        </w:rPr>
        <w:t xml:space="preserve">, </w:t>
      </w:r>
      <w:proofErr w:type="spellStart"/>
      <w:r w:rsidRPr="001454E7">
        <w:rPr>
          <w:iCs/>
          <w:lang w:val="en-GB"/>
        </w:rPr>
        <w:t>kao</w:t>
      </w:r>
      <w:proofErr w:type="spellEnd"/>
      <w:r w:rsidRPr="001454E7">
        <w:rPr>
          <w:iCs/>
          <w:lang w:val="en-GB"/>
        </w:rPr>
        <w:t xml:space="preserve"> </w:t>
      </w:r>
      <w:proofErr w:type="spellStart"/>
      <w:r w:rsidRPr="001454E7">
        <w:rPr>
          <w:iCs/>
          <w:lang w:val="en-GB"/>
        </w:rPr>
        <w:t>dio</w:t>
      </w:r>
      <w:proofErr w:type="spellEnd"/>
      <w:r w:rsidRPr="001454E7">
        <w:rPr>
          <w:iCs/>
          <w:lang w:val="en-GB"/>
        </w:rPr>
        <w:t xml:space="preserve"> </w:t>
      </w:r>
      <w:proofErr w:type="spellStart"/>
      <w:r w:rsidRPr="001454E7">
        <w:rPr>
          <w:iCs/>
          <w:lang w:val="en-GB"/>
        </w:rPr>
        <w:t>zaštite</w:t>
      </w:r>
      <w:proofErr w:type="spellEnd"/>
      <w:r w:rsidRPr="001454E7">
        <w:rPr>
          <w:iCs/>
          <w:lang w:val="en-GB"/>
        </w:rPr>
        <w:t xml:space="preserve"> </w:t>
      </w:r>
      <w:proofErr w:type="spellStart"/>
      <w:r w:rsidRPr="001454E7">
        <w:rPr>
          <w:iCs/>
          <w:lang w:val="en-GB"/>
        </w:rPr>
        <w:t>prava</w:t>
      </w:r>
      <w:proofErr w:type="spellEnd"/>
      <w:r w:rsidRPr="001454E7">
        <w:rPr>
          <w:iCs/>
          <w:lang w:val="en-GB"/>
        </w:rPr>
        <w:t xml:space="preserve"> </w:t>
      </w:r>
      <w:proofErr w:type="spellStart"/>
      <w:r w:rsidRPr="001454E7">
        <w:rPr>
          <w:iCs/>
          <w:lang w:val="en-GB"/>
        </w:rPr>
        <w:t>na</w:t>
      </w:r>
      <w:proofErr w:type="spellEnd"/>
      <w:r w:rsidRPr="001454E7">
        <w:rPr>
          <w:iCs/>
          <w:lang w:val="en-GB"/>
        </w:rPr>
        <w:t xml:space="preserve"> </w:t>
      </w:r>
      <w:proofErr w:type="spellStart"/>
      <w:r w:rsidRPr="001454E7">
        <w:rPr>
          <w:iCs/>
          <w:lang w:val="en-GB"/>
        </w:rPr>
        <w:t>privatnost</w:t>
      </w:r>
      <w:proofErr w:type="spellEnd"/>
      <w:r w:rsidRPr="001454E7">
        <w:rPr>
          <w:iCs/>
          <w:lang w:val="en-GB"/>
        </w:rPr>
        <w:t xml:space="preserve"> </w:t>
      </w:r>
      <w:proofErr w:type="spellStart"/>
      <w:r w:rsidRPr="001454E7">
        <w:rPr>
          <w:iCs/>
          <w:lang w:val="en-GB"/>
        </w:rPr>
        <w:t>nalazi</w:t>
      </w:r>
      <w:r>
        <w:rPr>
          <w:iCs/>
          <w:lang w:val="en-GB"/>
        </w:rPr>
        <w:t>mo</w:t>
      </w:r>
      <w:proofErr w:type="spellEnd"/>
      <w:r w:rsidRPr="001454E7">
        <w:rPr>
          <w:iCs/>
          <w:lang w:val="en-GB"/>
        </w:rPr>
        <w:t xml:space="preserve"> u </w:t>
      </w:r>
      <w:proofErr w:type="spellStart"/>
      <w:r w:rsidRPr="001454E7">
        <w:rPr>
          <w:iCs/>
          <w:lang w:val="en-GB"/>
        </w:rPr>
        <w:t>presudi</w:t>
      </w:r>
      <w:proofErr w:type="spellEnd"/>
      <w:r w:rsidRPr="001454E7">
        <w:rPr>
          <w:iCs/>
          <w:lang w:val="en-GB"/>
        </w:rPr>
        <w:t xml:space="preserve"> </w:t>
      </w:r>
      <w:proofErr w:type="spellStart"/>
      <w:r w:rsidRPr="001454E7">
        <w:rPr>
          <w:iCs/>
          <w:lang w:val="en-GB"/>
        </w:rPr>
        <w:t>Evropskog</w:t>
      </w:r>
      <w:proofErr w:type="spellEnd"/>
      <w:r w:rsidRPr="001454E7">
        <w:rPr>
          <w:iCs/>
          <w:lang w:val="en-GB"/>
        </w:rPr>
        <w:t xml:space="preserve"> </w:t>
      </w:r>
      <w:proofErr w:type="spellStart"/>
      <w:r w:rsidRPr="001454E7">
        <w:rPr>
          <w:iCs/>
          <w:lang w:val="en-GB"/>
        </w:rPr>
        <w:t>suda</w:t>
      </w:r>
      <w:proofErr w:type="spellEnd"/>
      <w:r w:rsidRPr="001454E7">
        <w:rPr>
          <w:iCs/>
          <w:lang w:val="en-GB"/>
        </w:rPr>
        <w:t xml:space="preserve"> za </w:t>
      </w:r>
      <w:proofErr w:type="spellStart"/>
      <w:r w:rsidRPr="001454E7">
        <w:rPr>
          <w:iCs/>
          <w:lang w:val="en-GB"/>
        </w:rPr>
        <w:t>ljudska</w:t>
      </w:r>
      <w:proofErr w:type="spellEnd"/>
      <w:r w:rsidRPr="001454E7">
        <w:rPr>
          <w:iCs/>
          <w:lang w:val="en-GB"/>
        </w:rPr>
        <w:t xml:space="preserve"> </w:t>
      </w:r>
      <w:proofErr w:type="spellStart"/>
      <w:r w:rsidRPr="001454E7">
        <w:rPr>
          <w:iCs/>
          <w:lang w:val="en-GB"/>
        </w:rPr>
        <w:t>prava</w:t>
      </w:r>
      <w:proofErr w:type="spellEnd"/>
      <w:r w:rsidRPr="001454E7">
        <w:rPr>
          <w:iCs/>
          <w:lang w:val="en-GB"/>
        </w:rPr>
        <w:t xml:space="preserve"> u </w:t>
      </w:r>
      <w:proofErr w:type="spellStart"/>
      <w:r w:rsidRPr="0070116D">
        <w:rPr>
          <w:iCs/>
          <w:lang w:val="en-GB"/>
        </w:rPr>
        <w:t>slučaju</w:t>
      </w:r>
      <w:proofErr w:type="spellEnd"/>
      <w:r w:rsidRPr="001454E7">
        <w:rPr>
          <w:i/>
          <w:iCs/>
          <w:lang w:val="en-GB"/>
        </w:rPr>
        <w:t xml:space="preserve"> Lopez </w:t>
      </w:r>
      <w:proofErr w:type="spellStart"/>
      <w:r w:rsidRPr="001454E7">
        <w:rPr>
          <w:i/>
          <w:iCs/>
          <w:lang w:val="en-GB"/>
        </w:rPr>
        <w:t>Ostra</w:t>
      </w:r>
      <w:proofErr w:type="spellEnd"/>
      <w:r w:rsidRPr="001454E7">
        <w:rPr>
          <w:i/>
          <w:iCs/>
          <w:lang w:val="en-GB"/>
        </w:rPr>
        <w:t xml:space="preserve"> </w:t>
      </w:r>
      <w:proofErr w:type="spellStart"/>
      <w:r w:rsidRPr="001454E7">
        <w:rPr>
          <w:i/>
          <w:iCs/>
          <w:lang w:val="en-GB"/>
        </w:rPr>
        <w:t>protiv</w:t>
      </w:r>
      <w:proofErr w:type="spellEnd"/>
      <w:r w:rsidRPr="001454E7">
        <w:rPr>
          <w:i/>
          <w:iCs/>
          <w:lang w:val="en-GB"/>
        </w:rPr>
        <w:t xml:space="preserve"> </w:t>
      </w:r>
      <w:proofErr w:type="spellStart"/>
      <w:r w:rsidRPr="001454E7">
        <w:rPr>
          <w:i/>
          <w:iCs/>
          <w:lang w:val="en-GB"/>
        </w:rPr>
        <w:t>Španije</w:t>
      </w:r>
      <w:proofErr w:type="spellEnd"/>
      <w:r>
        <w:rPr>
          <w:i/>
          <w:iCs/>
          <w:lang w:val="en-GB"/>
        </w:rPr>
        <w:t xml:space="preserve"> </w:t>
      </w:r>
      <w:r>
        <w:rPr>
          <w:iCs/>
          <w:lang w:val="en-GB"/>
        </w:rPr>
        <w:t xml:space="preserve">u </w:t>
      </w:r>
      <w:proofErr w:type="spellStart"/>
      <w:r>
        <w:rPr>
          <w:iCs/>
          <w:lang w:val="en-GB"/>
        </w:rPr>
        <w:t>kojem</w:t>
      </w:r>
      <w:proofErr w:type="spellEnd"/>
      <w:r>
        <w:rPr>
          <w:iCs/>
          <w:lang w:val="en-GB"/>
        </w:rPr>
        <w:t xml:space="preserve"> je Sud </w:t>
      </w:r>
      <w:proofErr w:type="spellStart"/>
      <w:r>
        <w:rPr>
          <w:iCs/>
          <w:lang w:val="en-GB"/>
        </w:rPr>
        <w:t>zauzeo</w:t>
      </w:r>
      <w:proofErr w:type="spellEnd"/>
      <w:r>
        <w:rPr>
          <w:iCs/>
          <w:lang w:val="en-GB"/>
        </w:rPr>
        <w:t xml:space="preserve"> </w:t>
      </w:r>
      <w:proofErr w:type="spellStart"/>
      <w:r>
        <w:rPr>
          <w:iCs/>
          <w:lang w:val="en-GB"/>
        </w:rPr>
        <w:t>sljedeći</w:t>
      </w:r>
      <w:proofErr w:type="spellEnd"/>
      <w:r>
        <w:rPr>
          <w:iCs/>
          <w:lang w:val="en-GB"/>
        </w:rPr>
        <w:t xml:space="preserve"> </w:t>
      </w:r>
      <w:proofErr w:type="spellStart"/>
      <w:r>
        <w:rPr>
          <w:iCs/>
          <w:lang w:val="en-GB"/>
        </w:rPr>
        <w:t>stav</w:t>
      </w:r>
      <w:proofErr w:type="spellEnd"/>
      <w:r w:rsidRPr="001454E7">
        <w:rPr>
          <w:iCs/>
          <w:lang w:val="en-GB"/>
        </w:rPr>
        <w:t xml:space="preserve">: </w:t>
      </w:r>
      <w:r w:rsidRPr="00582713">
        <w:rPr>
          <w:i/>
          <w:iCs/>
          <w:lang w:val="en-GB"/>
        </w:rPr>
        <w:t>“</w:t>
      </w:r>
      <w:proofErr w:type="spellStart"/>
      <w:r w:rsidRPr="00582713">
        <w:rPr>
          <w:i/>
          <w:iCs/>
          <w:lang w:val="en-GB"/>
        </w:rPr>
        <w:t>Podrazumijeva</w:t>
      </w:r>
      <w:proofErr w:type="spellEnd"/>
      <w:r w:rsidRPr="00582713">
        <w:rPr>
          <w:i/>
          <w:iCs/>
          <w:lang w:val="en-GB"/>
        </w:rPr>
        <w:t xml:space="preserve"> se da </w:t>
      </w:r>
      <w:proofErr w:type="spellStart"/>
      <w:r w:rsidRPr="00582713">
        <w:rPr>
          <w:i/>
          <w:iCs/>
          <w:lang w:val="en-GB"/>
        </w:rPr>
        <w:t>ozbiljan</w:t>
      </w:r>
      <w:proofErr w:type="spellEnd"/>
      <w:r w:rsidRPr="00582713">
        <w:rPr>
          <w:i/>
          <w:iCs/>
          <w:lang w:val="en-GB"/>
        </w:rPr>
        <w:t xml:space="preserve"> </w:t>
      </w:r>
      <w:proofErr w:type="spellStart"/>
      <w:r w:rsidRPr="00582713">
        <w:rPr>
          <w:i/>
          <w:iCs/>
          <w:lang w:val="en-GB"/>
        </w:rPr>
        <w:t>uticaj</w:t>
      </w:r>
      <w:proofErr w:type="spellEnd"/>
      <w:r w:rsidRPr="00582713">
        <w:rPr>
          <w:i/>
          <w:iCs/>
          <w:lang w:val="en-GB"/>
        </w:rPr>
        <w:t xml:space="preserve"> </w:t>
      </w:r>
      <w:proofErr w:type="spellStart"/>
      <w:r w:rsidRPr="00582713">
        <w:rPr>
          <w:i/>
          <w:iCs/>
          <w:lang w:val="en-GB"/>
        </w:rPr>
        <w:t>na</w:t>
      </w:r>
      <w:proofErr w:type="spellEnd"/>
      <w:r w:rsidRPr="00582713">
        <w:rPr>
          <w:i/>
          <w:iCs/>
          <w:lang w:val="en-GB"/>
        </w:rPr>
        <w:t xml:space="preserve"> </w:t>
      </w:r>
      <w:proofErr w:type="spellStart"/>
      <w:r w:rsidRPr="00582713">
        <w:rPr>
          <w:i/>
          <w:iCs/>
          <w:lang w:val="en-GB"/>
        </w:rPr>
        <w:t>životnu</w:t>
      </w:r>
      <w:proofErr w:type="spellEnd"/>
      <w:r w:rsidRPr="00582713">
        <w:rPr>
          <w:i/>
          <w:iCs/>
          <w:lang w:val="en-GB"/>
        </w:rPr>
        <w:t xml:space="preserve"> </w:t>
      </w:r>
      <w:proofErr w:type="spellStart"/>
      <w:r w:rsidRPr="00582713">
        <w:rPr>
          <w:i/>
          <w:iCs/>
          <w:lang w:val="en-GB"/>
        </w:rPr>
        <w:t>sredinu</w:t>
      </w:r>
      <w:proofErr w:type="spellEnd"/>
      <w:r w:rsidRPr="00582713">
        <w:rPr>
          <w:i/>
          <w:iCs/>
          <w:lang w:val="en-GB"/>
        </w:rPr>
        <w:t xml:space="preserve"> </w:t>
      </w:r>
      <w:proofErr w:type="spellStart"/>
      <w:r w:rsidRPr="00582713">
        <w:rPr>
          <w:i/>
          <w:iCs/>
          <w:lang w:val="en-GB"/>
        </w:rPr>
        <w:t>može</w:t>
      </w:r>
      <w:proofErr w:type="spellEnd"/>
      <w:r w:rsidRPr="00582713">
        <w:rPr>
          <w:i/>
          <w:iCs/>
          <w:lang w:val="en-GB"/>
        </w:rPr>
        <w:t xml:space="preserve"> </w:t>
      </w:r>
      <w:proofErr w:type="spellStart"/>
      <w:r w:rsidRPr="00582713">
        <w:rPr>
          <w:i/>
          <w:iCs/>
          <w:lang w:val="en-GB"/>
        </w:rPr>
        <w:t>uticati</w:t>
      </w:r>
      <w:proofErr w:type="spellEnd"/>
      <w:r w:rsidRPr="00582713">
        <w:rPr>
          <w:i/>
          <w:iCs/>
          <w:lang w:val="en-GB"/>
        </w:rPr>
        <w:t xml:space="preserve"> </w:t>
      </w:r>
      <w:proofErr w:type="spellStart"/>
      <w:r w:rsidRPr="00582713">
        <w:rPr>
          <w:i/>
          <w:iCs/>
          <w:lang w:val="en-GB"/>
        </w:rPr>
        <w:t>na</w:t>
      </w:r>
      <w:proofErr w:type="spellEnd"/>
      <w:r w:rsidRPr="00582713">
        <w:rPr>
          <w:i/>
          <w:iCs/>
          <w:lang w:val="en-GB"/>
        </w:rPr>
        <w:t xml:space="preserve"> </w:t>
      </w:r>
      <w:proofErr w:type="spellStart"/>
      <w:r w:rsidRPr="00582713">
        <w:rPr>
          <w:i/>
          <w:iCs/>
          <w:lang w:val="en-GB"/>
        </w:rPr>
        <w:t>dobrobit</w:t>
      </w:r>
      <w:proofErr w:type="spellEnd"/>
      <w:r w:rsidRPr="00582713">
        <w:rPr>
          <w:i/>
          <w:iCs/>
          <w:lang w:val="en-GB"/>
        </w:rPr>
        <w:t xml:space="preserve"> </w:t>
      </w:r>
      <w:proofErr w:type="spellStart"/>
      <w:r>
        <w:rPr>
          <w:i/>
          <w:iCs/>
          <w:lang w:val="en-GB"/>
        </w:rPr>
        <w:t>lica</w:t>
      </w:r>
      <w:proofErr w:type="spellEnd"/>
      <w:r w:rsidRPr="00582713">
        <w:rPr>
          <w:i/>
          <w:iCs/>
          <w:lang w:val="en-GB"/>
        </w:rPr>
        <w:t xml:space="preserve"> </w:t>
      </w:r>
      <w:proofErr w:type="spellStart"/>
      <w:r>
        <w:rPr>
          <w:i/>
          <w:iCs/>
          <w:lang w:val="en-GB"/>
        </w:rPr>
        <w:t>i</w:t>
      </w:r>
      <w:proofErr w:type="spellEnd"/>
      <w:r>
        <w:rPr>
          <w:i/>
          <w:iCs/>
          <w:lang w:val="en-GB"/>
        </w:rPr>
        <w:t xml:space="preserve"> </w:t>
      </w:r>
      <w:proofErr w:type="spellStart"/>
      <w:r w:rsidRPr="00582713">
        <w:rPr>
          <w:i/>
          <w:iCs/>
          <w:lang w:val="en-GB"/>
        </w:rPr>
        <w:t>može</w:t>
      </w:r>
      <w:proofErr w:type="spellEnd"/>
      <w:r w:rsidRPr="00582713">
        <w:rPr>
          <w:i/>
          <w:iCs/>
          <w:lang w:val="en-GB"/>
        </w:rPr>
        <w:t xml:space="preserve"> </w:t>
      </w:r>
      <w:proofErr w:type="spellStart"/>
      <w:r>
        <w:rPr>
          <w:i/>
          <w:iCs/>
          <w:lang w:val="en-GB"/>
        </w:rPr>
        <w:t>ga</w:t>
      </w:r>
      <w:proofErr w:type="spellEnd"/>
      <w:r w:rsidRPr="00582713">
        <w:rPr>
          <w:i/>
          <w:iCs/>
          <w:lang w:val="en-GB"/>
        </w:rPr>
        <w:t xml:space="preserve"> </w:t>
      </w:r>
      <w:proofErr w:type="spellStart"/>
      <w:r w:rsidRPr="00582713">
        <w:rPr>
          <w:i/>
          <w:iCs/>
          <w:lang w:val="en-GB"/>
        </w:rPr>
        <w:t>lišiti</w:t>
      </w:r>
      <w:proofErr w:type="spellEnd"/>
      <w:r w:rsidRPr="00582713">
        <w:rPr>
          <w:i/>
          <w:iCs/>
          <w:lang w:val="en-GB"/>
        </w:rPr>
        <w:t xml:space="preserve"> </w:t>
      </w:r>
      <w:proofErr w:type="spellStart"/>
      <w:r w:rsidRPr="00582713">
        <w:rPr>
          <w:i/>
          <w:iCs/>
          <w:lang w:val="en-GB"/>
        </w:rPr>
        <w:t>prava</w:t>
      </w:r>
      <w:proofErr w:type="spellEnd"/>
      <w:r w:rsidRPr="00582713">
        <w:rPr>
          <w:i/>
          <w:iCs/>
          <w:lang w:val="en-GB"/>
        </w:rPr>
        <w:t xml:space="preserve"> </w:t>
      </w:r>
      <w:proofErr w:type="spellStart"/>
      <w:r w:rsidRPr="00582713">
        <w:rPr>
          <w:i/>
          <w:iCs/>
          <w:lang w:val="en-GB"/>
        </w:rPr>
        <w:t>na</w:t>
      </w:r>
      <w:proofErr w:type="spellEnd"/>
      <w:r w:rsidRPr="00582713">
        <w:rPr>
          <w:i/>
          <w:iCs/>
          <w:lang w:val="en-GB"/>
        </w:rPr>
        <w:t xml:space="preserve"> </w:t>
      </w:r>
      <w:proofErr w:type="spellStart"/>
      <w:r w:rsidRPr="00582713">
        <w:rPr>
          <w:i/>
          <w:iCs/>
          <w:lang w:val="en-GB"/>
        </w:rPr>
        <w:t>uživanje</w:t>
      </w:r>
      <w:proofErr w:type="spellEnd"/>
      <w:r w:rsidRPr="00582713">
        <w:rPr>
          <w:i/>
          <w:iCs/>
          <w:lang w:val="en-GB"/>
        </w:rPr>
        <w:t xml:space="preserve"> u </w:t>
      </w:r>
      <w:proofErr w:type="spellStart"/>
      <w:r w:rsidRPr="00582713">
        <w:rPr>
          <w:i/>
          <w:iCs/>
          <w:lang w:val="en-GB"/>
        </w:rPr>
        <w:t>stanu</w:t>
      </w:r>
      <w:proofErr w:type="spellEnd"/>
      <w:r w:rsidRPr="00582713">
        <w:rPr>
          <w:i/>
          <w:iCs/>
          <w:lang w:val="en-GB"/>
        </w:rPr>
        <w:t xml:space="preserve"> </w:t>
      </w:r>
      <w:r>
        <w:rPr>
          <w:i/>
          <w:iCs/>
          <w:lang w:val="en-GB"/>
        </w:rPr>
        <w:t xml:space="preserve">u </w:t>
      </w:r>
      <w:proofErr w:type="spellStart"/>
      <w:r>
        <w:rPr>
          <w:i/>
          <w:iCs/>
          <w:lang w:val="en-GB"/>
        </w:rPr>
        <w:t>sklopu</w:t>
      </w:r>
      <w:proofErr w:type="spellEnd"/>
      <w:r>
        <w:rPr>
          <w:i/>
          <w:iCs/>
          <w:lang w:val="en-GB"/>
        </w:rPr>
        <w:t xml:space="preserve"> </w:t>
      </w:r>
      <w:proofErr w:type="spellStart"/>
      <w:r>
        <w:rPr>
          <w:i/>
          <w:iCs/>
          <w:lang w:val="en-GB"/>
        </w:rPr>
        <w:t>ostvarivanja</w:t>
      </w:r>
      <w:proofErr w:type="spellEnd"/>
      <w:r w:rsidRPr="00582713">
        <w:rPr>
          <w:i/>
          <w:iCs/>
          <w:lang w:val="en-GB"/>
        </w:rPr>
        <w:t xml:space="preserve"> </w:t>
      </w:r>
      <w:proofErr w:type="spellStart"/>
      <w:r w:rsidRPr="00582713">
        <w:rPr>
          <w:i/>
          <w:iCs/>
          <w:lang w:val="en-GB"/>
        </w:rPr>
        <w:t>prava</w:t>
      </w:r>
      <w:proofErr w:type="spellEnd"/>
      <w:r w:rsidRPr="00582713">
        <w:rPr>
          <w:i/>
          <w:iCs/>
          <w:lang w:val="en-GB"/>
        </w:rPr>
        <w:t xml:space="preserve"> </w:t>
      </w:r>
      <w:proofErr w:type="spellStart"/>
      <w:r w:rsidRPr="00582713">
        <w:rPr>
          <w:i/>
          <w:iCs/>
          <w:lang w:val="en-GB"/>
        </w:rPr>
        <w:t>na</w:t>
      </w:r>
      <w:proofErr w:type="spellEnd"/>
      <w:r w:rsidRPr="00582713">
        <w:rPr>
          <w:i/>
          <w:iCs/>
          <w:lang w:val="en-GB"/>
        </w:rPr>
        <w:t xml:space="preserve"> </w:t>
      </w:r>
      <w:proofErr w:type="spellStart"/>
      <w:r w:rsidRPr="00582713">
        <w:rPr>
          <w:i/>
          <w:iCs/>
          <w:lang w:val="en-GB"/>
        </w:rPr>
        <w:t>privatni</w:t>
      </w:r>
      <w:proofErr w:type="spellEnd"/>
      <w:r w:rsidRPr="00582713">
        <w:rPr>
          <w:i/>
          <w:iCs/>
          <w:lang w:val="en-GB"/>
        </w:rPr>
        <w:t xml:space="preserve"> </w:t>
      </w:r>
      <w:proofErr w:type="spellStart"/>
      <w:r w:rsidRPr="00582713">
        <w:rPr>
          <w:i/>
          <w:iCs/>
          <w:lang w:val="en-GB"/>
        </w:rPr>
        <w:t>i</w:t>
      </w:r>
      <w:proofErr w:type="spellEnd"/>
      <w:r w:rsidRPr="00582713">
        <w:rPr>
          <w:i/>
          <w:iCs/>
          <w:lang w:val="en-GB"/>
        </w:rPr>
        <w:t xml:space="preserve"> </w:t>
      </w:r>
      <w:proofErr w:type="spellStart"/>
      <w:r w:rsidRPr="00582713">
        <w:rPr>
          <w:i/>
          <w:iCs/>
          <w:lang w:val="en-GB"/>
        </w:rPr>
        <w:t>porodični</w:t>
      </w:r>
      <w:proofErr w:type="spellEnd"/>
      <w:r w:rsidRPr="00582713">
        <w:rPr>
          <w:i/>
          <w:iCs/>
          <w:lang w:val="en-GB"/>
        </w:rPr>
        <w:t xml:space="preserve"> </w:t>
      </w:r>
      <w:proofErr w:type="spellStart"/>
      <w:r w:rsidRPr="00582713">
        <w:rPr>
          <w:i/>
          <w:iCs/>
          <w:lang w:val="en-GB"/>
        </w:rPr>
        <w:t>život</w:t>
      </w:r>
      <w:proofErr w:type="spellEnd"/>
      <w:r w:rsidRPr="00582713">
        <w:rPr>
          <w:i/>
          <w:iCs/>
          <w:lang w:val="en-GB"/>
        </w:rPr>
        <w:t xml:space="preserve">, </w:t>
      </w:r>
      <w:proofErr w:type="spellStart"/>
      <w:r w:rsidRPr="00582713">
        <w:rPr>
          <w:i/>
          <w:iCs/>
          <w:lang w:val="en-GB"/>
        </w:rPr>
        <w:t>čak</w:t>
      </w:r>
      <w:proofErr w:type="spellEnd"/>
      <w:r w:rsidRPr="00582713">
        <w:rPr>
          <w:i/>
          <w:iCs/>
          <w:lang w:val="en-GB"/>
        </w:rPr>
        <w:t xml:space="preserve"> </w:t>
      </w:r>
      <w:proofErr w:type="spellStart"/>
      <w:r w:rsidRPr="00582713">
        <w:rPr>
          <w:i/>
          <w:iCs/>
          <w:lang w:val="en-GB"/>
        </w:rPr>
        <w:t>i</w:t>
      </w:r>
      <w:proofErr w:type="spellEnd"/>
      <w:r w:rsidRPr="00582713">
        <w:rPr>
          <w:i/>
          <w:iCs/>
          <w:lang w:val="en-GB"/>
        </w:rPr>
        <w:t xml:space="preserve"> </w:t>
      </w:r>
      <w:proofErr w:type="spellStart"/>
      <w:r w:rsidRPr="00582713">
        <w:rPr>
          <w:i/>
          <w:iCs/>
          <w:lang w:val="en-GB"/>
        </w:rPr>
        <w:t>ako</w:t>
      </w:r>
      <w:proofErr w:type="spellEnd"/>
      <w:r w:rsidRPr="00582713">
        <w:rPr>
          <w:i/>
          <w:iCs/>
          <w:lang w:val="en-GB"/>
        </w:rPr>
        <w:t xml:space="preserve"> </w:t>
      </w:r>
      <w:proofErr w:type="spellStart"/>
      <w:r w:rsidRPr="00582713">
        <w:rPr>
          <w:i/>
          <w:iCs/>
          <w:lang w:val="en-GB"/>
        </w:rPr>
        <w:t>nema</w:t>
      </w:r>
      <w:proofErr w:type="spellEnd"/>
      <w:r w:rsidRPr="00582713">
        <w:rPr>
          <w:i/>
          <w:iCs/>
          <w:lang w:val="en-GB"/>
        </w:rPr>
        <w:t xml:space="preserve"> </w:t>
      </w:r>
      <w:proofErr w:type="spellStart"/>
      <w:r w:rsidRPr="00582713">
        <w:rPr>
          <w:i/>
          <w:iCs/>
          <w:lang w:val="en-GB"/>
        </w:rPr>
        <w:t>ozbiljnog</w:t>
      </w:r>
      <w:proofErr w:type="spellEnd"/>
      <w:r w:rsidRPr="00582713">
        <w:rPr>
          <w:i/>
          <w:iCs/>
          <w:lang w:val="en-GB"/>
        </w:rPr>
        <w:t xml:space="preserve"> </w:t>
      </w:r>
      <w:proofErr w:type="spellStart"/>
      <w:r w:rsidRPr="00582713">
        <w:rPr>
          <w:i/>
          <w:iCs/>
          <w:lang w:val="en-GB"/>
        </w:rPr>
        <w:t>ugrožavanja</w:t>
      </w:r>
      <w:proofErr w:type="spellEnd"/>
      <w:r w:rsidRPr="00582713">
        <w:rPr>
          <w:i/>
          <w:iCs/>
          <w:lang w:val="en-GB"/>
        </w:rPr>
        <w:t xml:space="preserve"> </w:t>
      </w:r>
      <w:proofErr w:type="spellStart"/>
      <w:r w:rsidRPr="00582713">
        <w:rPr>
          <w:i/>
          <w:iCs/>
          <w:lang w:val="en-GB"/>
        </w:rPr>
        <w:t>njegovog</w:t>
      </w:r>
      <w:proofErr w:type="spellEnd"/>
      <w:r w:rsidRPr="00582713">
        <w:rPr>
          <w:i/>
          <w:iCs/>
          <w:lang w:val="en-GB"/>
        </w:rPr>
        <w:t xml:space="preserve"> </w:t>
      </w:r>
      <w:proofErr w:type="spellStart"/>
      <w:r w:rsidRPr="00582713">
        <w:rPr>
          <w:i/>
          <w:iCs/>
          <w:lang w:val="en-GB"/>
        </w:rPr>
        <w:t>zdravlja</w:t>
      </w:r>
      <w:proofErr w:type="spellEnd"/>
      <w:r w:rsidRPr="00582713">
        <w:rPr>
          <w:i/>
          <w:iCs/>
          <w:lang w:val="en-GB"/>
        </w:rPr>
        <w:t>.”</w:t>
      </w:r>
      <w:r w:rsidRPr="001454E7">
        <w:rPr>
          <w:iCs/>
          <w:lang w:val="en-GB"/>
        </w:rPr>
        <w:t xml:space="preserve"> </w:t>
      </w:r>
    </w:p>
  </w:footnote>
  <w:footnote w:id="12">
    <w:p w14:paraId="39528A6F" w14:textId="77777777" w:rsidR="00444116" w:rsidRPr="00666EA4" w:rsidRDefault="00444116" w:rsidP="00444116">
      <w:pPr>
        <w:pStyle w:val="FootnoteText"/>
        <w:rPr>
          <w:iCs/>
          <w:lang w:val="en-GB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Predstavka</w:t>
      </w:r>
      <w:proofErr w:type="spellEnd"/>
      <w:r>
        <w:t xml:space="preserve"> br. </w:t>
      </w:r>
      <w:r w:rsidRPr="00515238">
        <w:t>21980/93</w:t>
      </w:r>
      <w:r>
        <w:rPr>
          <w:i/>
          <w:iCs/>
          <w:lang w:val="en-GB"/>
        </w:rPr>
        <w:t xml:space="preserve">, </w:t>
      </w:r>
      <w:proofErr w:type="spellStart"/>
      <w:r w:rsidRPr="00515238">
        <w:rPr>
          <w:iCs/>
          <w:lang w:val="en-GB"/>
        </w:rPr>
        <w:t>presuda</w:t>
      </w:r>
      <w:proofErr w:type="spellEnd"/>
      <w:r w:rsidRPr="00515238">
        <w:rPr>
          <w:iCs/>
          <w:lang w:val="en-GB"/>
        </w:rPr>
        <w:t xml:space="preserve"> </w:t>
      </w:r>
      <w:proofErr w:type="spellStart"/>
      <w:r w:rsidRPr="00515238">
        <w:rPr>
          <w:iCs/>
          <w:lang w:val="en-GB"/>
        </w:rPr>
        <w:t>iz</w:t>
      </w:r>
      <w:proofErr w:type="spellEnd"/>
      <w:r w:rsidRPr="00515238">
        <w:rPr>
          <w:iCs/>
          <w:lang w:val="en-GB"/>
        </w:rPr>
        <w:t xml:space="preserve"> 1999</w:t>
      </w:r>
      <w:r>
        <w:rPr>
          <w:iCs/>
          <w:lang w:val="en-GB"/>
        </w:rPr>
        <w:t xml:space="preserve">. </w:t>
      </w:r>
      <w:proofErr w:type="spellStart"/>
      <w:r>
        <w:rPr>
          <w:iCs/>
          <w:lang w:val="en-GB"/>
        </w:rPr>
        <w:t>godine</w:t>
      </w:r>
      <w:proofErr w:type="spellEnd"/>
      <w:r>
        <w:rPr>
          <w:iCs/>
          <w:lang w:val="en-GB"/>
        </w:rPr>
        <w:t xml:space="preserve">; </w:t>
      </w:r>
      <w:proofErr w:type="spellStart"/>
      <w:r>
        <w:rPr>
          <w:iCs/>
          <w:lang w:val="en-GB"/>
        </w:rPr>
        <w:t>Predstavka</w:t>
      </w:r>
      <w:proofErr w:type="spellEnd"/>
      <w:r>
        <w:rPr>
          <w:iCs/>
          <w:lang w:val="en-GB"/>
        </w:rPr>
        <w:t xml:space="preserve"> br. </w:t>
      </w:r>
      <w:r w:rsidRPr="00515238">
        <w:rPr>
          <w:iCs/>
          <w:lang w:val="en-GB"/>
        </w:rPr>
        <w:t>38432/97</w:t>
      </w:r>
      <w:r>
        <w:rPr>
          <w:iCs/>
          <w:lang w:val="en-GB"/>
        </w:rPr>
        <w:t xml:space="preserve">, </w:t>
      </w:r>
      <w:proofErr w:type="spellStart"/>
      <w:r>
        <w:rPr>
          <w:iCs/>
          <w:lang w:val="en-GB"/>
        </w:rPr>
        <w:t>presuda</w:t>
      </w:r>
      <w:proofErr w:type="spellEnd"/>
      <w:r>
        <w:rPr>
          <w:iCs/>
          <w:lang w:val="en-GB"/>
        </w:rPr>
        <w:t xml:space="preserve"> </w:t>
      </w:r>
      <w:proofErr w:type="spellStart"/>
      <w:r>
        <w:rPr>
          <w:iCs/>
          <w:lang w:val="en-GB"/>
        </w:rPr>
        <w:t>iz</w:t>
      </w:r>
      <w:proofErr w:type="spellEnd"/>
      <w:r>
        <w:rPr>
          <w:iCs/>
          <w:lang w:val="en-GB"/>
        </w:rPr>
        <w:t xml:space="preserve"> 2001. </w:t>
      </w:r>
      <w:proofErr w:type="spellStart"/>
      <w:r>
        <w:rPr>
          <w:iCs/>
          <w:lang w:val="en-GB"/>
        </w:rPr>
        <w:t>godine</w:t>
      </w:r>
      <w:proofErr w:type="spellEnd"/>
      <w:r>
        <w:rPr>
          <w:iCs/>
          <w:lang w:val="en-GB"/>
        </w:rPr>
        <w:t>.</w:t>
      </w:r>
      <w:r w:rsidRPr="00515238">
        <w:rPr>
          <w:i/>
          <w:iCs/>
        </w:rPr>
        <w:t> </w:t>
      </w:r>
      <w:r w:rsidRPr="00515238">
        <w:rPr>
          <w:i/>
          <w:iCs/>
          <w:lang w:val="en-GB"/>
        </w:rPr>
        <w:t xml:space="preserve"> </w:t>
      </w:r>
    </w:p>
  </w:footnote>
  <w:footnote w:id="13">
    <w:p w14:paraId="2E95964C" w14:textId="77777777" w:rsidR="00444116" w:rsidRPr="00810E25" w:rsidRDefault="00444116" w:rsidP="00444116">
      <w:pPr>
        <w:pStyle w:val="FootnoteText"/>
        <w:jc w:val="both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Predstavka</w:t>
      </w:r>
      <w:proofErr w:type="spellEnd"/>
      <w:r>
        <w:t xml:space="preserve"> br. 46117/99, </w:t>
      </w:r>
      <w:proofErr w:type="spellStart"/>
      <w:r>
        <w:t>presuda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2004. </w:t>
      </w:r>
      <w:proofErr w:type="spellStart"/>
      <w:r>
        <w:t>godine</w:t>
      </w:r>
      <w:proofErr w:type="spellEnd"/>
      <w:r>
        <w:t xml:space="preserve">. </w:t>
      </w:r>
      <w:r w:rsidRPr="00810E25">
        <w:rPr>
          <w:iCs/>
          <w:lang w:val="en-GB"/>
        </w:rPr>
        <w:t xml:space="preserve">Od </w:t>
      </w:r>
      <w:proofErr w:type="spellStart"/>
      <w:r w:rsidRPr="00810E25">
        <w:rPr>
          <w:iCs/>
          <w:lang w:val="en-GB"/>
        </w:rPr>
        <w:t>nespornog</w:t>
      </w:r>
      <w:proofErr w:type="spellEnd"/>
      <w:r w:rsidRPr="00810E25">
        <w:rPr>
          <w:iCs/>
          <w:lang w:val="en-GB"/>
        </w:rPr>
        <w:t xml:space="preserve"> je </w:t>
      </w:r>
      <w:proofErr w:type="spellStart"/>
      <w:r w:rsidRPr="00810E25">
        <w:rPr>
          <w:iCs/>
          <w:lang w:val="en-GB"/>
        </w:rPr>
        <w:t>značaja</w:t>
      </w:r>
      <w:proofErr w:type="spellEnd"/>
      <w:r w:rsidRPr="00810E25">
        <w:rPr>
          <w:iCs/>
          <w:lang w:val="en-GB"/>
        </w:rPr>
        <w:t xml:space="preserve"> da </w:t>
      </w:r>
      <w:proofErr w:type="spellStart"/>
      <w:r w:rsidRPr="00810E25">
        <w:rPr>
          <w:iCs/>
          <w:lang w:val="en-GB"/>
        </w:rPr>
        <w:t>javnost</w:t>
      </w:r>
      <w:proofErr w:type="spellEnd"/>
      <w:r w:rsidRPr="00810E25">
        <w:rPr>
          <w:iCs/>
          <w:lang w:val="en-GB"/>
        </w:rPr>
        <w:t xml:space="preserve"> </w:t>
      </w:r>
      <w:proofErr w:type="spellStart"/>
      <w:r w:rsidRPr="00810E25">
        <w:rPr>
          <w:iCs/>
          <w:lang w:val="en-GB"/>
        </w:rPr>
        <w:t>ima</w:t>
      </w:r>
      <w:proofErr w:type="spellEnd"/>
      <w:r w:rsidRPr="00810E25">
        <w:rPr>
          <w:iCs/>
          <w:lang w:val="en-GB"/>
        </w:rPr>
        <w:t xml:space="preserve"> </w:t>
      </w:r>
      <w:proofErr w:type="spellStart"/>
      <w:r w:rsidRPr="00810E25">
        <w:rPr>
          <w:iCs/>
          <w:lang w:val="en-GB"/>
        </w:rPr>
        <w:t>pristup</w:t>
      </w:r>
      <w:proofErr w:type="spellEnd"/>
      <w:r w:rsidRPr="00810E25">
        <w:rPr>
          <w:iCs/>
          <w:lang w:val="en-GB"/>
        </w:rPr>
        <w:t xml:space="preserve"> </w:t>
      </w:r>
      <w:proofErr w:type="spellStart"/>
      <w:r w:rsidRPr="00810E25">
        <w:rPr>
          <w:iCs/>
          <w:lang w:val="en-GB"/>
        </w:rPr>
        <w:t>rezultatima</w:t>
      </w:r>
      <w:proofErr w:type="spellEnd"/>
      <w:r w:rsidRPr="00810E25">
        <w:rPr>
          <w:iCs/>
          <w:lang w:val="en-GB"/>
        </w:rPr>
        <w:t xml:space="preserve"> </w:t>
      </w:r>
      <w:proofErr w:type="spellStart"/>
      <w:r w:rsidRPr="00810E25">
        <w:rPr>
          <w:iCs/>
          <w:lang w:val="en-GB"/>
        </w:rPr>
        <w:t>studija</w:t>
      </w:r>
      <w:proofErr w:type="spellEnd"/>
      <w:r w:rsidRPr="00810E25">
        <w:rPr>
          <w:iCs/>
          <w:lang w:val="en-GB"/>
        </w:rPr>
        <w:t xml:space="preserve"> </w:t>
      </w:r>
      <w:proofErr w:type="spellStart"/>
      <w:r w:rsidRPr="00810E25">
        <w:rPr>
          <w:iCs/>
          <w:lang w:val="en-GB"/>
        </w:rPr>
        <w:t>i</w:t>
      </w:r>
      <w:proofErr w:type="spellEnd"/>
      <w:r w:rsidRPr="00810E25">
        <w:rPr>
          <w:iCs/>
          <w:lang w:val="en-GB"/>
        </w:rPr>
        <w:t xml:space="preserve"> </w:t>
      </w:r>
      <w:proofErr w:type="spellStart"/>
      <w:r w:rsidRPr="00810E25">
        <w:rPr>
          <w:iCs/>
          <w:lang w:val="en-GB"/>
        </w:rPr>
        <w:t>informacijama</w:t>
      </w:r>
      <w:proofErr w:type="spellEnd"/>
      <w:r w:rsidRPr="00810E25">
        <w:rPr>
          <w:iCs/>
          <w:lang w:val="en-GB"/>
        </w:rPr>
        <w:t xml:space="preserve"> </w:t>
      </w:r>
      <w:proofErr w:type="spellStart"/>
      <w:r w:rsidRPr="00810E25">
        <w:rPr>
          <w:iCs/>
          <w:lang w:val="en-GB"/>
        </w:rPr>
        <w:t>koje</w:t>
      </w:r>
      <w:proofErr w:type="spellEnd"/>
      <w:r w:rsidRPr="00810E25">
        <w:rPr>
          <w:iCs/>
          <w:lang w:val="en-GB"/>
        </w:rPr>
        <w:t xml:space="preserve"> </w:t>
      </w:r>
      <w:proofErr w:type="spellStart"/>
      <w:r w:rsidRPr="00810E25">
        <w:rPr>
          <w:iCs/>
          <w:lang w:val="en-GB"/>
        </w:rPr>
        <w:t>su</w:t>
      </w:r>
      <w:proofErr w:type="spellEnd"/>
      <w:r w:rsidRPr="00810E25">
        <w:rPr>
          <w:iCs/>
          <w:lang w:val="en-GB"/>
        </w:rPr>
        <w:t xml:space="preserve"> </w:t>
      </w:r>
      <w:proofErr w:type="spellStart"/>
      <w:r w:rsidRPr="00810E25">
        <w:rPr>
          <w:iCs/>
          <w:lang w:val="en-GB"/>
        </w:rPr>
        <w:t>im</w:t>
      </w:r>
      <w:proofErr w:type="spellEnd"/>
      <w:r w:rsidRPr="00810E25">
        <w:rPr>
          <w:iCs/>
          <w:lang w:val="en-GB"/>
        </w:rPr>
        <w:t xml:space="preserve"> </w:t>
      </w:r>
      <w:proofErr w:type="spellStart"/>
      <w:r w:rsidRPr="00810E25">
        <w:rPr>
          <w:iCs/>
          <w:lang w:val="en-GB"/>
        </w:rPr>
        <w:t>neophodne</w:t>
      </w:r>
      <w:proofErr w:type="spellEnd"/>
      <w:r w:rsidRPr="00810E25">
        <w:rPr>
          <w:iCs/>
          <w:lang w:val="en-GB"/>
        </w:rPr>
        <w:t xml:space="preserve"> da bi </w:t>
      </w:r>
      <w:proofErr w:type="spellStart"/>
      <w:r w:rsidRPr="00810E25">
        <w:rPr>
          <w:iCs/>
          <w:lang w:val="en-GB"/>
        </w:rPr>
        <w:t>procijenili</w:t>
      </w:r>
      <w:proofErr w:type="spellEnd"/>
      <w:r w:rsidRPr="00810E25">
        <w:rPr>
          <w:iCs/>
          <w:lang w:val="en-GB"/>
        </w:rPr>
        <w:t xml:space="preserve"> </w:t>
      </w:r>
      <w:proofErr w:type="spellStart"/>
      <w:r w:rsidRPr="00810E25">
        <w:rPr>
          <w:iCs/>
          <w:lang w:val="en-GB"/>
        </w:rPr>
        <w:t>opasnost</w:t>
      </w:r>
      <w:proofErr w:type="spellEnd"/>
      <w:r w:rsidRPr="00810E25">
        <w:rPr>
          <w:iCs/>
          <w:lang w:val="en-GB"/>
        </w:rPr>
        <w:t xml:space="preserve"> </w:t>
      </w:r>
      <w:proofErr w:type="spellStart"/>
      <w:r w:rsidRPr="00810E25">
        <w:rPr>
          <w:iCs/>
          <w:lang w:val="en-GB"/>
        </w:rPr>
        <w:t>kojoj</w:t>
      </w:r>
      <w:proofErr w:type="spellEnd"/>
      <w:r w:rsidRPr="00810E25">
        <w:rPr>
          <w:iCs/>
          <w:lang w:val="en-GB"/>
        </w:rPr>
        <w:t xml:space="preserve"> </w:t>
      </w:r>
      <w:proofErr w:type="spellStart"/>
      <w:r w:rsidRPr="00810E25">
        <w:rPr>
          <w:iCs/>
          <w:lang w:val="en-GB"/>
        </w:rPr>
        <w:t>su</w:t>
      </w:r>
      <w:proofErr w:type="spellEnd"/>
      <w:r w:rsidRPr="00810E25">
        <w:rPr>
          <w:iCs/>
          <w:lang w:val="en-GB"/>
        </w:rPr>
        <w:t xml:space="preserve"> </w:t>
      </w:r>
      <w:proofErr w:type="spellStart"/>
      <w:r w:rsidRPr="00810E25">
        <w:rPr>
          <w:iCs/>
          <w:lang w:val="en-GB"/>
        </w:rPr>
        <w:t>izloženi</w:t>
      </w:r>
      <w:proofErr w:type="spellEnd"/>
      <w:r>
        <w:rPr>
          <w:iCs/>
          <w:lang w:val="en-GB"/>
        </w:rPr>
        <w:t xml:space="preserve"> (</w:t>
      </w:r>
      <w:proofErr w:type="spellStart"/>
      <w:r>
        <w:rPr>
          <w:iCs/>
          <w:lang w:val="en-GB"/>
        </w:rPr>
        <w:t>paragraf</w:t>
      </w:r>
      <w:proofErr w:type="spellEnd"/>
      <w:r>
        <w:rPr>
          <w:iCs/>
          <w:lang w:val="en-GB"/>
        </w:rPr>
        <w:t xml:space="preserve"> 119).</w:t>
      </w:r>
    </w:p>
  </w:footnote>
  <w:footnote w:id="14">
    <w:p w14:paraId="3BB3B082" w14:textId="77777777" w:rsidR="00444116" w:rsidRPr="009F1938" w:rsidRDefault="00444116" w:rsidP="00444116">
      <w:pPr>
        <w:pStyle w:val="FootnoteText"/>
        <w:jc w:val="both"/>
        <w:rPr>
          <w:iCs/>
          <w:lang w:val="en-GB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810E25">
        <w:rPr>
          <w:iCs/>
          <w:lang w:val="en-GB"/>
        </w:rPr>
        <w:t>Predstavka</w:t>
      </w:r>
      <w:proofErr w:type="spellEnd"/>
      <w:r w:rsidRPr="00810E25">
        <w:rPr>
          <w:iCs/>
          <w:lang w:val="en-GB"/>
        </w:rPr>
        <w:t xml:space="preserve"> br. 67021/01, </w:t>
      </w:r>
      <w:proofErr w:type="spellStart"/>
      <w:r w:rsidRPr="00810E25">
        <w:rPr>
          <w:iCs/>
          <w:lang w:val="en-GB"/>
        </w:rPr>
        <w:t>presuda</w:t>
      </w:r>
      <w:proofErr w:type="spellEnd"/>
      <w:r w:rsidRPr="00810E25">
        <w:rPr>
          <w:iCs/>
          <w:lang w:val="en-GB"/>
        </w:rPr>
        <w:t xml:space="preserve"> </w:t>
      </w:r>
      <w:proofErr w:type="spellStart"/>
      <w:r>
        <w:rPr>
          <w:iCs/>
          <w:lang w:val="en-GB"/>
        </w:rPr>
        <w:t>iz</w:t>
      </w:r>
      <w:proofErr w:type="spellEnd"/>
      <w:r>
        <w:rPr>
          <w:iCs/>
          <w:lang w:val="en-GB"/>
        </w:rPr>
        <w:t xml:space="preserve"> </w:t>
      </w:r>
      <w:r w:rsidRPr="00810E25">
        <w:rPr>
          <w:iCs/>
          <w:lang w:val="en-GB"/>
        </w:rPr>
        <w:t>2009</w:t>
      </w:r>
      <w:r>
        <w:rPr>
          <w:iCs/>
          <w:lang w:val="en-GB"/>
        </w:rPr>
        <w:t xml:space="preserve">. </w:t>
      </w:r>
      <w:proofErr w:type="spellStart"/>
      <w:r>
        <w:rPr>
          <w:iCs/>
          <w:lang w:val="en-GB"/>
        </w:rPr>
        <w:t>godine</w:t>
      </w:r>
      <w:proofErr w:type="spellEnd"/>
      <w:r w:rsidRPr="00810E25">
        <w:rPr>
          <w:iCs/>
          <w:lang w:val="en-GB"/>
        </w:rPr>
        <w:t>.</w:t>
      </w:r>
      <w:r>
        <w:rPr>
          <w:iCs/>
          <w:lang w:val="en-GB"/>
        </w:rPr>
        <w:t xml:space="preserve"> U </w:t>
      </w:r>
      <w:proofErr w:type="spellStart"/>
      <w:r>
        <w:rPr>
          <w:iCs/>
          <w:lang w:val="en-GB"/>
        </w:rPr>
        <w:t>ovom</w:t>
      </w:r>
      <w:proofErr w:type="spellEnd"/>
      <w:r>
        <w:rPr>
          <w:iCs/>
          <w:lang w:val="en-GB"/>
        </w:rPr>
        <w:t xml:space="preserve"> </w:t>
      </w:r>
      <w:proofErr w:type="spellStart"/>
      <w:r>
        <w:rPr>
          <w:iCs/>
          <w:lang w:val="en-GB"/>
        </w:rPr>
        <w:t>slučaju</w:t>
      </w:r>
      <w:proofErr w:type="spellEnd"/>
      <w:r>
        <w:rPr>
          <w:iCs/>
          <w:lang w:val="en-GB"/>
        </w:rPr>
        <w:t xml:space="preserve"> </w:t>
      </w:r>
      <w:r w:rsidRPr="00810E25">
        <w:rPr>
          <w:iCs/>
          <w:lang w:val="en-GB"/>
        </w:rPr>
        <w:t xml:space="preserve">Sud je </w:t>
      </w:r>
      <w:proofErr w:type="spellStart"/>
      <w:r w:rsidRPr="00810E25">
        <w:rPr>
          <w:iCs/>
          <w:lang w:val="en-GB"/>
        </w:rPr>
        <w:t>utvrdio</w:t>
      </w:r>
      <w:proofErr w:type="spellEnd"/>
      <w:r w:rsidRPr="00810E25">
        <w:rPr>
          <w:iCs/>
          <w:lang w:val="en-GB"/>
        </w:rPr>
        <w:t xml:space="preserve"> </w:t>
      </w:r>
      <w:proofErr w:type="spellStart"/>
      <w:r w:rsidRPr="00810E25">
        <w:rPr>
          <w:iCs/>
          <w:lang w:val="en-GB"/>
        </w:rPr>
        <w:t>povredu</w:t>
      </w:r>
      <w:proofErr w:type="spellEnd"/>
      <w:r w:rsidRPr="00810E25">
        <w:rPr>
          <w:iCs/>
          <w:lang w:val="en-GB"/>
        </w:rPr>
        <w:t xml:space="preserve"> </w:t>
      </w:r>
      <w:proofErr w:type="spellStart"/>
      <w:r w:rsidRPr="00810E25">
        <w:rPr>
          <w:iCs/>
          <w:lang w:val="en-GB"/>
        </w:rPr>
        <w:t>člana</w:t>
      </w:r>
      <w:proofErr w:type="spellEnd"/>
      <w:r w:rsidRPr="00810E25">
        <w:rPr>
          <w:iCs/>
          <w:lang w:val="en-GB"/>
        </w:rPr>
        <w:t xml:space="preserve"> 8 </w:t>
      </w:r>
      <w:proofErr w:type="spellStart"/>
      <w:r w:rsidRPr="00810E25">
        <w:rPr>
          <w:iCs/>
          <w:lang w:val="en-GB"/>
        </w:rPr>
        <w:t>Konvencije</w:t>
      </w:r>
      <w:proofErr w:type="spellEnd"/>
      <w:r w:rsidRPr="00810E25">
        <w:rPr>
          <w:iCs/>
          <w:lang w:val="en-GB"/>
        </w:rPr>
        <w:t xml:space="preserve"> </w:t>
      </w:r>
      <w:proofErr w:type="spellStart"/>
      <w:r w:rsidRPr="00810E25">
        <w:rPr>
          <w:iCs/>
          <w:lang w:val="en-GB"/>
        </w:rPr>
        <w:t>jer</w:t>
      </w:r>
      <w:proofErr w:type="spellEnd"/>
      <w:r w:rsidRPr="00810E25">
        <w:rPr>
          <w:iCs/>
          <w:lang w:val="en-GB"/>
        </w:rPr>
        <w:t xml:space="preserve"> </w:t>
      </w:r>
      <w:proofErr w:type="spellStart"/>
      <w:r w:rsidRPr="00810E25">
        <w:rPr>
          <w:iCs/>
          <w:lang w:val="en-GB"/>
        </w:rPr>
        <w:t>nije</w:t>
      </w:r>
      <w:proofErr w:type="spellEnd"/>
      <w:r w:rsidRPr="00810E25">
        <w:rPr>
          <w:iCs/>
          <w:lang w:val="en-GB"/>
        </w:rPr>
        <w:t xml:space="preserve"> </w:t>
      </w:r>
      <w:proofErr w:type="spellStart"/>
      <w:r w:rsidRPr="00810E25">
        <w:rPr>
          <w:iCs/>
          <w:lang w:val="en-GB"/>
        </w:rPr>
        <w:t>izvršena</w:t>
      </w:r>
      <w:proofErr w:type="spellEnd"/>
      <w:r w:rsidRPr="00810E25">
        <w:rPr>
          <w:iCs/>
          <w:lang w:val="en-GB"/>
        </w:rPr>
        <w:t xml:space="preserve"> </w:t>
      </w:r>
      <w:proofErr w:type="spellStart"/>
      <w:r w:rsidRPr="00810E25">
        <w:rPr>
          <w:iCs/>
          <w:lang w:val="en-GB"/>
        </w:rPr>
        <w:t>adekvatna</w:t>
      </w:r>
      <w:proofErr w:type="spellEnd"/>
      <w:r w:rsidRPr="00810E25">
        <w:rPr>
          <w:iCs/>
          <w:lang w:val="en-GB"/>
        </w:rPr>
        <w:t xml:space="preserve"> </w:t>
      </w:r>
      <w:proofErr w:type="spellStart"/>
      <w:r w:rsidRPr="00810E25">
        <w:rPr>
          <w:iCs/>
          <w:lang w:val="en-GB"/>
        </w:rPr>
        <w:t>procjena</w:t>
      </w:r>
      <w:proofErr w:type="spellEnd"/>
      <w:r w:rsidRPr="00810E25">
        <w:rPr>
          <w:iCs/>
          <w:lang w:val="en-GB"/>
        </w:rPr>
        <w:t xml:space="preserve"> </w:t>
      </w:r>
      <w:proofErr w:type="spellStart"/>
      <w:r w:rsidRPr="00810E25">
        <w:rPr>
          <w:iCs/>
          <w:lang w:val="en-GB"/>
        </w:rPr>
        <w:t>rizika</w:t>
      </w:r>
      <w:proofErr w:type="spellEnd"/>
      <w:r w:rsidRPr="00810E25">
        <w:rPr>
          <w:iCs/>
          <w:lang w:val="en-GB"/>
        </w:rPr>
        <w:t xml:space="preserve"> </w:t>
      </w:r>
      <w:proofErr w:type="spellStart"/>
      <w:r w:rsidRPr="00810E25">
        <w:rPr>
          <w:iCs/>
          <w:lang w:val="en-GB"/>
        </w:rPr>
        <w:t>i</w:t>
      </w:r>
      <w:proofErr w:type="spellEnd"/>
      <w:r w:rsidRPr="00810E25">
        <w:rPr>
          <w:iCs/>
          <w:lang w:val="en-GB"/>
        </w:rPr>
        <w:t xml:space="preserve"> </w:t>
      </w:r>
      <w:proofErr w:type="spellStart"/>
      <w:r w:rsidRPr="00810E25">
        <w:rPr>
          <w:iCs/>
          <w:lang w:val="en-GB"/>
        </w:rPr>
        <w:t>posljedica</w:t>
      </w:r>
      <w:proofErr w:type="spellEnd"/>
      <w:r w:rsidRPr="00810E25">
        <w:rPr>
          <w:iCs/>
          <w:lang w:val="en-GB"/>
        </w:rPr>
        <w:t xml:space="preserve"> </w:t>
      </w:r>
      <w:proofErr w:type="spellStart"/>
      <w:r w:rsidRPr="00810E25">
        <w:rPr>
          <w:iCs/>
          <w:lang w:val="en-GB"/>
        </w:rPr>
        <w:t>koje</w:t>
      </w:r>
      <w:proofErr w:type="spellEnd"/>
      <w:r w:rsidRPr="00810E25">
        <w:rPr>
          <w:iCs/>
          <w:lang w:val="en-GB"/>
        </w:rPr>
        <w:t xml:space="preserve"> </w:t>
      </w:r>
      <w:proofErr w:type="spellStart"/>
      <w:r w:rsidRPr="00810E25">
        <w:rPr>
          <w:iCs/>
          <w:lang w:val="en-GB"/>
        </w:rPr>
        <w:t>mogu</w:t>
      </w:r>
      <w:proofErr w:type="spellEnd"/>
      <w:r w:rsidRPr="00810E25">
        <w:rPr>
          <w:iCs/>
          <w:lang w:val="en-GB"/>
        </w:rPr>
        <w:t xml:space="preserve"> </w:t>
      </w:r>
      <w:proofErr w:type="spellStart"/>
      <w:r w:rsidRPr="00810E25">
        <w:rPr>
          <w:iCs/>
          <w:lang w:val="en-GB"/>
        </w:rPr>
        <w:t>izazvati</w:t>
      </w:r>
      <w:proofErr w:type="spellEnd"/>
      <w:r w:rsidRPr="00810E25">
        <w:rPr>
          <w:iCs/>
          <w:lang w:val="en-GB"/>
        </w:rPr>
        <w:t xml:space="preserve"> </w:t>
      </w:r>
      <w:proofErr w:type="spellStart"/>
      <w:r w:rsidRPr="00810E25">
        <w:rPr>
          <w:iCs/>
          <w:lang w:val="en-GB"/>
        </w:rPr>
        <w:t>opasne</w:t>
      </w:r>
      <w:proofErr w:type="spellEnd"/>
      <w:r w:rsidRPr="00810E25">
        <w:rPr>
          <w:iCs/>
          <w:lang w:val="en-GB"/>
        </w:rPr>
        <w:t xml:space="preserve"> </w:t>
      </w:r>
      <w:proofErr w:type="spellStart"/>
      <w:r w:rsidRPr="00810E25">
        <w:rPr>
          <w:iCs/>
          <w:lang w:val="en-GB"/>
        </w:rPr>
        <w:t>industrijske</w:t>
      </w:r>
      <w:proofErr w:type="spellEnd"/>
      <w:r w:rsidRPr="00810E25">
        <w:rPr>
          <w:iCs/>
          <w:lang w:val="en-GB"/>
        </w:rPr>
        <w:t xml:space="preserve"> </w:t>
      </w:r>
      <w:proofErr w:type="spellStart"/>
      <w:r w:rsidRPr="00810E25">
        <w:rPr>
          <w:iCs/>
          <w:lang w:val="en-GB"/>
        </w:rPr>
        <w:t>aktivnosti</w:t>
      </w:r>
      <w:proofErr w:type="spellEnd"/>
      <w:r w:rsidRPr="00810E25">
        <w:rPr>
          <w:iCs/>
          <w:lang w:val="en-GB"/>
        </w:rPr>
        <w:t xml:space="preserve"> </w:t>
      </w:r>
      <w:proofErr w:type="spellStart"/>
      <w:r w:rsidRPr="00810E25">
        <w:rPr>
          <w:iCs/>
          <w:lang w:val="en-GB"/>
        </w:rPr>
        <w:t>ali</w:t>
      </w:r>
      <w:proofErr w:type="spellEnd"/>
      <w:r w:rsidRPr="00810E25">
        <w:rPr>
          <w:iCs/>
          <w:lang w:val="en-GB"/>
        </w:rPr>
        <w:t xml:space="preserve"> </w:t>
      </w:r>
      <w:proofErr w:type="spellStart"/>
      <w:r w:rsidRPr="00810E25">
        <w:rPr>
          <w:iCs/>
          <w:lang w:val="en-GB"/>
        </w:rPr>
        <w:t>i</w:t>
      </w:r>
      <w:proofErr w:type="spellEnd"/>
      <w:r w:rsidRPr="00810E25">
        <w:rPr>
          <w:iCs/>
          <w:lang w:val="en-GB"/>
        </w:rPr>
        <w:t xml:space="preserve"> </w:t>
      </w:r>
      <w:proofErr w:type="spellStart"/>
      <w:r w:rsidRPr="00810E25">
        <w:rPr>
          <w:iCs/>
          <w:lang w:val="en-GB"/>
        </w:rPr>
        <w:t>obaveza</w:t>
      </w:r>
      <w:proofErr w:type="spellEnd"/>
      <w:r w:rsidRPr="00810E25">
        <w:rPr>
          <w:iCs/>
          <w:lang w:val="en-GB"/>
        </w:rPr>
        <w:t xml:space="preserve"> </w:t>
      </w:r>
      <w:proofErr w:type="spellStart"/>
      <w:r w:rsidRPr="00810E25">
        <w:rPr>
          <w:iCs/>
          <w:lang w:val="en-GB"/>
        </w:rPr>
        <w:t>informisanja</w:t>
      </w:r>
      <w:proofErr w:type="spellEnd"/>
      <w:r w:rsidRPr="00810E25">
        <w:rPr>
          <w:iCs/>
          <w:lang w:val="en-GB"/>
        </w:rPr>
        <w:t xml:space="preserve"> </w:t>
      </w:r>
      <w:proofErr w:type="spellStart"/>
      <w:r w:rsidRPr="00810E25">
        <w:rPr>
          <w:iCs/>
          <w:lang w:val="en-GB"/>
        </w:rPr>
        <w:t>javnosti</w:t>
      </w:r>
      <w:proofErr w:type="spellEnd"/>
      <w:r w:rsidRPr="00810E25">
        <w:rPr>
          <w:iCs/>
          <w:lang w:val="en-GB"/>
        </w:rPr>
        <w:t>.</w:t>
      </w:r>
    </w:p>
  </w:footnote>
  <w:footnote w:id="15">
    <w:p w14:paraId="77874F54" w14:textId="77777777" w:rsidR="00444116" w:rsidRPr="009F1938" w:rsidRDefault="00444116" w:rsidP="00444116">
      <w:pPr>
        <w:pStyle w:val="FootnoteText"/>
        <w:jc w:val="both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9F1938">
        <w:rPr>
          <w:iCs/>
          <w:lang w:val="en-GB"/>
        </w:rPr>
        <w:t>Predstavka</w:t>
      </w:r>
      <w:proofErr w:type="spellEnd"/>
      <w:r w:rsidRPr="009F1938">
        <w:rPr>
          <w:iCs/>
          <w:lang w:val="en-GB"/>
        </w:rPr>
        <w:t xml:space="preserve"> br.</w:t>
      </w:r>
      <w:r>
        <w:rPr>
          <w:iCs/>
          <w:lang w:val="en-GB"/>
        </w:rPr>
        <w:t xml:space="preserve"> 48939/99, </w:t>
      </w:r>
      <w:proofErr w:type="spellStart"/>
      <w:r>
        <w:rPr>
          <w:iCs/>
          <w:lang w:val="en-GB"/>
        </w:rPr>
        <w:t>presuda</w:t>
      </w:r>
      <w:proofErr w:type="spellEnd"/>
      <w:r>
        <w:rPr>
          <w:iCs/>
          <w:lang w:val="en-GB"/>
        </w:rPr>
        <w:t xml:space="preserve"> </w:t>
      </w:r>
      <w:proofErr w:type="spellStart"/>
      <w:r>
        <w:rPr>
          <w:iCs/>
          <w:lang w:val="en-GB"/>
        </w:rPr>
        <w:t>Vijeća</w:t>
      </w:r>
      <w:proofErr w:type="spellEnd"/>
      <w:r>
        <w:rPr>
          <w:iCs/>
          <w:lang w:val="en-GB"/>
        </w:rPr>
        <w:t xml:space="preserve"> </w:t>
      </w:r>
      <w:proofErr w:type="spellStart"/>
      <w:r>
        <w:rPr>
          <w:iCs/>
          <w:lang w:val="en-GB"/>
        </w:rPr>
        <w:t>iz</w:t>
      </w:r>
      <w:proofErr w:type="spellEnd"/>
      <w:r>
        <w:rPr>
          <w:iCs/>
          <w:lang w:val="en-GB"/>
        </w:rPr>
        <w:t xml:space="preserve"> 2002. </w:t>
      </w:r>
      <w:proofErr w:type="spellStart"/>
      <w:r>
        <w:rPr>
          <w:iCs/>
          <w:lang w:val="en-GB"/>
        </w:rPr>
        <w:t>i</w:t>
      </w:r>
      <w:proofErr w:type="spellEnd"/>
      <w:r>
        <w:rPr>
          <w:iCs/>
          <w:lang w:val="en-GB"/>
        </w:rPr>
        <w:t xml:space="preserve"> </w:t>
      </w:r>
      <w:proofErr w:type="spellStart"/>
      <w:r>
        <w:rPr>
          <w:iCs/>
          <w:lang w:val="en-GB"/>
        </w:rPr>
        <w:t>presuda</w:t>
      </w:r>
      <w:proofErr w:type="spellEnd"/>
      <w:r>
        <w:rPr>
          <w:iCs/>
          <w:lang w:val="en-GB"/>
        </w:rPr>
        <w:t xml:space="preserve"> </w:t>
      </w:r>
      <w:proofErr w:type="spellStart"/>
      <w:r>
        <w:rPr>
          <w:iCs/>
          <w:lang w:val="en-GB"/>
        </w:rPr>
        <w:t>Velikog</w:t>
      </w:r>
      <w:proofErr w:type="spellEnd"/>
      <w:r>
        <w:rPr>
          <w:iCs/>
          <w:lang w:val="en-GB"/>
        </w:rPr>
        <w:t xml:space="preserve"> </w:t>
      </w:r>
      <w:proofErr w:type="spellStart"/>
      <w:r>
        <w:rPr>
          <w:iCs/>
          <w:lang w:val="en-GB"/>
        </w:rPr>
        <w:t>vijeća</w:t>
      </w:r>
      <w:proofErr w:type="spellEnd"/>
      <w:r>
        <w:rPr>
          <w:iCs/>
          <w:lang w:val="en-GB"/>
        </w:rPr>
        <w:t xml:space="preserve"> </w:t>
      </w:r>
      <w:proofErr w:type="spellStart"/>
      <w:r>
        <w:rPr>
          <w:iCs/>
          <w:lang w:val="en-GB"/>
        </w:rPr>
        <w:t>iz</w:t>
      </w:r>
      <w:proofErr w:type="spellEnd"/>
      <w:r>
        <w:rPr>
          <w:iCs/>
          <w:lang w:val="en-GB"/>
        </w:rPr>
        <w:t xml:space="preserve"> 2004 </w:t>
      </w:r>
      <w:proofErr w:type="spellStart"/>
      <w:r>
        <w:rPr>
          <w:iCs/>
          <w:lang w:val="en-GB"/>
        </w:rPr>
        <w:t>godine</w:t>
      </w:r>
      <w:proofErr w:type="spellEnd"/>
      <w:r>
        <w:rPr>
          <w:iCs/>
          <w:lang w:val="en-GB"/>
        </w:rPr>
        <w:t xml:space="preserve">, </w:t>
      </w:r>
      <w:proofErr w:type="spellStart"/>
      <w:r>
        <w:rPr>
          <w:iCs/>
          <w:lang w:val="en-GB"/>
        </w:rPr>
        <w:t>paragraf</w:t>
      </w:r>
      <w:proofErr w:type="spellEnd"/>
      <w:r>
        <w:rPr>
          <w:iCs/>
          <w:lang w:val="en-GB"/>
        </w:rPr>
        <w:t xml:space="preserve"> 108.</w:t>
      </w:r>
    </w:p>
  </w:footnote>
  <w:footnote w:id="16">
    <w:p w14:paraId="1CFB3D22" w14:textId="77777777" w:rsidR="00444116" w:rsidRPr="000237DE" w:rsidRDefault="00444116" w:rsidP="00444116">
      <w:pPr>
        <w:pStyle w:val="FootnoteText"/>
        <w:jc w:val="both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Predstavke</w:t>
      </w:r>
      <w:proofErr w:type="spellEnd"/>
      <w:r>
        <w:t xml:space="preserve"> br. </w:t>
      </w:r>
      <w:r w:rsidRPr="00C0016C">
        <w:t xml:space="preserve">15339/02, 21166/02, 20058/02, 11673/02 </w:t>
      </w:r>
      <w:proofErr w:type="spellStart"/>
      <w:r>
        <w:t>i</w:t>
      </w:r>
      <w:proofErr w:type="spellEnd"/>
      <w:r w:rsidRPr="00C0016C">
        <w:t xml:space="preserve"> 15343/02</w:t>
      </w:r>
      <w:r>
        <w:t xml:space="preserve">, </w:t>
      </w:r>
      <w:proofErr w:type="spellStart"/>
      <w:r>
        <w:t>presuda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2008. </w:t>
      </w:r>
      <w:proofErr w:type="spellStart"/>
      <w:r>
        <w:t>godine</w:t>
      </w:r>
      <w:proofErr w:type="spellEnd"/>
      <w:r>
        <w:t>.</w:t>
      </w:r>
      <w:r w:rsidRPr="00C0016C">
        <w:t xml:space="preserve"> </w:t>
      </w:r>
      <w:proofErr w:type="spellStart"/>
      <w:r>
        <w:t>Vidi</w:t>
      </w:r>
      <w:proofErr w:type="spellEnd"/>
      <w:r>
        <w:t xml:space="preserve"> </w:t>
      </w:r>
      <w:proofErr w:type="spellStart"/>
      <w:r>
        <w:rPr>
          <w:iCs/>
          <w:lang w:val="en-GB"/>
        </w:rPr>
        <w:t>paragrafe</w:t>
      </w:r>
      <w:proofErr w:type="spellEnd"/>
      <w:r w:rsidRPr="00666EA4">
        <w:rPr>
          <w:iCs/>
          <w:lang w:val="en-GB"/>
        </w:rPr>
        <w:t xml:space="preserve"> 128, 131-133</w:t>
      </w:r>
      <w:r>
        <w:rPr>
          <w:iCs/>
          <w:lang w:val="en-GB"/>
        </w:rPr>
        <w:t xml:space="preserve"> </w:t>
      </w:r>
      <w:proofErr w:type="spellStart"/>
      <w:r>
        <w:rPr>
          <w:iCs/>
          <w:lang w:val="en-GB"/>
        </w:rPr>
        <w:t>presude</w:t>
      </w:r>
      <w:proofErr w:type="spellEnd"/>
      <w:r>
        <w:rPr>
          <w:iCs/>
          <w:lang w:val="en-GB"/>
        </w:rPr>
        <w:t>.</w:t>
      </w:r>
      <w:r w:rsidRPr="000237DE">
        <w:rPr>
          <w:iCs/>
          <w:lang w:val="en-GB"/>
        </w:rPr>
        <w:t xml:space="preserve"> </w:t>
      </w:r>
      <w:r w:rsidRPr="00666EA4">
        <w:rPr>
          <w:iCs/>
          <w:lang w:val="en-GB"/>
        </w:rPr>
        <w:t xml:space="preserve">U </w:t>
      </w:r>
      <w:proofErr w:type="spellStart"/>
      <w:r w:rsidRPr="00666EA4">
        <w:rPr>
          <w:iCs/>
          <w:lang w:val="en-GB"/>
        </w:rPr>
        <w:t>ovom</w:t>
      </w:r>
      <w:proofErr w:type="spellEnd"/>
      <w:r w:rsidRPr="00666EA4">
        <w:rPr>
          <w:iCs/>
          <w:lang w:val="en-GB"/>
        </w:rPr>
        <w:t xml:space="preserve"> </w:t>
      </w:r>
      <w:proofErr w:type="spellStart"/>
      <w:r w:rsidRPr="00666EA4">
        <w:rPr>
          <w:iCs/>
          <w:lang w:val="en-GB"/>
        </w:rPr>
        <w:t>slučaju</w:t>
      </w:r>
      <w:proofErr w:type="spellEnd"/>
      <w:r w:rsidRPr="00666EA4">
        <w:rPr>
          <w:iCs/>
          <w:lang w:val="en-GB"/>
        </w:rPr>
        <w:t xml:space="preserve">, </w:t>
      </w:r>
      <w:proofErr w:type="spellStart"/>
      <w:r w:rsidRPr="00666EA4">
        <w:rPr>
          <w:iCs/>
          <w:lang w:val="en-GB"/>
        </w:rPr>
        <w:t>nacionalno</w:t>
      </w:r>
      <w:proofErr w:type="spellEnd"/>
      <w:r w:rsidRPr="00666EA4">
        <w:rPr>
          <w:iCs/>
          <w:lang w:val="en-GB"/>
        </w:rPr>
        <w:t xml:space="preserve"> </w:t>
      </w:r>
      <w:proofErr w:type="spellStart"/>
      <w:r w:rsidRPr="00666EA4">
        <w:rPr>
          <w:iCs/>
          <w:lang w:val="en-GB"/>
        </w:rPr>
        <w:t>zak</w:t>
      </w:r>
      <w:r>
        <w:rPr>
          <w:iCs/>
          <w:lang w:val="en-GB"/>
        </w:rPr>
        <w:t>onodavstvo</w:t>
      </w:r>
      <w:proofErr w:type="spellEnd"/>
      <w:r>
        <w:rPr>
          <w:iCs/>
          <w:lang w:val="en-GB"/>
        </w:rPr>
        <w:t xml:space="preserve"> </w:t>
      </w:r>
      <w:proofErr w:type="spellStart"/>
      <w:r>
        <w:rPr>
          <w:iCs/>
          <w:lang w:val="en-GB"/>
        </w:rPr>
        <w:t>predviđa</w:t>
      </w:r>
      <w:proofErr w:type="spellEnd"/>
      <w:r>
        <w:rPr>
          <w:iCs/>
          <w:lang w:val="en-GB"/>
        </w:rPr>
        <w:t xml:space="preserve"> </w:t>
      </w:r>
      <w:proofErr w:type="spellStart"/>
      <w:r>
        <w:rPr>
          <w:iCs/>
          <w:lang w:val="en-GB"/>
        </w:rPr>
        <w:t>obavezu</w:t>
      </w:r>
      <w:proofErr w:type="spellEnd"/>
      <w:r>
        <w:rPr>
          <w:iCs/>
          <w:lang w:val="en-GB"/>
        </w:rPr>
        <w:t xml:space="preserve"> za </w:t>
      </w:r>
      <w:proofErr w:type="spellStart"/>
      <w:r w:rsidRPr="00666EA4">
        <w:rPr>
          <w:iCs/>
          <w:lang w:val="en-GB"/>
        </w:rPr>
        <w:t>savezne</w:t>
      </w:r>
      <w:proofErr w:type="spellEnd"/>
      <w:r w:rsidRPr="00666EA4">
        <w:rPr>
          <w:iCs/>
          <w:lang w:val="en-GB"/>
        </w:rPr>
        <w:t xml:space="preserve">, </w:t>
      </w:r>
      <w:proofErr w:type="spellStart"/>
      <w:r w:rsidRPr="00666EA4">
        <w:rPr>
          <w:iCs/>
          <w:lang w:val="en-GB"/>
        </w:rPr>
        <w:t>regionalne</w:t>
      </w:r>
      <w:proofErr w:type="spellEnd"/>
      <w:r w:rsidRPr="00666EA4">
        <w:rPr>
          <w:iCs/>
          <w:lang w:val="en-GB"/>
        </w:rPr>
        <w:t xml:space="preserve"> </w:t>
      </w:r>
      <w:proofErr w:type="spellStart"/>
      <w:r w:rsidRPr="00666EA4">
        <w:rPr>
          <w:iCs/>
          <w:lang w:val="en-GB"/>
        </w:rPr>
        <w:t>i</w:t>
      </w:r>
      <w:proofErr w:type="spellEnd"/>
      <w:r w:rsidRPr="00666EA4">
        <w:rPr>
          <w:iCs/>
          <w:lang w:val="en-GB"/>
        </w:rPr>
        <w:t xml:space="preserve"> </w:t>
      </w:r>
      <w:proofErr w:type="spellStart"/>
      <w:r w:rsidRPr="00666EA4">
        <w:rPr>
          <w:iCs/>
          <w:lang w:val="en-GB"/>
        </w:rPr>
        <w:t>lokalne</w:t>
      </w:r>
      <w:proofErr w:type="spellEnd"/>
      <w:r w:rsidRPr="00666EA4">
        <w:rPr>
          <w:iCs/>
          <w:lang w:val="en-GB"/>
        </w:rPr>
        <w:t xml:space="preserve"> </w:t>
      </w:r>
      <w:proofErr w:type="spellStart"/>
      <w:r w:rsidRPr="00666EA4">
        <w:rPr>
          <w:iCs/>
          <w:lang w:val="en-GB"/>
        </w:rPr>
        <w:t>vlasti</w:t>
      </w:r>
      <w:proofErr w:type="spellEnd"/>
      <w:r w:rsidRPr="00666EA4">
        <w:rPr>
          <w:iCs/>
          <w:lang w:val="en-GB"/>
        </w:rPr>
        <w:t xml:space="preserve"> da </w:t>
      </w:r>
      <w:proofErr w:type="spellStart"/>
      <w:r w:rsidRPr="00666EA4">
        <w:rPr>
          <w:iCs/>
          <w:lang w:val="en-GB"/>
        </w:rPr>
        <w:t>blagovremeno</w:t>
      </w:r>
      <w:proofErr w:type="spellEnd"/>
      <w:r w:rsidRPr="00666EA4">
        <w:rPr>
          <w:iCs/>
          <w:lang w:val="en-GB"/>
        </w:rPr>
        <w:t xml:space="preserve"> </w:t>
      </w:r>
      <w:proofErr w:type="spellStart"/>
      <w:r w:rsidRPr="00666EA4">
        <w:rPr>
          <w:iCs/>
          <w:lang w:val="en-GB"/>
        </w:rPr>
        <w:t>i</w:t>
      </w:r>
      <w:proofErr w:type="spellEnd"/>
      <w:r w:rsidRPr="00666EA4">
        <w:rPr>
          <w:iCs/>
          <w:lang w:val="en-GB"/>
        </w:rPr>
        <w:t xml:space="preserve"> </w:t>
      </w:r>
      <w:proofErr w:type="spellStart"/>
      <w:r w:rsidRPr="00666EA4">
        <w:rPr>
          <w:iCs/>
          <w:lang w:val="en-GB"/>
        </w:rPr>
        <w:t>precizno</w:t>
      </w:r>
      <w:proofErr w:type="spellEnd"/>
      <w:r w:rsidRPr="00666EA4">
        <w:rPr>
          <w:iCs/>
          <w:lang w:val="en-GB"/>
        </w:rPr>
        <w:t xml:space="preserve"> </w:t>
      </w:r>
      <w:proofErr w:type="spellStart"/>
      <w:r w:rsidRPr="00666EA4">
        <w:rPr>
          <w:iCs/>
          <w:lang w:val="en-GB"/>
        </w:rPr>
        <w:t>informišu</w:t>
      </w:r>
      <w:proofErr w:type="spellEnd"/>
      <w:r w:rsidRPr="00666EA4">
        <w:rPr>
          <w:iCs/>
          <w:lang w:val="en-GB"/>
        </w:rPr>
        <w:t xml:space="preserve"> </w:t>
      </w:r>
      <w:proofErr w:type="spellStart"/>
      <w:r>
        <w:rPr>
          <w:iCs/>
          <w:lang w:val="en-GB"/>
        </w:rPr>
        <w:t>građane</w:t>
      </w:r>
      <w:proofErr w:type="spellEnd"/>
      <w:r>
        <w:rPr>
          <w:iCs/>
          <w:lang w:val="en-GB"/>
        </w:rPr>
        <w:t xml:space="preserve"> </w:t>
      </w:r>
      <w:proofErr w:type="spellStart"/>
      <w:r>
        <w:rPr>
          <w:iCs/>
          <w:lang w:val="en-GB"/>
        </w:rPr>
        <w:t>putem</w:t>
      </w:r>
      <w:proofErr w:type="spellEnd"/>
      <w:r>
        <w:rPr>
          <w:iCs/>
          <w:lang w:val="en-GB"/>
        </w:rPr>
        <w:t xml:space="preserve"> </w:t>
      </w:r>
      <w:proofErr w:type="spellStart"/>
      <w:r w:rsidRPr="00666EA4">
        <w:rPr>
          <w:iCs/>
          <w:lang w:val="en-GB"/>
        </w:rPr>
        <w:t>medija</w:t>
      </w:r>
      <w:proofErr w:type="spellEnd"/>
      <w:r w:rsidRPr="00666EA4">
        <w:rPr>
          <w:iCs/>
          <w:lang w:val="en-GB"/>
        </w:rPr>
        <w:t xml:space="preserve"> </w:t>
      </w:r>
      <w:proofErr w:type="spellStart"/>
      <w:r w:rsidRPr="00666EA4">
        <w:rPr>
          <w:iCs/>
          <w:lang w:val="en-GB"/>
        </w:rPr>
        <w:t>i</w:t>
      </w:r>
      <w:proofErr w:type="spellEnd"/>
      <w:r w:rsidRPr="00666EA4">
        <w:rPr>
          <w:iCs/>
          <w:lang w:val="en-GB"/>
        </w:rPr>
        <w:t xml:space="preserve"> </w:t>
      </w:r>
      <w:proofErr w:type="spellStart"/>
      <w:r w:rsidRPr="00666EA4">
        <w:rPr>
          <w:iCs/>
          <w:lang w:val="en-GB"/>
        </w:rPr>
        <w:t>na</w:t>
      </w:r>
      <w:proofErr w:type="spellEnd"/>
      <w:r w:rsidRPr="00666EA4">
        <w:rPr>
          <w:iCs/>
          <w:lang w:val="en-GB"/>
        </w:rPr>
        <w:t xml:space="preserve"> </w:t>
      </w:r>
      <w:proofErr w:type="spellStart"/>
      <w:r w:rsidRPr="00666EA4">
        <w:rPr>
          <w:iCs/>
          <w:lang w:val="en-GB"/>
        </w:rPr>
        <w:t>druge</w:t>
      </w:r>
      <w:proofErr w:type="spellEnd"/>
      <w:r w:rsidRPr="00666EA4">
        <w:rPr>
          <w:iCs/>
          <w:lang w:val="en-GB"/>
        </w:rPr>
        <w:t xml:space="preserve"> </w:t>
      </w:r>
      <w:proofErr w:type="spellStart"/>
      <w:r w:rsidRPr="00666EA4">
        <w:rPr>
          <w:iCs/>
          <w:lang w:val="en-GB"/>
        </w:rPr>
        <w:t>načine</w:t>
      </w:r>
      <w:proofErr w:type="spellEnd"/>
      <w:r w:rsidRPr="00666EA4">
        <w:rPr>
          <w:iCs/>
          <w:lang w:val="en-GB"/>
        </w:rPr>
        <w:t xml:space="preserve"> o </w:t>
      </w:r>
      <w:proofErr w:type="spellStart"/>
      <w:r w:rsidRPr="00666EA4">
        <w:rPr>
          <w:iCs/>
          <w:lang w:val="en-GB"/>
        </w:rPr>
        <w:t>svim</w:t>
      </w:r>
      <w:proofErr w:type="spellEnd"/>
      <w:r w:rsidRPr="00666EA4">
        <w:rPr>
          <w:iCs/>
          <w:lang w:val="en-GB"/>
        </w:rPr>
        <w:t xml:space="preserve"> </w:t>
      </w:r>
      <w:proofErr w:type="spellStart"/>
      <w:r w:rsidRPr="00666EA4">
        <w:rPr>
          <w:iCs/>
          <w:lang w:val="en-GB"/>
        </w:rPr>
        <w:t>vanrednim</w:t>
      </w:r>
      <w:proofErr w:type="spellEnd"/>
      <w:r w:rsidRPr="00666EA4">
        <w:rPr>
          <w:iCs/>
          <w:lang w:val="en-GB"/>
        </w:rPr>
        <w:t xml:space="preserve"> </w:t>
      </w:r>
      <w:proofErr w:type="spellStart"/>
      <w:r w:rsidRPr="00666EA4">
        <w:rPr>
          <w:iCs/>
          <w:lang w:val="en-GB"/>
        </w:rPr>
        <w:t>situacijama</w:t>
      </w:r>
      <w:proofErr w:type="spellEnd"/>
      <w:r w:rsidRPr="00666EA4">
        <w:rPr>
          <w:iCs/>
          <w:lang w:val="en-GB"/>
        </w:rPr>
        <w:t xml:space="preserve"> </w:t>
      </w:r>
      <w:proofErr w:type="spellStart"/>
      <w:r w:rsidRPr="00666EA4">
        <w:rPr>
          <w:iCs/>
          <w:lang w:val="en-GB"/>
        </w:rPr>
        <w:t>i</w:t>
      </w:r>
      <w:proofErr w:type="spellEnd"/>
      <w:r w:rsidRPr="00666EA4">
        <w:rPr>
          <w:iCs/>
          <w:lang w:val="en-GB"/>
        </w:rPr>
        <w:t xml:space="preserve"> </w:t>
      </w:r>
      <w:proofErr w:type="spellStart"/>
      <w:r w:rsidRPr="00666EA4">
        <w:rPr>
          <w:iCs/>
          <w:lang w:val="en-GB"/>
        </w:rPr>
        <w:t>mjeram</w:t>
      </w:r>
      <w:r>
        <w:rPr>
          <w:iCs/>
          <w:lang w:val="en-GB"/>
        </w:rPr>
        <w:t>a</w:t>
      </w:r>
      <w:proofErr w:type="spellEnd"/>
      <w:r>
        <w:rPr>
          <w:iCs/>
          <w:lang w:val="en-GB"/>
        </w:rPr>
        <w:t xml:space="preserve"> </w:t>
      </w:r>
      <w:proofErr w:type="spellStart"/>
      <w:r>
        <w:rPr>
          <w:iCs/>
          <w:lang w:val="en-GB"/>
        </w:rPr>
        <w:t>bezbjednosti</w:t>
      </w:r>
      <w:proofErr w:type="spellEnd"/>
      <w:r>
        <w:rPr>
          <w:iCs/>
          <w:lang w:val="en-GB"/>
        </w:rPr>
        <w:t xml:space="preserve"> </w:t>
      </w:r>
      <w:proofErr w:type="spellStart"/>
      <w:r w:rsidRPr="00666EA4">
        <w:rPr>
          <w:iCs/>
          <w:lang w:val="en-GB"/>
        </w:rPr>
        <w:t>preduzetim</w:t>
      </w:r>
      <w:proofErr w:type="spellEnd"/>
      <w:r w:rsidRPr="00666EA4">
        <w:rPr>
          <w:iCs/>
          <w:lang w:val="en-GB"/>
        </w:rPr>
        <w:t xml:space="preserve"> za </w:t>
      </w:r>
      <w:proofErr w:type="spellStart"/>
      <w:r w:rsidRPr="00666EA4">
        <w:rPr>
          <w:iCs/>
          <w:lang w:val="en-GB"/>
        </w:rPr>
        <w:t>zaštitu</w:t>
      </w:r>
      <w:proofErr w:type="spellEnd"/>
      <w:r w:rsidRPr="00666EA4">
        <w:rPr>
          <w:iCs/>
          <w:lang w:val="en-GB"/>
        </w:rPr>
        <w:t xml:space="preserve"> </w:t>
      </w:r>
      <w:proofErr w:type="spellStart"/>
      <w:r w:rsidRPr="00666EA4">
        <w:rPr>
          <w:iCs/>
          <w:lang w:val="en-GB"/>
        </w:rPr>
        <w:t>stanovništva</w:t>
      </w:r>
      <w:proofErr w:type="spellEnd"/>
      <w:r w:rsidRPr="00666EA4">
        <w:rPr>
          <w:iCs/>
          <w:lang w:val="en-GB"/>
        </w:rPr>
        <w:t xml:space="preserve">. </w:t>
      </w:r>
      <w:proofErr w:type="spellStart"/>
      <w:r w:rsidRPr="00666EA4">
        <w:rPr>
          <w:iCs/>
          <w:lang w:val="en-GB"/>
        </w:rPr>
        <w:t>Isti</w:t>
      </w:r>
      <w:proofErr w:type="spellEnd"/>
      <w:r w:rsidRPr="00666EA4">
        <w:rPr>
          <w:iCs/>
          <w:lang w:val="en-GB"/>
        </w:rPr>
        <w:t xml:space="preserve"> </w:t>
      </w:r>
      <w:proofErr w:type="spellStart"/>
      <w:r w:rsidRPr="00666EA4">
        <w:rPr>
          <w:iCs/>
          <w:lang w:val="en-GB"/>
        </w:rPr>
        <w:t>zakon</w:t>
      </w:r>
      <w:proofErr w:type="spellEnd"/>
      <w:r w:rsidRPr="00666EA4">
        <w:rPr>
          <w:iCs/>
          <w:lang w:val="en-GB"/>
        </w:rPr>
        <w:t xml:space="preserve"> </w:t>
      </w:r>
      <w:proofErr w:type="spellStart"/>
      <w:r w:rsidRPr="00666EA4">
        <w:rPr>
          <w:iCs/>
          <w:lang w:val="en-GB"/>
        </w:rPr>
        <w:t>predviđa</w:t>
      </w:r>
      <w:proofErr w:type="spellEnd"/>
      <w:r w:rsidRPr="00666EA4">
        <w:rPr>
          <w:iCs/>
          <w:lang w:val="en-GB"/>
        </w:rPr>
        <w:t xml:space="preserve"> </w:t>
      </w:r>
      <w:proofErr w:type="spellStart"/>
      <w:r w:rsidRPr="00666EA4">
        <w:rPr>
          <w:iCs/>
          <w:lang w:val="en-GB"/>
        </w:rPr>
        <w:t>odgovornost</w:t>
      </w:r>
      <w:proofErr w:type="spellEnd"/>
      <w:r w:rsidRPr="00666EA4">
        <w:rPr>
          <w:iCs/>
          <w:lang w:val="en-GB"/>
        </w:rPr>
        <w:t xml:space="preserve"> </w:t>
      </w:r>
      <w:proofErr w:type="spellStart"/>
      <w:r w:rsidRPr="00666EA4">
        <w:rPr>
          <w:iCs/>
          <w:lang w:val="en-GB"/>
        </w:rPr>
        <w:t>državnih</w:t>
      </w:r>
      <w:proofErr w:type="spellEnd"/>
      <w:r w:rsidRPr="00666EA4">
        <w:rPr>
          <w:iCs/>
          <w:lang w:val="en-GB"/>
        </w:rPr>
        <w:t xml:space="preserve"> </w:t>
      </w:r>
      <w:proofErr w:type="spellStart"/>
      <w:r w:rsidRPr="00666EA4">
        <w:rPr>
          <w:iCs/>
          <w:lang w:val="en-GB"/>
        </w:rPr>
        <w:t>službenika</w:t>
      </w:r>
      <w:proofErr w:type="spellEnd"/>
      <w:r w:rsidRPr="00666EA4">
        <w:rPr>
          <w:iCs/>
          <w:lang w:val="en-GB"/>
        </w:rPr>
        <w:t xml:space="preserve"> u </w:t>
      </w:r>
      <w:proofErr w:type="spellStart"/>
      <w:r w:rsidRPr="00666EA4">
        <w:rPr>
          <w:iCs/>
          <w:lang w:val="en-GB"/>
        </w:rPr>
        <w:t>slučaju</w:t>
      </w:r>
      <w:proofErr w:type="spellEnd"/>
      <w:r w:rsidRPr="00666EA4">
        <w:rPr>
          <w:iCs/>
          <w:lang w:val="en-GB"/>
        </w:rPr>
        <w:t xml:space="preserve"> da ne </w:t>
      </w:r>
      <w:proofErr w:type="spellStart"/>
      <w:r w:rsidRPr="00666EA4">
        <w:rPr>
          <w:iCs/>
          <w:lang w:val="en-GB"/>
        </w:rPr>
        <w:t>učine</w:t>
      </w:r>
      <w:proofErr w:type="spellEnd"/>
      <w:r w:rsidRPr="00666EA4">
        <w:rPr>
          <w:iCs/>
          <w:lang w:val="en-GB"/>
        </w:rPr>
        <w:t xml:space="preserve"> </w:t>
      </w:r>
      <w:proofErr w:type="spellStart"/>
      <w:r w:rsidRPr="00666EA4">
        <w:rPr>
          <w:iCs/>
          <w:lang w:val="en-GB"/>
        </w:rPr>
        <w:t>javno</w:t>
      </w:r>
      <w:proofErr w:type="spellEnd"/>
      <w:r w:rsidRPr="00666EA4">
        <w:rPr>
          <w:iCs/>
          <w:lang w:val="en-GB"/>
        </w:rPr>
        <w:t xml:space="preserve"> </w:t>
      </w:r>
      <w:proofErr w:type="spellStart"/>
      <w:r w:rsidRPr="00666EA4">
        <w:rPr>
          <w:iCs/>
          <w:lang w:val="en-GB"/>
        </w:rPr>
        <w:t>dostupnim</w:t>
      </w:r>
      <w:proofErr w:type="spellEnd"/>
      <w:r w:rsidRPr="00666EA4">
        <w:rPr>
          <w:iCs/>
          <w:lang w:val="en-GB"/>
        </w:rPr>
        <w:t xml:space="preserve"> </w:t>
      </w:r>
      <w:proofErr w:type="spellStart"/>
      <w:r w:rsidRPr="00666EA4">
        <w:rPr>
          <w:iCs/>
          <w:lang w:val="en-GB"/>
        </w:rPr>
        <w:t>ove</w:t>
      </w:r>
      <w:proofErr w:type="spellEnd"/>
      <w:r w:rsidRPr="00666EA4">
        <w:rPr>
          <w:iCs/>
          <w:lang w:val="en-GB"/>
        </w:rPr>
        <w:t xml:space="preserve"> </w:t>
      </w:r>
      <w:proofErr w:type="spellStart"/>
      <w:r w:rsidRPr="00666EA4">
        <w:rPr>
          <w:iCs/>
          <w:lang w:val="en-GB"/>
        </w:rPr>
        <w:t>informacije</w:t>
      </w:r>
      <w:proofErr w:type="spellEnd"/>
      <w:r w:rsidRPr="00666EA4">
        <w:rPr>
          <w:iCs/>
          <w:lang w:val="en-GB"/>
        </w:rPr>
        <w:t>.</w:t>
      </w:r>
    </w:p>
  </w:footnote>
  <w:footnote w:id="17">
    <w:p w14:paraId="6D64FF51" w14:textId="77777777" w:rsidR="00444116" w:rsidRPr="00B3181D" w:rsidRDefault="00444116" w:rsidP="00444116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B3181D">
        <w:rPr>
          <w:rFonts w:eastAsia="Calibri"/>
          <w:iCs/>
          <w:lang w:val="en-GB"/>
        </w:rPr>
        <w:t>Vidi</w:t>
      </w:r>
      <w:proofErr w:type="spellEnd"/>
      <w:r w:rsidRPr="00B3181D">
        <w:rPr>
          <w:rFonts w:eastAsia="Calibri"/>
          <w:iCs/>
          <w:lang w:val="en-GB"/>
        </w:rPr>
        <w:t xml:space="preserve"> </w:t>
      </w:r>
      <w:r>
        <w:rPr>
          <w:rStyle w:val="Emphasis"/>
        </w:rPr>
        <w:t>Ö</w:t>
      </w:r>
      <w:proofErr w:type="spellStart"/>
      <w:r w:rsidRPr="00B3181D">
        <w:rPr>
          <w:rFonts w:eastAsia="Calibri"/>
          <w:i/>
          <w:iCs/>
          <w:lang w:val="en-GB"/>
        </w:rPr>
        <w:t>neryildiz</w:t>
      </w:r>
      <w:proofErr w:type="spellEnd"/>
      <w:r w:rsidRPr="00B3181D">
        <w:rPr>
          <w:rFonts w:eastAsia="Calibri"/>
          <w:i/>
          <w:iCs/>
          <w:lang w:val="en-GB"/>
        </w:rPr>
        <w:t xml:space="preserve"> </w:t>
      </w:r>
      <w:proofErr w:type="spellStart"/>
      <w:r w:rsidRPr="00B3181D">
        <w:rPr>
          <w:rFonts w:eastAsia="Calibri"/>
          <w:i/>
          <w:iCs/>
          <w:lang w:val="en-GB"/>
        </w:rPr>
        <w:t>protiv</w:t>
      </w:r>
      <w:proofErr w:type="spellEnd"/>
      <w:r w:rsidRPr="00B3181D">
        <w:rPr>
          <w:rFonts w:eastAsia="Calibri"/>
          <w:i/>
          <w:iCs/>
          <w:lang w:val="en-GB"/>
        </w:rPr>
        <w:t xml:space="preserve"> </w:t>
      </w:r>
      <w:proofErr w:type="spellStart"/>
      <w:r w:rsidRPr="00B3181D">
        <w:rPr>
          <w:rFonts w:eastAsia="Calibri"/>
          <w:i/>
          <w:iCs/>
          <w:lang w:val="en-GB"/>
        </w:rPr>
        <w:t>Turske</w:t>
      </w:r>
      <w:proofErr w:type="spellEnd"/>
      <w:r w:rsidRPr="00B3181D">
        <w:rPr>
          <w:rFonts w:eastAsia="Calibri"/>
          <w:iCs/>
          <w:lang w:val="en-GB"/>
        </w:rPr>
        <w:t xml:space="preserve">, </w:t>
      </w:r>
      <w:proofErr w:type="spellStart"/>
      <w:r w:rsidRPr="00B3181D">
        <w:rPr>
          <w:rFonts w:eastAsia="Calibri"/>
          <w:iCs/>
          <w:lang w:val="en-GB"/>
        </w:rPr>
        <w:t>paragafi</w:t>
      </w:r>
      <w:proofErr w:type="spellEnd"/>
      <w:r w:rsidRPr="00B3181D">
        <w:rPr>
          <w:rFonts w:eastAsia="Calibri"/>
          <w:iCs/>
          <w:lang w:val="en-GB"/>
        </w:rPr>
        <w:t xml:space="preserve"> 90 </w:t>
      </w:r>
      <w:proofErr w:type="spellStart"/>
      <w:r w:rsidRPr="00B3181D">
        <w:rPr>
          <w:rFonts w:eastAsia="Calibri"/>
          <w:iCs/>
          <w:lang w:val="en-GB"/>
        </w:rPr>
        <w:t>i</w:t>
      </w:r>
      <w:proofErr w:type="spellEnd"/>
      <w:r w:rsidRPr="00B3181D">
        <w:rPr>
          <w:rFonts w:eastAsia="Calibri"/>
          <w:iCs/>
          <w:lang w:val="en-GB"/>
        </w:rPr>
        <w:t xml:space="preserve"> 160.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880B09"/>
    <w:multiLevelType w:val="hybridMultilevel"/>
    <w:tmpl w:val="96F48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53"/>
    <w:rsid w:val="000D102D"/>
    <w:rsid w:val="0010774D"/>
    <w:rsid w:val="0033150A"/>
    <w:rsid w:val="00444116"/>
    <w:rsid w:val="004A4B7F"/>
    <w:rsid w:val="004F5BDB"/>
    <w:rsid w:val="00516056"/>
    <w:rsid w:val="008E2A53"/>
    <w:rsid w:val="008E4538"/>
    <w:rsid w:val="00926F6C"/>
    <w:rsid w:val="00B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41A73"/>
  <w15:chartTrackingRefBased/>
  <w15:docId w15:val="{2A29F032-A066-4707-8DCB-CA95C13B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"/>
    <w:basedOn w:val="Normal"/>
    <w:link w:val="FootnoteTextChar"/>
    <w:rsid w:val="0044411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"/>
    <w:basedOn w:val="DefaultParagraphFont"/>
    <w:link w:val="FootnoteText"/>
    <w:rsid w:val="00444116"/>
    <w:rPr>
      <w:rFonts w:eastAsia="Times New Roman" w:cs="Times New Roman"/>
      <w:sz w:val="20"/>
      <w:szCs w:val="20"/>
    </w:rPr>
  </w:style>
  <w:style w:type="character" w:styleId="FootnoteReference">
    <w:name w:val="footnote reference"/>
    <w:rsid w:val="00444116"/>
    <w:rPr>
      <w:vertAlign w:val="superscript"/>
    </w:rPr>
  </w:style>
  <w:style w:type="character" w:styleId="Emphasis">
    <w:name w:val="Emphasis"/>
    <w:uiPriority w:val="20"/>
    <w:qFormat/>
    <w:rsid w:val="00444116"/>
    <w:rPr>
      <w:i/>
      <w:iCs/>
    </w:rPr>
  </w:style>
  <w:style w:type="character" w:styleId="Hyperlink">
    <w:name w:val="Hyperlink"/>
    <w:basedOn w:val="DefaultParagraphFont"/>
    <w:uiPriority w:val="99"/>
    <w:unhideWhenUsed/>
    <w:rsid w:val="00926F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F6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5</cp:revision>
  <dcterms:created xsi:type="dcterms:W3CDTF">2018-04-20T10:16:00Z</dcterms:created>
  <dcterms:modified xsi:type="dcterms:W3CDTF">2020-05-18T07:13:00Z</dcterms:modified>
</cp:coreProperties>
</file>