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2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5578A" w:rsidRDefault="002828F1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0840AB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E5578A" w:rsidRDefault="002B6F46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6E6B76">
        <w:rPr>
          <w:rFonts w:ascii="Palatino Linotype" w:hAnsi="Palatino Linotype" w:cs="Calibri"/>
          <w:sz w:val="22"/>
          <w:szCs w:val="22"/>
          <w:lang w:val="sr-Latn-CS"/>
        </w:rPr>
        <w:t>10.09.2021. godine</w:t>
      </w:r>
    </w:p>
    <w:p w:rsidR="004521CB" w:rsidRPr="00E5578A" w:rsidRDefault="004521CB" w:rsidP="00E5578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5578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osnovu člana 64. Statuta Univerziteta Crne Gore,  Vijeće Mašinskog fa</w:t>
      </w:r>
      <w:r>
        <w:rPr>
          <w:rFonts w:ascii="Palatino Linotype" w:eastAsia="Calibri" w:hAnsi="Palatino Linotype"/>
          <w:sz w:val="22"/>
          <w:szCs w:val="22"/>
          <w:lang w:val="sr-Latn-ME"/>
        </w:rPr>
        <w:t>kulteta, na sjednici održanoj</w:t>
      </w:r>
      <w:r w:rsidR="00266EDC">
        <w:rPr>
          <w:rFonts w:ascii="Palatino Linotype" w:eastAsia="Calibri" w:hAnsi="Palatino Linotype"/>
          <w:sz w:val="22"/>
          <w:szCs w:val="22"/>
          <w:lang w:val="sr-Latn-ME"/>
        </w:rPr>
        <w:t xml:space="preserve"> elektronskim putem,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10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.09</w:t>
      </w:r>
      <w:r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.godine,  usvojilo je Predlog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O D L U K E</w:t>
      </w:r>
    </w:p>
    <w:p w:rsidR="00DD426F" w:rsidRPr="00DD426F" w:rsidRDefault="00DD426F" w:rsidP="00DD426F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o davanju saglasnosti za radno angažovanje prof. dr Milorada Burića</w:t>
      </w:r>
    </w:p>
    <w:p w:rsidR="00DD426F" w:rsidRPr="00DD426F" w:rsidRDefault="00DD426F" w:rsidP="00DD426F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na Mašinskom fakultetu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osnovu e</w:t>
      </w:r>
      <w:r>
        <w:rPr>
          <w:rFonts w:ascii="Palatino Linotype" w:eastAsia="Calibri" w:hAnsi="Palatino Linotype"/>
          <w:sz w:val="22"/>
          <w:szCs w:val="22"/>
          <w:lang w:val="sr-Latn-ME"/>
        </w:rPr>
        <w:t>ksternog  oglasa objavljenog  05.07.2021</w:t>
      </w:r>
      <w:r w:rsidR="006E6B76">
        <w:rPr>
          <w:rFonts w:ascii="Palatino Linotype" w:eastAsia="Calibri" w:hAnsi="Palatino Linotype"/>
          <w:sz w:val="22"/>
          <w:szCs w:val="22"/>
          <w:lang w:val="sr-Latn-ME"/>
        </w:rPr>
        <w:t>. godine na sajtu Univerziteta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i Izvještaja komisije za razmatranje prispjelih prijava na pomenuti oglas Vijeće daje  saglasnost za radno angažovanje na Mašinskom fakultetu prof. dr Miloradu Buriću, redovnom profesoru u penziji na Mašinskom fakultetu, za re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Transportni siste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mi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programu Mašinstvo kao i na predmetu Brodska prekrcanja sredstva na studijskom programu  Brodomašinstvo na  Fakultetu za pomorstvo, u studijskoj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 xml:space="preserve"> 2021/2022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 godini.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Odluka stupa na snagu  danom usvajanja od strane Senata Univerziteta Crne Gore.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O b r a z l o ž e nj e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Poslije  odlaska u penzijun prof. dr Milorada Burića, dugogodišnjeg nastavnika,  Mašinski fakultet je tražio saglasnost od Univerziteta Crne Gore, da odobri raspisivanje Oglasa  za angažovanje nastavnika za realizaciju nastave na p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redmetu Transportni sistemi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</w:t>
      </w:r>
      <w:r w:rsidR="004B7448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programu  </w:t>
      </w:r>
      <w:r w:rsidR="004B7448">
        <w:rPr>
          <w:rFonts w:ascii="Palatino Linotype" w:eastAsia="Calibri" w:hAnsi="Palatino Linotype"/>
          <w:sz w:val="22"/>
          <w:szCs w:val="22"/>
          <w:lang w:val="sr-Latn-ME"/>
        </w:rPr>
        <w:t>Mašinstvo, a   Fakultet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za pomorstvo</w:t>
      </w:r>
      <w:r w:rsidR="004B7448">
        <w:rPr>
          <w:rFonts w:ascii="Palatino Linotype" w:eastAsia="Calibri" w:hAnsi="Palatino Linotype"/>
          <w:sz w:val="22"/>
          <w:szCs w:val="22"/>
          <w:lang w:val="sr-Latn-ME"/>
        </w:rPr>
        <w:t xml:space="preserve"> je tražio saglasnost</w:t>
      </w:r>
      <w:r w:rsidR="004B7448" w:rsidRPr="004B7448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4B7448" w:rsidRPr="00DD426F">
        <w:rPr>
          <w:rFonts w:ascii="Palatino Linotype" w:eastAsia="Calibri" w:hAnsi="Palatino Linotype"/>
          <w:sz w:val="22"/>
          <w:szCs w:val="22"/>
          <w:lang w:val="sr-Latn-ME"/>
        </w:rPr>
        <w:t>za angažovanje nastavnika za realizaciju nastave na p</w:t>
      </w:r>
      <w:r w:rsidR="004B7448">
        <w:rPr>
          <w:rFonts w:ascii="Palatino Linotype" w:eastAsia="Calibri" w:hAnsi="Palatino Linotype"/>
          <w:sz w:val="22"/>
          <w:szCs w:val="22"/>
          <w:lang w:val="sr-Latn-ME"/>
        </w:rPr>
        <w:t>redmetu</w:t>
      </w:r>
      <w:r w:rsidR="004B7448" w:rsidRPr="004B7448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4B7448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Brodska prekrcanja sredstva </w:t>
      </w:r>
      <w:r w:rsidR="004B7448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programu </w:t>
      </w:r>
      <w:r w:rsidR="004B7448" w:rsidRPr="00DD426F">
        <w:rPr>
          <w:rFonts w:ascii="Palatino Linotype" w:eastAsia="Calibri" w:hAnsi="Palatino Linotype"/>
          <w:sz w:val="22"/>
          <w:szCs w:val="22"/>
          <w:lang w:val="sr-Latn-ME"/>
        </w:rPr>
        <w:t>Brodomašinstvo</w:t>
      </w:r>
      <w:r w:rsidR="004B7448">
        <w:rPr>
          <w:rFonts w:ascii="Palatino Linotype" w:eastAsia="Calibri" w:hAnsi="Palatino Linotype"/>
          <w:sz w:val="22"/>
          <w:szCs w:val="22"/>
          <w:lang w:val="sr-Latn-ME"/>
        </w:rPr>
        <w:t>,  kako bi ovo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radno mjesto bilo blagovremeno popunjeno. 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Rektor Univerziteta Crne Gore dao je saglasnost da se u radni odnos primi jedan izvršilac za re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Transportni siste</w:t>
      </w:r>
      <w:r w:rsidR="005F1E7B">
        <w:rPr>
          <w:rFonts w:ascii="Palatino Linotype" w:eastAsia="Calibri" w:hAnsi="Palatino Linotype"/>
          <w:sz w:val="22"/>
          <w:szCs w:val="22"/>
          <w:lang w:val="sr-Latn-ME"/>
        </w:rPr>
        <w:t xml:space="preserve">mi,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programu Mašinstvo kao i na predmetu Brodska prekrcanja sredstva na studijskom programu  Brodomašinstvo na  Fakultetu za pomorstvo.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674784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Na osnovu ove saglasnosti rektora i zahtjeva 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</w:t>
      </w:r>
      <w:r w:rsidR="008869A2">
        <w:rPr>
          <w:rFonts w:ascii="Palatino Linotype" w:eastAsia="Calibri" w:hAnsi="Palatino Linotype"/>
          <w:sz w:val="22"/>
          <w:szCs w:val="22"/>
          <w:lang w:val="sr-Latn-ME"/>
        </w:rPr>
        <w:t xml:space="preserve">i Pomorskog 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fakulteta </w:t>
      </w:r>
      <w:r>
        <w:rPr>
          <w:rFonts w:ascii="Palatino Linotype" w:eastAsia="Calibri" w:hAnsi="Palatino Linotype"/>
          <w:sz w:val="22"/>
          <w:szCs w:val="22"/>
          <w:lang w:val="sr-Latn-ME"/>
        </w:rPr>
        <w:t>Univerzitet je raspisao  Javni o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glas koji je objavljen </w:t>
      </w:r>
      <w:r>
        <w:rPr>
          <w:rFonts w:ascii="Palatino Linotype" w:eastAsia="Calibri" w:hAnsi="Palatino Linotype"/>
          <w:sz w:val="22"/>
          <w:szCs w:val="22"/>
          <w:lang w:val="sr-Latn-ME"/>
        </w:rPr>
        <w:t>na sajtu Univerziteta  05.07.2021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Dekan je Odl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ukom broj 1680 od 08.07.2021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 formirao Komisiju za razmatranje prispjelih prijava na oglas za angažova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nje nastavnika u studijskoj 2021/2022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 godini i dostavljanje izvještaja,  u sastavu : prof. dr Radoje Vujadinović, doc. dr Milanko Damjanović i doc. dr Sreten Simović.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>Ova Komisija je podnijela sljedeći Izvještaj: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Na navedeni Oglas u predvidjenom roku prijavio se jedan kandidat i to: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prof. dr Milorad Burić, redovni pro</w:t>
      </w:r>
      <w:r w:rsidR="008869A2">
        <w:rPr>
          <w:rFonts w:ascii="Palatino Linotype" w:eastAsia="Calibri" w:hAnsi="Palatino Linotype"/>
          <w:sz w:val="22"/>
          <w:szCs w:val="22"/>
          <w:lang w:val="sr-Latn-ME"/>
        </w:rPr>
        <w:t>fesor u penziji, dana 19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.07.2021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.godine.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674784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Kako je Oglas bio otvoren petnaest</w:t>
      </w:r>
      <w:r w:rsidR="00DD426F"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dana od dana objavljivanja konstatovano je  da je predmetna prijava blagovremena.</w:t>
      </w: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Uz prijavu dostavljena je i sljedeća dokumentacija: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Radna biografija i bibliografija kandidata,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Spisak naučno-istraživačkih radova  - 14 referenci,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Spisak projekata i stručnih radova - 21 referenca,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Spisak patenata evidentiranih u Zavodu za intelektualnu svojinu Crne Gore - 14 patenata,</w:t>
      </w:r>
    </w:p>
    <w:p w:rsidR="00DD426F" w:rsidRPr="00DD426F" w:rsidRDefault="00DD426F" w:rsidP="00DD426F">
      <w:pPr>
        <w:numPr>
          <w:ilvl w:val="0"/>
          <w:numId w:val="35"/>
        </w:numPr>
        <w:spacing w:after="200" w:line="276" w:lineRule="auto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Spisak univerzitetskih udžbenika - 4 udžbenika i zbirke zadataka.</w:t>
      </w:r>
    </w:p>
    <w:p w:rsidR="00DD426F" w:rsidRPr="00DD426F" w:rsidRDefault="00DD426F" w:rsidP="00DD426F">
      <w:pPr>
        <w:ind w:left="360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Default="00DD426F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Članovi Vijeća jednoglasno su  dali saglasnost  da se  prof. dr Miloradu Buriću, redovni profesor u penziji, radno angažovanje na Mašinskom</w:t>
      </w:r>
      <w:r w:rsidR="008869A2">
        <w:rPr>
          <w:rFonts w:ascii="Palatino Linotype" w:eastAsia="Calibri" w:hAnsi="Palatino Linotype"/>
          <w:sz w:val="22"/>
          <w:szCs w:val="22"/>
          <w:lang w:val="sr-Latn-ME"/>
        </w:rPr>
        <w:t xml:space="preserve"> i Pomorskom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fakultetu  za re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>alizaciju nastave na predmetu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Transportni siste</w:t>
      </w:r>
      <w:r w:rsidR="00674784">
        <w:rPr>
          <w:rFonts w:ascii="Palatino Linotype" w:eastAsia="Calibri" w:hAnsi="Palatino Linotype"/>
          <w:sz w:val="22"/>
          <w:szCs w:val="22"/>
          <w:lang w:val="sr-Latn-ME"/>
        </w:rPr>
        <w:t xml:space="preserve">mi 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 xml:space="preserve"> na studijskom programu Mašinstvo kao i na predmetu Brodska prekrcanja sredstva na studijsk</w:t>
      </w:r>
      <w:r w:rsidR="008869A2">
        <w:rPr>
          <w:rFonts w:ascii="Palatino Linotype" w:eastAsia="Calibri" w:hAnsi="Palatino Linotype"/>
          <w:sz w:val="22"/>
          <w:szCs w:val="22"/>
          <w:lang w:val="sr-Latn-ME"/>
        </w:rPr>
        <w:t>om programu  Brodomašinstvo</w:t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8869A2" w:rsidRPr="00DD426F" w:rsidRDefault="008869A2" w:rsidP="00DD426F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Komisija je konstatovala da je prof. dr Milorad Burić do odlaska u penziju veoma uspješno izvodio nastavu iz navedenih predmeta.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Sa izloženog Vijeće je odlučilo je kao u dispozitivu Predloga odluke.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bookmarkStart w:id="0" w:name="_GoBack"/>
      <w:bookmarkEnd w:id="0"/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DD426F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DD426F" w:rsidRPr="00DD426F" w:rsidRDefault="00DD426F" w:rsidP="00DD426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DD426F" w:rsidRDefault="00DD426F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DD426F">
        <w:rPr>
          <w:rFonts w:ascii="Palatino Linotype" w:eastAsia="Calibri" w:hAnsi="Palatino Linotype"/>
          <w:sz w:val="22"/>
          <w:szCs w:val="22"/>
          <w:lang w:val="sr-Latn-ME"/>
        </w:rPr>
        <w:t>Senatu Univerziteta Crne Gore</w:t>
      </w:r>
    </w:p>
    <w:p w:rsidR="00F87704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Prorektoru za nastavu</w:t>
      </w:r>
    </w:p>
    <w:p w:rsidR="00F87704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F87704" w:rsidRPr="00DD426F" w:rsidRDefault="00F87704" w:rsidP="00F87704">
      <w:pPr>
        <w:numPr>
          <w:ilvl w:val="0"/>
          <w:numId w:val="35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DD426F" w:rsidRPr="00DD426F" w:rsidRDefault="00DD426F" w:rsidP="00674784">
      <w:pPr>
        <w:spacing w:after="200" w:line="276" w:lineRule="auto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2B6F46" w:rsidRPr="00E5578A" w:rsidRDefault="002B6F46" w:rsidP="00E5578A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5578A" w:rsidRDefault="00A437AD" w:rsidP="00E5578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5578A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CC" w:rsidRDefault="00295DCC">
      <w:r>
        <w:separator/>
      </w:r>
    </w:p>
  </w:endnote>
  <w:endnote w:type="continuationSeparator" w:id="0">
    <w:p w:rsidR="00295DCC" w:rsidRDefault="0029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CC" w:rsidRDefault="00295DCC">
      <w:r>
        <w:separator/>
      </w:r>
    </w:p>
  </w:footnote>
  <w:footnote w:type="continuationSeparator" w:id="0">
    <w:p w:rsidR="00295DCC" w:rsidRDefault="0029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26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27"/>
  </w:num>
  <w:num w:numId="10">
    <w:abstractNumId w:val="2"/>
  </w:num>
  <w:num w:numId="11">
    <w:abstractNumId w:val="17"/>
  </w:num>
  <w:num w:numId="12">
    <w:abstractNumId w:val="12"/>
  </w:num>
  <w:num w:numId="13">
    <w:abstractNumId w:val="29"/>
  </w:num>
  <w:num w:numId="14">
    <w:abstractNumId w:val="28"/>
  </w:num>
  <w:num w:numId="15">
    <w:abstractNumId w:val="20"/>
  </w:num>
  <w:num w:numId="16">
    <w:abstractNumId w:val="24"/>
  </w:num>
  <w:num w:numId="17">
    <w:abstractNumId w:val="23"/>
  </w:num>
  <w:num w:numId="18">
    <w:abstractNumId w:val="31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5"/>
  </w:num>
  <w:num w:numId="27">
    <w:abstractNumId w:val="6"/>
  </w:num>
  <w:num w:numId="28">
    <w:abstractNumId w:val="13"/>
  </w:num>
  <w:num w:numId="29">
    <w:abstractNumId w:val="18"/>
  </w:num>
  <w:num w:numId="30">
    <w:abstractNumId w:val="15"/>
  </w:num>
  <w:num w:numId="31">
    <w:abstractNumId w:val="13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40AB"/>
    <w:rsid w:val="0008742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66EDC"/>
    <w:rsid w:val="002758DD"/>
    <w:rsid w:val="0027689E"/>
    <w:rsid w:val="00277979"/>
    <w:rsid w:val="002828F1"/>
    <w:rsid w:val="002849BA"/>
    <w:rsid w:val="002868E6"/>
    <w:rsid w:val="00286C51"/>
    <w:rsid w:val="00295DCC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35C13"/>
    <w:rsid w:val="00350C6E"/>
    <w:rsid w:val="003648EC"/>
    <w:rsid w:val="00365ADB"/>
    <w:rsid w:val="00372D4D"/>
    <w:rsid w:val="00383266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448"/>
    <w:rsid w:val="004B7E64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1E7B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018"/>
    <w:rsid w:val="006555BB"/>
    <w:rsid w:val="00655ABC"/>
    <w:rsid w:val="0066303F"/>
    <w:rsid w:val="006656D8"/>
    <w:rsid w:val="00672941"/>
    <w:rsid w:val="00673B46"/>
    <w:rsid w:val="00674784"/>
    <w:rsid w:val="00675226"/>
    <w:rsid w:val="006761C8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E6B76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64B"/>
    <w:rsid w:val="007A4DEF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869A2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66425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99"/>
    <w:rsid w:val="00DC0038"/>
    <w:rsid w:val="00DC02B2"/>
    <w:rsid w:val="00DC19C2"/>
    <w:rsid w:val="00DC42EC"/>
    <w:rsid w:val="00DD0DCC"/>
    <w:rsid w:val="00DD27CE"/>
    <w:rsid w:val="00DD2BED"/>
    <w:rsid w:val="00DD426F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28AA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8761D"/>
    <w:rsid w:val="00F87704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@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g.ac.me/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A356-C3CE-4A0A-BAFE-3391A668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4224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Veljo</cp:lastModifiedBy>
  <cp:revision>8</cp:revision>
  <cp:lastPrinted>2021-07-07T08:15:00Z</cp:lastPrinted>
  <dcterms:created xsi:type="dcterms:W3CDTF">2021-09-08T12:34:00Z</dcterms:created>
  <dcterms:modified xsi:type="dcterms:W3CDTF">2021-09-09T10:44:00Z</dcterms:modified>
</cp:coreProperties>
</file>