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2670D">
        <w:rPr>
          <w:rFonts w:ascii="Times New Roman Bold" w:hAnsi="Times New Roman Bold"/>
          <w:b/>
          <w:caps/>
          <w:sz w:val="32"/>
          <w:szCs w:val="32"/>
        </w:rPr>
        <w:t>NIKOLA VUJIČIĆ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2670D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A2670D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2670D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2670D">
        <w:rPr>
          <w:b/>
          <w:bCs/>
          <w:sz w:val="32"/>
          <w:szCs w:val="32"/>
        </w:rPr>
        <w:t>ANALIZA UTICAJA FAKTORA NA STRUKTURU KAPITALA AKCIONARSKIH DRUŠTAVA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2670D">
        <w:rPr>
          <w:b/>
          <w:sz w:val="28"/>
          <w:szCs w:val="28"/>
          <w:lang w:val="sl-SI"/>
        </w:rPr>
        <w:t>Milan Lakićević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A2670D">
        <w:rPr>
          <w:rFonts w:ascii="Times New Roman" w:hAnsi="Times New Roman"/>
          <w:sz w:val="28"/>
          <w:szCs w:val="28"/>
          <w:lang w:val="sl-SI"/>
        </w:rPr>
        <w:t>3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2021-06-02T12:34:00Z</cp:lastPrinted>
  <dcterms:created xsi:type="dcterms:W3CDTF">2021-06-02T12:34:00Z</dcterms:created>
  <dcterms:modified xsi:type="dcterms:W3CDTF">2021-06-02T12:34:00Z</dcterms:modified>
</cp:coreProperties>
</file>