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4318B">
        <w:rPr>
          <w:rFonts w:ascii="Times New Roman Bold" w:hAnsi="Times New Roman Bold"/>
          <w:b/>
          <w:caps/>
          <w:sz w:val="32"/>
          <w:szCs w:val="32"/>
        </w:rPr>
        <w:t>SRĐAN MILJIĆ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4318B">
        <w:rPr>
          <w:b/>
          <w:sz w:val="32"/>
          <w:szCs w:val="32"/>
          <w:lang w:val="sl-SI"/>
        </w:rPr>
        <w:t>25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565B91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4318B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4318B">
        <w:rPr>
          <w:b/>
          <w:bCs/>
          <w:sz w:val="32"/>
          <w:szCs w:val="32"/>
        </w:rPr>
        <w:t>DOPRINOS INTERNE REVIZIJE UNAPREĐENJU SISTEMA ZA UPRAVLJANJE OPERATIVNIM RIZICIMA U CENTRALNOJ BANCI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4318B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34318B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4318B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2021-06-04T12:49:00Z</cp:lastPrinted>
  <dcterms:created xsi:type="dcterms:W3CDTF">2021-06-04T12:54:00Z</dcterms:created>
  <dcterms:modified xsi:type="dcterms:W3CDTF">2021-06-04T12:54:00Z</dcterms:modified>
</cp:coreProperties>
</file>