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A3B08">
        <w:rPr>
          <w:rFonts w:ascii="Times New Roman Bold" w:hAnsi="Times New Roman Bold"/>
          <w:b/>
          <w:caps/>
          <w:sz w:val="32"/>
          <w:szCs w:val="32"/>
        </w:rPr>
        <w:t>ana vuković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A3B08">
        <w:rPr>
          <w:b/>
          <w:sz w:val="32"/>
          <w:szCs w:val="32"/>
          <w:lang w:val="sl-SI"/>
        </w:rPr>
        <w:t>49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1A3B08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13EB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00F00">
        <w:rPr>
          <w:b/>
          <w:bCs/>
          <w:sz w:val="32"/>
          <w:szCs w:val="32"/>
        </w:rPr>
        <w:t>UTICAJ REGULATIVE SOLVENTNOST II NA KAPITALNU ADEKVATNOST I TEHNIČKE REZERVE KOMPANIJA NEŽIVOTNOG OSIGURANJA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00F00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00F00">
        <w:rPr>
          <w:b/>
          <w:sz w:val="28"/>
          <w:szCs w:val="28"/>
          <w:lang w:val="sl-SI"/>
        </w:rPr>
        <w:t>Milijana Novović Burić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9257A">
        <w:rPr>
          <w:rFonts w:ascii="Times New Roman" w:hAnsi="Times New Roman"/>
          <w:sz w:val="28"/>
          <w:szCs w:val="28"/>
          <w:lang w:val="sl-SI"/>
        </w:rPr>
        <w:t>05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D4694"/>
    <w:rsid w:val="00AF3456"/>
    <w:rsid w:val="00AF49A9"/>
    <w:rsid w:val="00B00A35"/>
    <w:rsid w:val="00B13EBB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2021-07-05T09:03:00Z</cp:lastPrinted>
  <dcterms:created xsi:type="dcterms:W3CDTF">2021-07-05T09:03:00Z</dcterms:created>
  <dcterms:modified xsi:type="dcterms:W3CDTF">2021-07-05T09:03:00Z</dcterms:modified>
</cp:coreProperties>
</file>