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306E2">
        <w:rPr>
          <w:rFonts w:ascii="Times New Roman Bold" w:hAnsi="Times New Roman Bold"/>
          <w:b/>
          <w:caps/>
          <w:sz w:val="32"/>
          <w:szCs w:val="32"/>
        </w:rPr>
        <w:t>NATAŠA GRKOVIĆ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306E2">
        <w:rPr>
          <w:b/>
          <w:sz w:val="32"/>
          <w:szCs w:val="32"/>
          <w:lang w:val="sl-SI"/>
        </w:rPr>
        <w:t>164</w:t>
      </w:r>
      <w:r w:rsidR="009326A2">
        <w:rPr>
          <w:b/>
          <w:sz w:val="32"/>
          <w:szCs w:val="32"/>
          <w:lang w:val="sl-SI"/>
        </w:rPr>
        <w:t>/</w:t>
      </w:r>
      <w:r w:rsidR="003A6369">
        <w:rPr>
          <w:b/>
          <w:sz w:val="32"/>
          <w:szCs w:val="32"/>
          <w:lang w:val="sl-SI"/>
        </w:rPr>
        <w:t>1</w:t>
      </w:r>
      <w:r w:rsidR="000306E2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306E2">
        <w:rPr>
          <w:b/>
          <w:bCs/>
          <w:sz w:val="32"/>
          <w:szCs w:val="32"/>
        </w:rPr>
        <w:t>UTICAJ GLOBALNIH PROMJENA NA STRATEŠKE PRAVCE RAZVOJA TURISTIČKE DJELATNOSTI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306E2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306E2">
        <w:rPr>
          <w:b/>
          <w:sz w:val="28"/>
          <w:szCs w:val="28"/>
          <w:lang w:val="sr-Latn-CS"/>
        </w:rPr>
        <w:t xml:space="preserve">Jovan Đurašković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E21310">
        <w:rPr>
          <w:rFonts w:ascii="Times New Roman" w:hAnsi="Times New Roman"/>
          <w:sz w:val="28"/>
          <w:szCs w:val="28"/>
          <w:lang w:val="sl-SI"/>
        </w:rPr>
        <w:t>05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21310">
        <w:rPr>
          <w:rFonts w:ascii="Times New Roman" w:hAnsi="Times New Roman"/>
          <w:sz w:val="28"/>
          <w:szCs w:val="28"/>
          <w:lang w:val="sl-SI"/>
        </w:rPr>
        <w:t>4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2022-04-05T07:07:00Z</cp:lastPrinted>
  <dcterms:created xsi:type="dcterms:W3CDTF">2022-04-04T11:11:00Z</dcterms:created>
  <dcterms:modified xsi:type="dcterms:W3CDTF">2022-04-05T07:07:00Z</dcterms:modified>
</cp:coreProperties>
</file>