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Egipat, Vavilon i Persija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FF0000"/>
          <w:sz w:val="24"/>
          <w:szCs w:val="24"/>
          <w:lang w:val="sr-Latn-ME"/>
        </w:rPr>
        <w:t>23. III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Indija i Kina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FF0000"/>
          <w:sz w:val="24"/>
          <w:szCs w:val="24"/>
          <w:lang w:val="sr-Latn-ME"/>
        </w:rPr>
        <w:t>23. III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Antička Grčka – Herodot, Aristotel, Platon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70AD47" w:themeColor="accent6"/>
          <w:sz w:val="24"/>
          <w:szCs w:val="24"/>
          <w:lang w:val="sr-Latn-ME"/>
        </w:rPr>
        <w:t>30. III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Antički Rim – Polibije i Ciceron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70AD47" w:themeColor="accent6"/>
          <w:sz w:val="24"/>
          <w:szCs w:val="24"/>
          <w:lang w:val="sr-Latn-ME"/>
        </w:rPr>
        <w:t>30. III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Judejstvo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70AD47" w:themeColor="accent6"/>
          <w:sz w:val="24"/>
          <w:szCs w:val="24"/>
          <w:lang w:val="sr-Latn-ME"/>
        </w:rPr>
        <w:t>30. III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4450B4">
        <w:rPr>
          <w:rFonts w:ascii="Times New Roman" w:hAnsi="Times New Roman" w:cs="Times New Roman"/>
          <w:b/>
          <w:sz w:val="24"/>
          <w:szCs w:val="24"/>
        </w:rPr>
        <w:t>Teorije</w:t>
      </w:r>
      <w:proofErr w:type="spellEnd"/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4450B4">
        <w:rPr>
          <w:rFonts w:ascii="Times New Roman" w:hAnsi="Times New Roman" w:cs="Times New Roman"/>
          <w:b/>
          <w:sz w:val="24"/>
          <w:szCs w:val="24"/>
        </w:rPr>
        <w:t>vjerskih</w:t>
      </w:r>
      <w:proofErr w:type="spellEnd"/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4450B4">
        <w:rPr>
          <w:rFonts w:ascii="Times New Roman" w:hAnsi="Times New Roman" w:cs="Times New Roman"/>
          <w:b/>
          <w:sz w:val="24"/>
          <w:szCs w:val="24"/>
        </w:rPr>
        <w:t>pokreta</w:t>
      </w:r>
      <w:proofErr w:type="spellEnd"/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– </w:t>
      </w:r>
      <w:proofErr w:type="spellStart"/>
      <w:r w:rsidRPr="004450B4">
        <w:rPr>
          <w:rFonts w:ascii="Times New Roman" w:hAnsi="Times New Roman" w:cs="Times New Roman"/>
          <w:b/>
          <w:sz w:val="24"/>
          <w:szCs w:val="24"/>
        </w:rPr>
        <w:t>Hri</w:t>
      </w:r>
      <w:proofErr w:type="spellEnd"/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šć</w:t>
      </w:r>
      <w:proofErr w:type="spellStart"/>
      <w:r w:rsidRPr="004450B4">
        <w:rPr>
          <w:rFonts w:ascii="Times New Roman" w:hAnsi="Times New Roman" w:cs="Times New Roman"/>
          <w:b/>
          <w:sz w:val="24"/>
          <w:szCs w:val="24"/>
        </w:rPr>
        <w:t>anstvo</w:t>
      </w:r>
      <w:proofErr w:type="spellEnd"/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(</w:t>
      </w:r>
      <w:proofErr w:type="spellStart"/>
      <w:r w:rsidRPr="004450B4">
        <w:rPr>
          <w:rFonts w:ascii="Times New Roman" w:hAnsi="Times New Roman" w:cs="Times New Roman"/>
          <w:b/>
          <w:sz w:val="24"/>
          <w:szCs w:val="24"/>
        </w:rPr>
        <w:t>Aurelije</w:t>
      </w:r>
      <w:proofErr w:type="spellEnd"/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4450B4">
        <w:rPr>
          <w:rFonts w:ascii="Times New Roman" w:hAnsi="Times New Roman" w:cs="Times New Roman"/>
          <w:b/>
          <w:sz w:val="24"/>
          <w:szCs w:val="24"/>
        </w:rPr>
        <w:t>Avgustin</w:t>
      </w:r>
      <w:proofErr w:type="spellEnd"/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4450B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450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50B4">
        <w:rPr>
          <w:rFonts w:ascii="Times New Roman" w:hAnsi="Times New Roman" w:cs="Times New Roman"/>
          <w:b/>
          <w:sz w:val="24"/>
          <w:szCs w:val="24"/>
        </w:rPr>
        <w:t>Toma</w:t>
      </w:r>
      <w:proofErr w:type="spellEnd"/>
      <w:r w:rsidRPr="004450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50B4">
        <w:rPr>
          <w:rFonts w:ascii="Times New Roman" w:hAnsi="Times New Roman" w:cs="Times New Roman"/>
          <w:b/>
          <w:sz w:val="24"/>
          <w:szCs w:val="24"/>
        </w:rPr>
        <w:t>Akvinski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450B4">
        <w:rPr>
          <w:rFonts w:ascii="Times New Roman" w:hAnsi="Times New Roman" w:cs="Times New Roman"/>
          <w:b/>
          <w:color w:val="70AD47" w:themeColor="accent6"/>
          <w:sz w:val="24"/>
          <w:szCs w:val="24"/>
          <w:lang w:val="sr-Latn-ME"/>
        </w:rPr>
        <w:t>30. III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Islam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ED7D31" w:themeColor="accent2"/>
          <w:sz w:val="24"/>
          <w:szCs w:val="24"/>
          <w:lang w:val="sr-Latn-ME"/>
        </w:rPr>
        <w:t>6. IV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Teorije  o odnosu crkve i države (teorija tiranicida, teorije o potčinjenosti crkve državi)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5B9BD5" w:themeColor="accent1"/>
          <w:sz w:val="24"/>
          <w:szCs w:val="24"/>
          <w:lang w:val="sr-Latn-ME"/>
        </w:rPr>
        <w:t>13. IV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Realpolitički pragmatizam – Nikolo Makijaveli, Žan Boden, Arman-Žan di Plesi Rišelje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5B9BD5" w:themeColor="accent1"/>
          <w:sz w:val="24"/>
          <w:szCs w:val="24"/>
          <w:lang w:val="sr-Latn-ME"/>
        </w:rPr>
        <w:t>13. IV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Teorije o ograničenju vladarske vlasti – monarhomasi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FFC000" w:themeColor="accent4"/>
          <w:sz w:val="24"/>
          <w:szCs w:val="24"/>
          <w:lang w:val="sr-Latn-ME"/>
        </w:rPr>
        <w:t>20. IV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Politička misao reformacije – prosvjetiteljstvo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FFC000" w:themeColor="accent4"/>
          <w:sz w:val="24"/>
          <w:szCs w:val="24"/>
          <w:lang w:val="sr-Latn-ME"/>
        </w:rPr>
        <w:t>20. IV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Hugo Grocijus i Baruh de Spinoza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sr-Latn-ME"/>
        </w:rPr>
        <w:t>27. IV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Teorije prirodnog prava i </w:t>
      </w:r>
      <w:bookmarkStart w:id="0" w:name="_GoBack"/>
      <w:bookmarkEnd w:id="0"/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društvenog ugovora – Semuel Pupendorf, Tomas Hobs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sr-Latn-ME"/>
        </w:rPr>
        <w:t>27. IV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Džon Lok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sr-Latn-ME"/>
        </w:rPr>
        <w:t>27. IV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Žan-Žak Ruso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sr-Latn-ME"/>
        </w:rPr>
        <w:t>27. IV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Ideje radikalnog prevrata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sr-Latn-ME"/>
        </w:rPr>
        <w:t>4. 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Prosvjetiteljstvo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sr-Latn-ME"/>
        </w:rPr>
        <w:t>4. 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Teorije francuskog materijalizma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sr-Latn-ME"/>
        </w:rPr>
        <w:t>4. 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Američki konstitucionalizam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sr-Latn-ME"/>
        </w:rPr>
        <w:t>4. 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Ideje francuske revolucije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lang w:val="sr-Latn-ME"/>
        </w:rPr>
        <w:t>11. 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Liberalizam kao ideologija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lang w:val="sr-Latn-ME"/>
        </w:rPr>
        <w:t>11. 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Konzervativizam kao ideologija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lang w:val="sr-Latn-ME"/>
        </w:rPr>
        <w:t>11. 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Socijalizam kao ideologija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7030A0"/>
          <w:sz w:val="24"/>
          <w:szCs w:val="24"/>
          <w:lang w:val="sr-Latn-ME"/>
        </w:rPr>
        <w:t>18. 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Nacionalizam kao ideologija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7030A0"/>
          <w:sz w:val="24"/>
          <w:szCs w:val="24"/>
          <w:lang w:val="sr-Latn-ME"/>
        </w:rPr>
        <w:t>18. V</w:t>
      </w:r>
    </w:p>
    <w:p w:rsidR="004450B4" w:rsidRPr="004450B4" w:rsidRDefault="004450B4" w:rsidP="004450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50B4">
        <w:rPr>
          <w:rFonts w:ascii="Times New Roman" w:hAnsi="Times New Roman" w:cs="Times New Roman"/>
          <w:b/>
          <w:sz w:val="24"/>
          <w:szCs w:val="24"/>
          <w:lang w:val="sr-Latn-ME"/>
        </w:rPr>
        <w:t>Fašizam kao ideologija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4450B4">
        <w:rPr>
          <w:rFonts w:ascii="Times New Roman" w:hAnsi="Times New Roman" w:cs="Times New Roman"/>
          <w:b/>
          <w:color w:val="70AD47" w:themeColor="accent6"/>
          <w:sz w:val="24"/>
          <w:szCs w:val="24"/>
          <w:lang w:val="sr-Latn-ME"/>
        </w:rPr>
        <w:t>25. V</w:t>
      </w:r>
    </w:p>
    <w:p w:rsidR="009C246E" w:rsidRPr="004450B4" w:rsidRDefault="009C246E">
      <w:pPr>
        <w:rPr>
          <w:rFonts w:ascii="Times New Roman" w:hAnsi="Times New Roman" w:cs="Times New Roman"/>
          <w:b/>
        </w:rPr>
      </w:pPr>
    </w:p>
    <w:sectPr w:rsidR="009C246E" w:rsidRPr="00445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11B2D"/>
    <w:multiLevelType w:val="hybridMultilevel"/>
    <w:tmpl w:val="E66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1B"/>
    <w:rsid w:val="0023191B"/>
    <w:rsid w:val="004450B4"/>
    <w:rsid w:val="009C246E"/>
    <w:rsid w:val="00A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03EC7-5D8E-4506-BF2A-093890D7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B4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0B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2</cp:revision>
  <dcterms:created xsi:type="dcterms:W3CDTF">2022-03-16T07:57:00Z</dcterms:created>
  <dcterms:modified xsi:type="dcterms:W3CDTF">2022-03-16T08:02:00Z</dcterms:modified>
</cp:coreProperties>
</file>