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F2DBD" w14:textId="2D5596A4" w:rsidR="000442AA" w:rsidRPr="003C20EE" w:rsidRDefault="000442AA">
      <w:pPr>
        <w:rPr>
          <w:rFonts w:ascii="Garamond" w:hAnsi="Garamond"/>
          <w:i/>
          <w:iCs/>
          <w:lang w:val="sr-Latn-RS"/>
        </w:rPr>
      </w:pPr>
      <w:r w:rsidRPr="003C20EE">
        <w:rPr>
          <w:rFonts w:ascii="Garamond" w:hAnsi="Garamond"/>
          <w:lang w:val="sr-Latn-RS"/>
        </w:rPr>
        <w:t xml:space="preserve">Ispitna pitanja – </w:t>
      </w:r>
      <w:r w:rsidRPr="003C20EE">
        <w:rPr>
          <w:rFonts w:ascii="Garamond" w:hAnsi="Garamond"/>
          <w:i/>
          <w:iCs/>
          <w:lang w:val="sr-Latn-RS"/>
        </w:rPr>
        <w:t xml:space="preserve">Uvod u </w:t>
      </w:r>
      <w:proofErr w:type="spellStart"/>
      <w:r w:rsidRPr="003C20EE">
        <w:rPr>
          <w:rFonts w:ascii="Garamond" w:hAnsi="Garamond"/>
          <w:i/>
          <w:iCs/>
          <w:lang w:val="sr-Latn-RS"/>
        </w:rPr>
        <w:t>komunikologiju</w:t>
      </w:r>
      <w:proofErr w:type="spellEnd"/>
    </w:p>
    <w:p w14:paraId="36250CF1" w14:textId="77777777" w:rsidR="000442AA" w:rsidRPr="003C20EE" w:rsidRDefault="000442AA">
      <w:pPr>
        <w:rPr>
          <w:rFonts w:ascii="Garamond" w:hAnsi="Garamond"/>
          <w:lang w:val="sr-Latn-RS"/>
        </w:rPr>
      </w:pPr>
    </w:p>
    <w:p w14:paraId="12176E47" w14:textId="4F435A91" w:rsidR="000442AA" w:rsidRPr="003C20EE" w:rsidRDefault="000442AA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1. Komunikologija kao nauka – predmet </w:t>
      </w:r>
      <w:proofErr w:type="spellStart"/>
      <w:r w:rsidRPr="003C20EE">
        <w:rPr>
          <w:rFonts w:ascii="Garamond" w:hAnsi="Garamond"/>
          <w:lang w:val="sr-Latn-RS"/>
        </w:rPr>
        <w:t>komunikologije</w:t>
      </w:r>
      <w:proofErr w:type="spellEnd"/>
    </w:p>
    <w:p w14:paraId="35B99395" w14:textId="17E9C728" w:rsidR="000442AA" w:rsidRPr="003C20EE" w:rsidRDefault="000442AA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2. Istorijsko nasljeđe i razvoj </w:t>
      </w:r>
      <w:proofErr w:type="spellStart"/>
      <w:r w:rsidRPr="003C20EE">
        <w:rPr>
          <w:rFonts w:ascii="Garamond" w:hAnsi="Garamond"/>
          <w:lang w:val="sr-Latn-RS"/>
        </w:rPr>
        <w:t>komunikologije</w:t>
      </w:r>
      <w:proofErr w:type="spellEnd"/>
    </w:p>
    <w:p w14:paraId="101AB7A0" w14:textId="7C038C01" w:rsidR="000442AA" w:rsidRPr="003C20EE" w:rsidRDefault="000442AA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3. Osnovni pojmovi u </w:t>
      </w:r>
      <w:proofErr w:type="spellStart"/>
      <w:r w:rsidRPr="003C20EE">
        <w:rPr>
          <w:rFonts w:ascii="Garamond" w:hAnsi="Garamond"/>
          <w:lang w:val="sr-Latn-RS"/>
        </w:rPr>
        <w:t>komunikologiji</w:t>
      </w:r>
      <w:proofErr w:type="spellEnd"/>
    </w:p>
    <w:p w14:paraId="51E09B5F" w14:textId="56D7F0B3" w:rsidR="000442AA" w:rsidRPr="003C20EE" w:rsidRDefault="000442AA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4. Modeli ljudske komunikacije</w:t>
      </w:r>
    </w:p>
    <w:p w14:paraId="06AA5008" w14:textId="1F1E93F4" w:rsidR="000442AA" w:rsidRPr="003C20EE" w:rsidRDefault="000442AA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5. Kod i kontekst</w:t>
      </w:r>
    </w:p>
    <w:p w14:paraId="7A835079" w14:textId="70851528" w:rsidR="000442AA" w:rsidRPr="003C20EE" w:rsidRDefault="000442AA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6. Struktura komunikativnog procesa</w:t>
      </w:r>
    </w:p>
    <w:p w14:paraId="06A22265" w14:textId="0B4AB6A6" w:rsidR="000442AA" w:rsidRPr="003C20EE" w:rsidRDefault="000442AA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7. Tipovi komunikacije</w:t>
      </w:r>
    </w:p>
    <w:p w14:paraId="5C6AAEA9" w14:textId="75904905" w:rsidR="000442AA" w:rsidRPr="003C20EE" w:rsidRDefault="000442AA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8. Interpersonalna komunikacija</w:t>
      </w:r>
    </w:p>
    <w:p w14:paraId="433973E5" w14:textId="0CBF7FAF" w:rsidR="000442AA" w:rsidRPr="003C20EE" w:rsidRDefault="000442AA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9. Komunikacija u grupi i masovna komunikacija</w:t>
      </w:r>
    </w:p>
    <w:p w14:paraId="666FB282" w14:textId="27066FD9" w:rsidR="000442AA" w:rsidRPr="003C20EE" w:rsidRDefault="000442AA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10. Teorije uticaja medija (teorije katarze, stimulativnog uticaja, učenja posmatranjem i kultivacije)</w:t>
      </w:r>
    </w:p>
    <w:p w14:paraId="41EFD180" w14:textId="58B2F08C" w:rsidR="000442AA" w:rsidRPr="003C20EE" w:rsidRDefault="000442AA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11. </w:t>
      </w:r>
      <w:r w:rsidR="00807AE3" w:rsidRPr="003C20EE">
        <w:rPr>
          <w:rFonts w:ascii="Garamond" w:hAnsi="Garamond"/>
          <w:lang w:val="sr-Latn-RS"/>
        </w:rPr>
        <w:t>Teorije kontrole u komunikaciji</w:t>
      </w:r>
    </w:p>
    <w:p w14:paraId="4C86ADF7" w14:textId="5E4AA2A3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12. </w:t>
      </w:r>
      <w:proofErr w:type="spellStart"/>
      <w:r w:rsidRPr="003C20EE">
        <w:rPr>
          <w:rFonts w:ascii="Garamond" w:hAnsi="Garamond"/>
          <w:lang w:val="sr-Latn-RS"/>
        </w:rPr>
        <w:t>Šenon-Viverov</w:t>
      </w:r>
      <w:proofErr w:type="spellEnd"/>
      <w:r w:rsidRPr="003C20EE">
        <w:rPr>
          <w:rFonts w:ascii="Garamond" w:hAnsi="Garamond"/>
          <w:lang w:val="sr-Latn-RS"/>
        </w:rPr>
        <w:t xml:space="preserve"> model komunikacije</w:t>
      </w:r>
    </w:p>
    <w:p w14:paraId="02ACCCDD" w14:textId="1EF87482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13. </w:t>
      </w:r>
      <w:proofErr w:type="spellStart"/>
      <w:r w:rsidRPr="003C20EE">
        <w:rPr>
          <w:rFonts w:ascii="Garamond" w:hAnsi="Garamond"/>
          <w:lang w:val="sr-Latn-RS"/>
        </w:rPr>
        <w:t>Šramov</w:t>
      </w:r>
      <w:proofErr w:type="spellEnd"/>
      <w:r w:rsidRPr="003C20EE">
        <w:rPr>
          <w:rFonts w:ascii="Garamond" w:hAnsi="Garamond"/>
          <w:lang w:val="sr-Latn-RS"/>
        </w:rPr>
        <w:t xml:space="preserve"> model komunikacije</w:t>
      </w:r>
    </w:p>
    <w:p w14:paraId="0869294C" w14:textId="274CF24D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14. Teorija čuvara prolaza (</w:t>
      </w:r>
      <w:proofErr w:type="spellStart"/>
      <w:r w:rsidRPr="003C20EE">
        <w:rPr>
          <w:rFonts w:ascii="Garamond" w:hAnsi="Garamond"/>
          <w:lang w:val="sr-Latn-RS"/>
        </w:rPr>
        <w:t>gatekeeping</w:t>
      </w:r>
      <w:proofErr w:type="spellEnd"/>
      <w:r w:rsidRPr="003C20EE">
        <w:rPr>
          <w:rFonts w:ascii="Garamond" w:hAnsi="Garamond"/>
          <w:lang w:val="sr-Latn-RS"/>
        </w:rPr>
        <w:t>)</w:t>
      </w:r>
    </w:p>
    <w:p w14:paraId="445EB4D4" w14:textId="34F03A6E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15. Teorija </w:t>
      </w:r>
      <w:proofErr w:type="spellStart"/>
      <w:r w:rsidRPr="003C20EE">
        <w:rPr>
          <w:rFonts w:ascii="Garamond" w:hAnsi="Garamond"/>
          <w:lang w:val="sr-Latn-RS"/>
        </w:rPr>
        <w:t>ubjeđivanja</w:t>
      </w:r>
      <w:proofErr w:type="spellEnd"/>
      <w:r w:rsidRPr="003C20EE">
        <w:rPr>
          <w:rFonts w:ascii="Garamond" w:hAnsi="Garamond"/>
          <w:lang w:val="sr-Latn-RS"/>
        </w:rPr>
        <w:t xml:space="preserve"> i teorija neverbalnog komuniciranja</w:t>
      </w:r>
    </w:p>
    <w:p w14:paraId="7FE120A7" w14:textId="39F3E320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16. Teorije ravnoteže u komunikaciji</w:t>
      </w:r>
    </w:p>
    <w:p w14:paraId="788D5042" w14:textId="2F59C41E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17. Teorija kongruencije</w:t>
      </w:r>
    </w:p>
    <w:p w14:paraId="3087596C" w14:textId="5BA61F3D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18. Teorija saznajnog nesklada</w:t>
      </w:r>
    </w:p>
    <w:p w14:paraId="7581BB75" w14:textId="3A061644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19. Teorija </w:t>
      </w:r>
      <w:proofErr w:type="spellStart"/>
      <w:r w:rsidRPr="003C20EE">
        <w:rPr>
          <w:rFonts w:ascii="Garamond" w:hAnsi="Garamond"/>
          <w:lang w:val="sr-Latn-RS"/>
        </w:rPr>
        <w:t>mijenjanja</w:t>
      </w:r>
      <w:proofErr w:type="spellEnd"/>
      <w:r w:rsidRPr="003C20EE">
        <w:rPr>
          <w:rFonts w:ascii="Garamond" w:hAnsi="Garamond"/>
          <w:lang w:val="sr-Latn-RS"/>
        </w:rPr>
        <w:t xml:space="preserve"> stavova i teorija smanjenja </w:t>
      </w:r>
      <w:proofErr w:type="spellStart"/>
      <w:r w:rsidRPr="003C20EE">
        <w:rPr>
          <w:rFonts w:ascii="Garamond" w:hAnsi="Garamond"/>
          <w:lang w:val="sr-Latn-RS"/>
        </w:rPr>
        <w:t>neizvjesnosti</w:t>
      </w:r>
      <w:proofErr w:type="spellEnd"/>
    </w:p>
    <w:p w14:paraId="51BFF3AC" w14:textId="4E8601B9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20. Određenje kulture i pristupi proučavanju kulture</w:t>
      </w:r>
    </w:p>
    <w:p w14:paraId="560FF152" w14:textId="5BE9E4D3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21. Savremeno tumačenje kulture i </w:t>
      </w:r>
      <w:proofErr w:type="spellStart"/>
      <w:r w:rsidRPr="003C20EE">
        <w:rPr>
          <w:rFonts w:ascii="Garamond" w:hAnsi="Garamond"/>
          <w:lang w:val="sr-Latn-RS"/>
        </w:rPr>
        <w:t>interkulturalna</w:t>
      </w:r>
      <w:proofErr w:type="spellEnd"/>
      <w:r w:rsidRPr="003C20EE">
        <w:rPr>
          <w:rFonts w:ascii="Garamond" w:hAnsi="Garamond"/>
          <w:lang w:val="sr-Latn-RS"/>
        </w:rPr>
        <w:t xml:space="preserve"> komunikacija</w:t>
      </w:r>
    </w:p>
    <w:p w14:paraId="0BBB4529" w14:textId="2C02B1C4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22. Učenje i usvajanje kulture – </w:t>
      </w:r>
      <w:proofErr w:type="spellStart"/>
      <w:r w:rsidRPr="003C20EE">
        <w:rPr>
          <w:rFonts w:ascii="Garamond" w:hAnsi="Garamond"/>
          <w:lang w:val="sr-Latn-RS"/>
        </w:rPr>
        <w:t>enkulturacija</w:t>
      </w:r>
      <w:proofErr w:type="spellEnd"/>
    </w:p>
    <w:p w14:paraId="47327728" w14:textId="54401E07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23. Učenje i usvajanje kulture – </w:t>
      </w:r>
      <w:proofErr w:type="spellStart"/>
      <w:r w:rsidRPr="003C20EE">
        <w:rPr>
          <w:rFonts w:ascii="Garamond" w:hAnsi="Garamond"/>
          <w:lang w:val="sr-Latn-RS"/>
        </w:rPr>
        <w:t>akulturacija</w:t>
      </w:r>
      <w:proofErr w:type="spellEnd"/>
      <w:r w:rsidRPr="003C20EE">
        <w:rPr>
          <w:rFonts w:ascii="Garamond" w:hAnsi="Garamond"/>
          <w:lang w:val="sr-Latn-RS"/>
        </w:rPr>
        <w:t xml:space="preserve"> </w:t>
      </w:r>
    </w:p>
    <w:p w14:paraId="61EB84AF" w14:textId="46C5C1B7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24. Individualističke i kolektivističke kulture</w:t>
      </w:r>
    </w:p>
    <w:p w14:paraId="01142728" w14:textId="215F1ED2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25. Kulture sa velikom i malom distancom moći</w:t>
      </w:r>
    </w:p>
    <w:p w14:paraId="7077C87F" w14:textId="23C141A0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26. Kulture sa velikom i malom tolerancijom na </w:t>
      </w:r>
      <w:proofErr w:type="spellStart"/>
      <w:r w:rsidRPr="003C20EE">
        <w:rPr>
          <w:rFonts w:ascii="Garamond" w:hAnsi="Garamond"/>
          <w:lang w:val="sr-Latn-RS"/>
        </w:rPr>
        <w:t>neizvjesnost</w:t>
      </w:r>
      <w:proofErr w:type="spellEnd"/>
    </w:p>
    <w:p w14:paraId="2C92316E" w14:textId="2E1E3056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27. Kulture visoko i nisko zasićene kontekstom</w:t>
      </w:r>
    </w:p>
    <w:p w14:paraId="221C84A9" w14:textId="586D0140" w:rsidR="000442AA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28. Barijere u </w:t>
      </w:r>
      <w:proofErr w:type="spellStart"/>
      <w:r w:rsidRPr="003C20EE">
        <w:rPr>
          <w:rFonts w:ascii="Garamond" w:hAnsi="Garamond"/>
          <w:lang w:val="sr-Latn-RS"/>
        </w:rPr>
        <w:t>interkulturalnoj</w:t>
      </w:r>
      <w:proofErr w:type="spellEnd"/>
      <w:r w:rsidRPr="003C20EE">
        <w:rPr>
          <w:rFonts w:ascii="Garamond" w:hAnsi="Garamond"/>
          <w:lang w:val="sr-Latn-RS"/>
        </w:rPr>
        <w:t xml:space="preserve"> komunikaciji i </w:t>
      </w:r>
      <w:proofErr w:type="spellStart"/>
      <w:r w:rsidRPr="003C20EE">
        <w:rPr>
          <w:rFonts w:ascii="Garamond" w:hAnsi="Garamond"/>
          <w:lang w:val="sr-Latn-RS"/>
        </w:rPr>
        <w:t>interkulturalna</w:t>
      </w:r>
      <w:proofErr w:type="spellEnd"/>
      <w:r w:rsidRPr="003C20EE">
        <w:rPr>
          <w:rFonts w:ascii="Garamond" w:hAnsi="Garamond"/>
          <w:lang w:val="sr-Latn-RS"/>
        </w:rPr>
        <w:t xml:space="preserve"> kompetentnost</w:t>
      </w:r>
    </w:p>
    <w:p w14:paraId="6FB73E59" w14:textId="68D1381C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29. Masovna komunikacija i homogenizacija u masovnoj komunikaciji</w:t>
      </w:r>
    </w:p>
    <w:p w14:paraId="03898E6B" w14:textId="34701332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30. </w:t>
      </w:r>
      <w:proofErr w:type="spellStart"/>
      <w:r w:rsidRPr="003C20EE">
        <w:rPr>
          <w:rFonts w:ascii="Garamond" w:hAnsi="Garamond"/>
          <w:lang w:val="sr-Latn-RS"/>
        </w:rPr>
        <w:t>Razumijevanje</w:t>
      </w:r>
      <w:proofErr w:type="spellEnd"/>
      <w:r w:rsidRPr="003C20EE">
        <w:rPr>
          <w:rFonts w:ascii="Garamond" w:hAnsi="Garamond"/>
          <w:lang w:val="sr-Latn-RS"/>
        </w:rPr>
        <w:t xml:space="preserve"> mase i koncept banalnosti zla kod Hane Arent</w:t>
      </w:r>
    </w:p>
    <w:p w14:paraId="09B2A724" w14:textId="48F40210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31. Pojam i tipologija publike</w:t>
      </w:r>
    </w:p>
    <w:p w14:paraId="1BC0885F" w14:textId="7C2061AC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32. Teorije masovne komunikacije</w:t>
      </w:r>
    </w:p>
    <w:p w14:paraId="76344279" w14:textId="0D73107F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33. Teorija </w:t>
      </w:r>
      <w:proofErr w:type="spellStart"/>
      <w:r w:rsidRPr="003C20EE">
        <w:rPr>
          <w:rFonts w:ascii="Garamond" w:hAnsi="Garamond"/>
          <w:lang w:val="sr-Latn-RS"/>
        </w:rPr>
        <w:t>hipodermičke</w:t>
      </w:r>
      <w:proofErr w:type="spellEnd"/>
      <w:r w:rsidRPr="003C20EE">
        <w:rPr>
          <w:rFonts w:ascii="Garamond" w:hAnsi="Garamond"/>
          <w:lang w:val="sr-Latn-RS"/>
        </w:rPr>
        <w:t xml:space="preserve"> igle (zlatnog metka)</w:t>
      </w:r>
    </w:p>
    <w:p w14:paraId="1D445B55" w14:textId="2AF39B66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34. Teorija dvostepenog toka komunikacije</w:t>
      </w:r>
    </w:p>
    <w:p w14:paraId="58105C68" w14:textId="2B08EC71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35. Teorija višestepenog toka komunikacije</w:t>
      </w:r>
    </w:p>
    <w:p w14:paraId="50C0A09C" w14:textId="77ECF5C2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36. Teorija postavljanja prioriteta (</w:t>
      </w:r>
      <w:proofErr w:type="spellStart"/>
      <w:r w:rsidRPr="003C20EE">
        <w:rPr>
          <w:rFonts w:ascii="Garamond" w:hAnsi="Garamond"/>
          <w:lang w:val="sr-Latn-RS"/>
        </w:rPr>
        <w:t>adženda</w:t>
      </w:r>
      <w:proofErr w:type="spellEnd"/>
      <w:r w:rsidRPr="003C20EE">
        <w:rPr>
          <w:rFonts w:ascii="Garamond" w:hAnsi="Garamond"/>
          <w:lang w:val="sr-Latn-RS"/>
        </w:rPr>
        <w:t xml:space="preserve"> </w:t>
      </w:r>
      <w:proofErr w:type="spellStart"/>
      <w:r w:rsidRPr="003C20EE">
        <w:rPr>
          <w:rFonts w:ascii="Garamond" w:hAnsi="Garamond"/>
          <w:lang w:val="sr-Latn-RS"/>
        </w:rPr>
        <w:t>seting</w:t>
      </w:r>
      <w:proofErr w:type="spellEnd"/>
      <w:r w:rsidRPr="003C20EE">
        <w:rPr>
          <w:rFonts w:ascii="Garamond" w:hAnsi="Garamond"/>
          <w:lang w:val="sr-Latn-RS"/>
        </w:rPr>
        <w:t>)</w:t>
      </w:r>
    </w:p>
    <w:p w14:paraId="1E7B9B34" w14:textId="3FDCC5CA" w:rsidR="00807AE3" w:rsidRPr="003C20EE" w:rsidRDefault="00807AE3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37. </w:t>
      </w:r>
      <w:r w:rsidR="003C20EE" w:rsidRPr="003C20EE">
        <w:rPr>
          <w:rFonts w:ascii="Garamond" w:hAnsi="Garamond"/>
          <w:lang w:val="sr-Latn-RS"/>
        </w:rPr>
        <w:t>Teorija medija i tehnološki determinizam Maršala Mekluana</w:t>
      </w:r>
    </w:p>
    <w:p w14:paraId="7B8EDE7B" w14:textId="4D4F9A93" w:rsidR="003C20EE" w:rsidRPr="003C20EE" w:rsidRDefault="003C20EE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38. Četiri teorije štampe</w:t>
      </w:r>
    </w:p>
    <w:p w14:paraId="01B5EA92" w14:textId="1A956757" w:rsidR="003C20EE" w:rsidRPr="003C20EE" w:rsidRDefault="003C20EE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39. Teorija spirale tišine</w:t>
      </w:r>
    </w:p>
    <w:p w14:paraId="4CF86678" w14:textId="3E3E9679" w:rsidR="003C20EE" w:rsidRPr="003C20EE" w:rsidRDefault="003C20EE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40. Pojam javnosti i javnog mnjenja (</w:t>
      </w:r>
      <w:proofErr w:type="spellStart"/>
      <w:r w:rsidRPr="003C20EE">
        <w:rPr>
          <w:rFonts w:ascii="Garamond" w:hAnsi="Garamond"/>
          <w:lang w:val="sr-Latn-RS"/>
        </w:rPr>
        <w:t>Lipman</w:t>
      </w:r>
      <w:proofErr w:type="spellEnd"/>
      <w:r w:rsidRPr="003C20EE">
        <w:rPr>
          <w:rFonts w:ascii="Garamond" w:hAnsi="Garamond"/>
          <w:lang w:val="sr-Latn-RS"/>
        </w:rPr>
        <w:t xml:space="preserve"> i Habermas)</w:t>
      </w:r>
    </w:p>
    <w:p w14:paraId="0C3FDC68" w14:textId="1F89D2BE" w:rsidR="003C20EE" w:rsidRPr="003C20EE" w:rsidRDefault="003C20EE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41. Komunikacija i manipulacija</w:t>
      </w:r>
    </w:p>
    <w:p w14:paraId="49BF9CEF" w14:textId="15137AE8" w:rsidR="003C20EE" w:rsidRPr="003C20EE" w:rsidRDefault="003C20EE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42. Propaganda, indoktrinacija, manipulacija</w:t>
      </w:r>
    </w:p>
    <w:p w14:paraId="7B1E4142" w14:textId="781A12EE" w:rsidR="003C20EE" w:rsidRPr="003C20EE" w:rsidRDefault="003C20EE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43. Pojam reklame – klasično i prikriveno oglašavanje</w:t>
      </w:r>
    </w:p>
    <w:p w14:paraId="2D7C1ED2" w14:textId="7503DD10" w:rsidR="003C20EE" w:rsidRPr="003C20EE" w:rsidRDefault="003C20EE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 xml:space="preserve">44. </w:t>
      </w:r>
      <w:proofErr w:type="spellStart"/>
      <w:r w:rsidRPr="003C20EE">
        <w:rPr>
          <w:rFonts w:ascii="Garamond" w:hAnsi="Garamond"/>
          <w:lang w:val="sr-Latn-RS"/>
        </w:rPr>
        <w:t>Pakardov</w:t>
      </w:r>
      <w:proofErr w:type="spellEnd"/>
      <w:r w:rsidRPr="003C20EE">
        <w:rPr>
          <w:rFonts w:ascii="Garamond" w:hAnsi="Garamond"/>
          <w:lang w:val="sr-Latn-RS"/>
        </w:rPr>
        <w:t xml:space="preserve"> pojam „skrivenih </w:t>
      </w:r>
      <w:proofErr w:type="spellStart"/>
      <w:r w:rsidRPr="003C20EE">
        <w:rPr>
          <w:rFonts w:ascii="Garamond" w:hAnsi="Garamond"/>
          <w:lang w:val="sr-Latn-RS"/>
        </w:rPr>
        <w:t>ubjeđivača</w:t>
      </w:r>
      <w:proofErr w:type="spellEnd"/>
      <w:r w:rsidRPr="003C20EE">
        <w:rPr>
          <w:rFonts w:ascii="Garamond" w:hAnsi="Garamond"/>
          <w:lang w:val="sr-Latn-RS"/>
        </w:rPr>
        <w:t>“</w:t>
      </w:r>
    </w:p>
    <w:p w14:paraId="534BFD08" w14:textId="4326747A" w:rsidR="003C20EE" w:rsidRPr="003C20EE" w:rsidRDefault="003C20EE">
      <w:pPr>
        <w:rPr>
          <w:rFonts w:ascii="Garamond" w:hAnsi="Garamond"/>
          <w:lang w:val="sr-Latn-RS"/>
        </w:rPr>
      </w:pPr>
      <w:r w:rsidRPr="003C20EE">
        <w:rPr>
          <w:rFonts w:ascii="Garamond" w:hAnsi="Garamond"/>
          <w:lang w:val="sr-Latn-RS"/>
        </w:rPr>
        <w:t>45. Cenzura i komunikacija</w:t>
      </w:r>
    </w:p>
    <w:p w14:paraId="3D7FC1DA" w14:textId="3055E87B" w:rsidR="003C20EE" w:rsidRPr="003C20EE" w:rsidRDefault="003C20EE">
      <w:pPr>
        <w:rPr>
          <w:rFonts w:ascii="Garamond" w:hAnsi="Garamond"/>
          <w:lang w:val="sr-Latn-RS"/>
        </w:rPr>
      </w:pPr>
    </w:p>
    <w:sectPr w:rsidR="003C20EE" w:rsidRPr="003C2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AA"/>
    <w:rsid w:val="000027B8"/>
    <w:rsid w:val="000442AA"/>
    <w:rsid w:val="003C20EE"/>
    <w:rsid w:val="00673F43"/>
    <w:rsid w:val="0080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D4736C"/>
  <w15:chartTrackingRefBased/>
  <w15:docId w15:val="{E48DF3D3-1EB6-DD49-A1C1-4A449493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2</cp:revision>
  <dcterms:created xsi:type="dcterms:W3CDTF">2023-12-24T10:23:00Z</dcterms:created>
  <dcterms:modified xsi:type="dcterms:W3CDTF">2024-12-23T20:13:00Z</dcterms:modified>
</cp:coreProperties>
</file>