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"/>
        <w:gridCol w:w="1098"/>
        <w:gridCol w:w="622"/>
        <w:gridCol w:w="718"/>
        <w:gridCol w:w="1460"/>
        <w:gridCol w:w="25"/>
        <w:gridCol w:w="1162"/>
        <w:gridCol w:w="2123"/>
        <w:gridCol w:w="2028"/>
        <w:gridCol w:w="146"/>
      </w:tblGrid>
      <w:tr w:rsidR="00665674" w:rsidRPr="008B66A4" w:rsidTr="00AC76E3">
        <w:trPr>
          <w:gridAfter w:val="1"/>
          <w:wAfter w:w="77" w:type="pct"/>
          <w:trHeight w:val="170"/>
          <w:jc w:val="center"/>
        </w:trPr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74" w:rsidRPr="008B66A4" w:rsidRDefault="00665674" w:rsidP="00AC76E3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RADNO PRAVO</w:t>
            </w:r>
          </w:p>
        </w:tc>
      </w:tr>
      <w:tr w:rsidR="00665674" w:rsidRPr="008B66A4" w:rsidTr="00AC76E3">
        <w:trPr>
          <w:gridAfter w:val="1"/>
          <w:wAfter w:w="77" w:type="pct"/>
          <w:trHeight w:val="291"/>
          <w:jc w:val="center"/>
        </w:trPr>
        <w:tc>
          <w:tcPr>
            <w:tcW w:w="630" w:type="pct"/>
            <w:gridSpan w:val="2"/>
            <w:tcBorders>
              <w:top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65674" w:rsidRPr="008B66A4" w:rsidTr="00AC76E3">
        <w:trPr>
          <w:gridAfter w:val="1"/>
          <w:wAfter w:w="77" w:type="pct"/>
          <w:trHeight w:val="230"/>
          <w:jc w:val="center"/>
        </w:trPr>
        <w:tc>
          <w:tcPr>
            <w:tcW w:w="630" w:type="pct"/>
            <w:gridSpan w:val="2"/>
            <w:vAlign w:val="center"/>
          </w:tcPr>
          <w:p w:rsidR="00665674" w:rsidRPr="008B66A4" w:rsidRDefault="00665674" w:rsidP="00AC76E3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490" w:type="pct"/>
            <w:gridSpan w:val="4"/>
            <w:vAlign w:val="center"/>
          </w:tcPr>
          <w:p w:rsidR="00665674" w:rsidRPr="008B66A4" w:rsidRDefault="00665674" w:rsidP="00AC76E3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13" w:type="pct"/>
            <w:vAlign w:val="center"/>
          </w:tcPr>
          <w:p w:rsidR="00665674" w:rsidRPr="00665674" w:rsidRDefault="008F4A66" w:rsidP="00AC76E3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74" w:rsidRPr="008B66A4" w:rsidRDefault="008F4A66" w:rsidP="00665674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4</w:t>
            </w:r>
            <w:r w:rsidR="00665674"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352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866D8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Studijski programi za koje se organizuju: 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 xml:space="preserve">Osnovne studije </w:t>
            </w:r>
            <w:r w:rsidR="00866D89">
              <w:rPr>
                <w:rFonts w:ascii="Arial" w:hAnsi="Arial" w:cs="Arial"/>
                <w:sz w:val="16"/>
                <w:szCs w:val="16"/>
                <w:lang w:val="sr-Latn-CS"/>
              </w:rPr>
              <w:t>Fakulteta političkih nbauka, smjer: Socijalna politika i socijalni rad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266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Uslovljenost drugim predmetima:</w:t>
            </w:r>
            <w:r w:rsidRPr="008B66A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>Nema uslova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206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8B66A4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Upoznavanje studenata sa osnovnim pojmovima radnog prava i socijalne zaštite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254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i saradnika:</w:t>
            </w:r>
            <w:r w:rsidRPr="008B66A4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Doc.</w:t>
            </w:r>
            <w:r w:rsidRPr="008B66A4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dr Vesna Simović</w:t>
            </w:r>
            <w:r w:rsidR="008F4A66"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 xml:space="preserve"> -</w:t>
            </w:r>
            <w:r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Zvicer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233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</w:t>
            </w:r>
            <w:r w:rsidRPr="008B66A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vježbe,</w:t>
            </w:r>
            <w:r w:rsidRPr="008B66A4">
              <w:rPr>
                <w:rFonts w:ascii="Arial" w:hAnsi="Arial" w:cs="Arial"/>
                <w:sz w:val="16"/>
                <w:szCs w:val="16"/>
                <w:lang w:val="sl-SI"/>
              </w:rPr>
              <w:t>seminarski radovi, konsultacije i govorne vježbe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141"/>
        </w:trPr>
        <w:tc>
          <w:tcPr>
            <w:tcW w:w="4949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65674" w:rsidRPr="008B66A4" w:rsidRDefault="00665674" w:rsidP="00AC76E3">
            <w:pPr>
              <w:keepNext/>
              <w:spacing w:after="0" w:line="240" w:lineRule="auto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SADRŽAJ PREDMETA 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3680"/>
        </w:trPr>
        <w:tc>
          <w:tcPr>
            <w:tcW w:w="12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ind w:right="-9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665674" w:rsidRPr="008B66A4" w:rsidRDefault="00665674" w:rsidP="00AC76E3">
            <w:pPr>
              <w:spacing w:after="0" w:line="240" w:lineRule="auto"/>
              <w:ind w:right="-9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III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IV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 nedelja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XIII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XIV nedelja</w:t>
            </w:r>
          </w:p>
          <w:p w:rsidR="00665674" w:rsidRPr="008B66A4" w:rsidRDefault="00665674" w:rsidP="00AC76E3">
            <w:pPr>
              <w:spacing w:after="0" w:line="240" w:lineRule="auto"/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 nedelja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XVI nedelja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XVII nedelja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XVIII-XXI nedelja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  <w:tc>
          <w:tcPr>
            <w:tcW w:w="366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Priprema i upis semestra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Pojam, predmet i razvoj radnog prava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Izvori radnog prava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Pravo na rad, radni odnosi i forme rada van radnog odnosa</w:t>
            </w:r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Raspoređivanje zaposlenih. Stručno osposobljavanje zaposlenih</w:t>
            </w:r>
          </w:p>
          <w:p w:rsidR="00665674" w:rsidRPr="001278AB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1278AB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Kolokvijum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Radno vrijeme. Odmori i odsustva. Mirovanje radnog odnosa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Odnos prema radu i odgovornost zaposlenih (materijalna, prekršajna i krivična)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Prestanak radnog odnosa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Ostvarivanje i zaštita prava zaposlnih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; 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Posebni režim radnih odnosa.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Kolektivna prava zaposlenih i rešavanje kolektivnih radnih sporova</w:t>
            </w:r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Popravni </w:t>
            </w: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kolokvijum.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Pojam, razvoj i nastanak socijalnog osiguranja. Osnovna načela i grane</w:t>
            </w:r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Zdravstveno osiguranje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;</w:t>
            </w:r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Invalidsko i penzijsko osiguranje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Nezaposlenost i prava nezaposlenih. 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Završni ispit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Ovjera semestra i upis ocjena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224"/>
        </w:trPr>
        <w:tc>
          <w:tcPr>
            <w:tcW w:w="4949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Opterećenje studenta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720"/>
        </w:trPr>
        <w:tc>
          <w:tcPr>
            <w:tcW w:w="2056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65674" w:rsidRPr="008B66A4" w:rsidRDefault="00665674" w:rsidP="00AC76E3">
            <w:pPr>
              <w:rPr>
                <w:rFonts w:ascii="Arial" w:hAnsi="Arial" w:cs="Arial"/>
                <w:sz w:val="16"/>
                <w:szCs w:val="16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5 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65674" w:rsidRPr="00665674" w:rsidRDefault="00665674" w:rsidP="00AC76E3">
            <w:pPr>
              <w:pStyle w:val="NormalWeb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Struktura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8F4A6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sati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predavanja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893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5674" w:rsidRPr="008B66A4" w:rsidRDefault="00665674" w:rsidP="00AC76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: (6 sati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40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minuta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>) x 16 =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106 sati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40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minuta</w:t>
            </w:r>
            <w:proofErr w:type="spellEnd"/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Neophodna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priprema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prije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početka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semestra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administracija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upis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ovjera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): 2 x (6 sati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40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minuta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>) =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sz w:val="16"/>
                <w:szCs w:val="16"/>
              </w:rPr>
              <w:t xml:space="preserve">13 sati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20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minuta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opterećenje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predmet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8B66A4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F4A66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x 30 =</w:t>
            </w:r>
            <w:r w:rsidRPr="008B66A4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150 sati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</w:p>
          <w:p w:rsidR="00665674" w:rsidRPr="008B66A4" w:rsidRDefault="00665674" w:rsidP="00AC76E3">
            <w:pPr>
              <w:pStyle w:val="NormalWeb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Dopunski</w:t>
            </w:r>
            <w:proofErr w:type="spellEnd"/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rad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za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pripremu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popravnom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ispitnom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roku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uključujući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polaganje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popravnog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od 0 - 30 sati.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211"/>
        </w:trPr>
        <w:tc>
          <w:tcPr>
            <w:tcW w:w="49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177"/>
        </w:trPr>
        <w:tc>
          <w:tcPr>
            <w:tcW w:w="49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Osnovna l</w:t>
            </w: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iteratura: </w:t>
            </w:r>
          </w:p>
          <w:p w:rsidR="00665674" w:rsidRPr="001278AB" w:rsidRDefault="00665674" w:rsidP="00AC76E3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1278AB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Uvod u radno pravo, Branko Lubarda , Pravni fakultet, Beograd, 2015.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278AB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Radno pravo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, 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>Vlajko Brajić,Savremena administracija, Beograd, 2001</w:t>
            </w:r>
          </w:p>
          <w:p w:rsidR="00665674" w:rsidRPr="00151CBD" w:rsidRDefault="00665674" w:rsidP="00AC76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151CBD">
              <w:rPr>
                <w:rFonts w:ascii="Arial" w:hAnsi="Arial" w:cs="Arial"/>
                <w:b/>
                <w:sz w:val="16"/>
                <w:szCs w:val="16"/>
                <w:lang w:val="sl-SI"/>
              </w:rPr>
              <w:t>Dodatna literatura:</w:t>
            </w:r>
          </w:p>
          <w:p w:rsidR="00665674" w:rsidRPr="002325FE" w:rsidRDefault="00665674" w:rsidP="00665674">
            <w:pPr>
              <w:pStyle w:val="FootnoteTex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l-SI"/>
              </w:rPr>
              <w:t>Zakon o radu CG (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’’Službeni list Crne Gore’’, br. </w:t>
            </w:r>
            <w:r w:rsidRPr="002325FE">
              <w:rPr>
                <w:rStyle w:val="st1"/>
                <w:rFonts w:ascii="Arial" w:hAnsi="Arial" w:cs="Arial"/>
                <w:sz w:val="16"/>
                <w:szCs w:val="16"/>
              </w:rPr>
              <w:t>49/2008, 59/2011,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2325FE">
              <w:rPr>
                <w:rStyle w:val="st1"/>
                <w:rFonts w:ascii="Arial" w:hAnsi="Arial" w:cs="Arial"/>
                <w:sz w:val="16"/>
                <w:szCs w:val="16"/>
              </w:rPr>
              <w:t xml:space="preserve">66/2012 </w:t>
            </w:r>
            <w:proofErr w:type="spellStart"/>
            <w:r w:rsidRPr="002325FE">
              <w:rPr>
                <w:rStyle w:val="st1"/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2325FE">
              <w:rPr>
                <w:rStyle w:val="st1"/>
                <w:rFonts w:ascii="Arial" w:hAnsi="Arial" w:cs="Arial"/>
                <w:sz w:val="16"/>
                <w:szCs w:val="16"/>
              </w:rPr>
              <w:t xml:space="preserve"> 31/14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</w:p>
          <w:p w:rsidR="00665674" w:rsidRPr="00151CBD" w:rsidRDefault="00665674" w:rsidP="0066567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štrajku (’’Službeni list Crne Gore’’, br. 11/15)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Socijalnom savjetu (</w:t>
            </w:r>
            <w:r w:rsidRPr="00151CBD">
              <w:rPr>
                <w:rFonts w:ascii="Arial" w:hAnsi="Arial" w:cs="Arial"/>
                <w:sz w:val="16"/>
                <w:szCs w:val="16"/>
              </w:rPr>
              <w:t>''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Sl. list CG’’, br. 16/07 i 20/11);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mirnom rješavanju radnih sporova (</w:t>
            </w:r>
            <w:r w:rsidRPr="00151CBD">
              <w:rPr>
                <w:rFonts w:ascii="Arial" w:hAnsi="Arial" w:cs="Arial"/>
                <w:sz w:val="16"/>
                <w:szCs w:val="16"/>
              </w:rPr>
              <w:t>''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Sl. list CG’’, br. 16/07 i 53/11); 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reprezentativnosti sindikata (’’Službeni list CG’’,</w:t>
            </w:r>
            <w:r w:rsidRPr="00151CBD">
              <w:rPr>
                <w:rStyle w:val="Heading1Char"/>
                <w:rFonts w:ascii="Arial" w:eastAsiaTheme="minorEastAsia" w:hAnsi="Arial" w:cs="Arial"/>
                <w:color w:val="545454"/>
                <w:sz w:val="16"/>
                <w:szCs w:val="16"/>
              </w:rPr>
              <w:t xml:space="preserve"> </w:t>
            </w:r>
            <w:proofErr w:type="spellStart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>broj</w:t>
            </w:r>
            <w:proofErr w:type="spellEnd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 xml:space="preserve"> 26/10 </w:t>
            </w:r>
            <w:proofErr w:type="spellStart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>i</w:t>
            </w:r>
            <w:proofErr w:type="spellEnd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 xml:space="preserve"> 36/13)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Zakon o zabrani zlostavljanja na radu 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(„</w:t>
            </w:r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Sl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 xml:space="preserve">. </w:t>
            </w:r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 xml:space="preserve">list </w:t>
            </w:r>
            <w:proofErr w:type="gramStart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CG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“ br.</w:t>
            </w:r>
            <w:proofErr w:type="gramEnd"/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30/12).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;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Zakon o zapošljavanju i ostvarivanju prava po osnovu nezaposlenosti 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("</w:t>
            </w:r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Sl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 xml:space="preserve">. </w:t>
            </w:r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 xml:space="preserve">list </w:t>
            </w:r>
            <w:proofErr w:type="spellStart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Crne</w:t>
            </w:r>
            <w:proofErr w:type="spellEnd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 xml:space="preserve"> Gore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 xml:space="preserve">", br. 14/10 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);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profesionalnoj  rehabilitaciji i zapošljavanju lica sa invaliditetom(’’Sl. list Crne Gore’’, br. 49</w:t>
            </w:r>
            <w:r w:rsidRPr="00151CBD">
              <w:rPr>
                <w:rFonts w:ascii="Arial" w:hAnsi="Arial" w:cs="Arial"/>
                <w:sz w:val="16"/>
                <w:szCs w:val="16"/>
                <w:lang w:val="pl-PL"/>
              </w:rPr>
              <w:t>/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08, </w:t>
            </w:r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 xml:space="preserve">73/10 </w:t>
            </w:r>
            <w:proofErr w:type="spellStart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>i</w:t>
            </w:r>
            <w:proofErr w:type="spellEnd"/>
            <w:r w:rsidRPr="00151CBD">
              <w:rPr>
                <w:rStyle w:val="st1"/>
                <w:rFonts w:ascii="Arial" w:hAnsi="Arial" w:cs="Arial"/>
                <w:color w:val="545454"/>
                <w:sz w:val="16"/>
                <w:szCs w:val="16"/>
              </w:rPr>
              <w:t>. 39/11),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);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 xml:space="preserve">Zakon o Fondu rada ( 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"</w:t>
            </w:r>
            <w:proofErr w:type="spellStart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Službeni</w:t>
            </w:r>
            <w:proofErr w:type="spellEnd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 xml:space="preserve"> list CG’’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151CBD">
              <w:rPr>
                <w:rStyle w:val="Emphasis"/>
                <w:rFonts w:ascii="Arial" w:hAnsi="Arial" w:cs="Arial"/>
                <w:color w:val="222222"/>
                <w:sz w:val="16"/>
                <w:szCs w:val="16"/>
              </w:rPr>
              <w:t>broj</w:t>
            </w:r>
            <w:proofErr w:type="spellEnd"/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 xml:space="preserve"> 88/2009")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;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penzijsko invalidskom osiguranju (Sl. list RCG</w:t>
            </w:r>
            <w:r w:rsidRPr="00151CBD">
              <w:rPr>
                <w:rStyle w:val="Heading1Char"/>
                <w:rFonts w:ascii="Arial" w:eastAsiaTheme="minorEastAsia" w:hAnsi="Arial" w:cs="Arial"/>
                <w:bCs w:val="0"/>
                <w:sz w:val="16"/>
                <w:szCs w:val="16"/>
              </w:rPr>
              <w:t xml:space="preserve"> </w:t>
            </w:r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br. 54/03, 39/04, 61/04, 79/04, 81/04, 14/07, 47/07, </w:t>
            </w:r>
            <w:proofErr w:type="spellStart"/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"Sl. list </w:t>
            </w:r>
            <w:proofErr w:type="spellStart"/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Crne</w:t>
            </w:r>
            <w:proofErr w:type="spellEnd"/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Gore", br. 79/08, 14/10 , 78/10, </w:t>
            </w:r>
            <w:r w:rsidRPr="00151CBD">
              <w:rPr>
                <w:rStyle w:val="st1"/>
                <w:rFonts w:ascii="Arial" w:hAnsi="Arial" w:cs="Arial"/>
                <w:b/>
                <w:color w:val="545454"/>
                <w:sz w:val="16"/>
                <w:szCs w:val="16"/>
              </w:rPr>
              <w:t>66/2012</w:t>
            </w:r>
            <w:r w:rsidRPr="00151CBD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  <w:r w:rsidRPr="00151CB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; 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zdravstvenom osiguranju (’’Sl.list CG 06</w:t>
            </w:r>
            <w:r w:rsidRPr="00151CBD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/16)</w:t>
            </w: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;</w:t>
            </w:r>
          </w:p>
          <w:p w:rsidR="00665674" w:rsidRPr="00151CBD" w:rsidRDefault="00665674" w:rsidP="00665674">
            <w:pPr>
              <w:numPr>
                <w:ilvl w:val="0"/>
                <w:numId w:val="1"/>
              </w:numPr>
              <w:spacing w:after="0" w:line="240" w:lineRule="auto"/>
              <w:ind w:left="225" w:hanging="225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51CBD">
              <w:rPr>
                <w:rFonts w:ascii="Arial" w:hAnsi="Arial" w:cs="Arial"/>
                <w:sz w:val="16"/>
                <w:szCs w:val="16"/>
                <w:lang w:val="sr-Latn-CS"/>
              </w:rPr>
              <w:t>Zakon o zdravstvenoj zaštiti (Sl. list CG, br.3/16).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665674" w:rsidRPr="009B703C" w:rsidTr="00AC76E3">
        <w:tblPrEx>
          <w:jc w:val="left"/>
        </w:tblPrEx>
        <w:trPr>
          <w:gridBefore w:val="1"/>
          <w:wBefore w:w="51" w:type="pct"/>
          <w:cantSplit/>
          <w:trHeight w:val="177"/>
        </w:trPr>
        <w:tc>
          <w:tcPr>
            <w:tcW w:w="49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lastRenderedPageBreak/>
              <w:t>Ishodi učenja:</w:t>
            </w:r>
          </w:p>
          <w:p w:rsidR="00665674" w:rsidRPr="000A5187" w:rsidRDefault="00665674" w:rsidP="00AC76E3">
            <w:pPr>
              <w:tabs>
                <w:tab w:val="left" w:pos="670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Nakon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što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 student </w:t>
            </w: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položi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ispit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biće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 u </w:t>
            </w:r>
            <w:proofErr w:type="spellStart"/>
            <w:r w:rsidRPr="000A5187">
              <w:rPr>
                <w:rFonts w:ascii="Arial" w:hAnsi="Arial" w:cs="Arial"/>
                <w:b/>
                <w:sz w:val="16"/>
                <w:szCs w:val="16"/>
              </w:rPr>
              <w:t>mogućnosti</w:t>
            </w:r>
            <w:proofErr w:type="spellEnd"/>
            <w:r w:rsidRPr="000A5187">
              <w:rPr>
                <w:rFonts w:ascii="Arial" w:hAnsi="Arial" w:cs="Arial"/>
                <w:b/>
                <w:sz w:val="16"/>
                <w:szCs w:val="16"/>
              </w:rPr>
              <w:t xml:space="preserve"> da:</w:t>
            </w:r>
            <w:r w:rsidRPr="000A518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665674" w:rsidRPr="009B703C" w:rsidRDefault="00665674" w:rsidP="00AC76E3">
            <w:pPr>
              <w:pStyle w:val="ListParagraph"/>
              <w:spacing w:after="200"/>
              <w:ind w:left="0"/>
              <w:contextualSpacing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Objasni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radno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pravo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posebnu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granu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njegov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odnos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drugim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granama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 I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osnovne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institute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radnog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Kritički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vrednuje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predloge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normativno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regulisanje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pitanja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koja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tiču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odnosa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radu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ili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povodom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Objasni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osnovne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krakteristike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postupak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ostvarivanja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individualnih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iz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radnog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Objasni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osnovne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karakteristike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postupak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zaštite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kolektuvnih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iz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radnog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odnosa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Objasni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ostvarivanje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po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osnovu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rada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iz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zdravstvenog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osiguranja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penzijsko-invalidskog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osiguranja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slučaj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5187">
              <w:rPr>
                <w:rFonts w:ascii="Arial" w:hAnsi="Arial" w:cs="Arial"/>
                <w:sz w:val="16"/>
                <w:szCs w:val="16"/>
              </w:rPr>
              <w:t>nezapsolenosti</w:t>
            </w:r>
            <w:proofErr w:type="spellEnd"/>
            <w:r w:rsidRPr="000A5187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cantSplit/>
          <w:trHeight w:val="225"/>
        </w:trPr>
        <w:tc>
          <w:tcPr>
            <w:tcW w:w="4949" w:type="pct"/>
            <w:gridSpan w:val="9"/>
            <w:tcBorders>
              <w:bottom w:val="dotted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Uspjeh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klokvijumu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vrednuje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4A6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bodova</w:t>
            </w:r>
            <w:proofErr w:type="spellEnd"/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Seminarski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rad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bodova</w:t>
            </w:r>
            <w:proofErr w:type="spellEnd"/>
          </w:p>
          <w:p w:rsidR="008F4A66" w:rsidRPr="008B66A4" w:rsidRDefault="008F4A66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Praktična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Govorna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vježba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4A6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bodova</w:t>
            </w:r>
            <w:proofErr w:type="spellEnd"/>
          </w:p>
          <w:p w:rsidR="00665674" w:rsidRDefault="00665674" w:rsidP="00AC76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="008F4A6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bodova</w:t>
            </w:r>
            <w:proofErr w:type="spellEnd"/>
          </w:p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3F0564" w:rsidRPr="008B66A4" w:rsidTr="00AC76E3">
        <w:tblPrEx>
          <w:jc w:val="left"/>
        </w:tblPrEx>
        <w:trPr>
          <w:gridBefore w:val="1"/>
          <w:wBefore w:w="51" w:type="pct"/>
          <w:cantSplit/>
          <w:trHeight w:val="225"/>
        </w:trPr>
        <w:tc>
          <w:tcPr>
            <w:tcW w:w="4949" w:type="pct"/>
            <w:gridSpan w:val="9"/>
            <w:tcBorders>
              <w:bottom w:val="dotted" w:sz="4" w:space="0" w:color="auto"/>
            </w:tcBorders>
          </w:tcPr>
          <w:p w:rsidR="003F0564" w:rsidRDefault="003F0564" w:rsidP="003F0564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694FF3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Prelazna ocjena se dobija ako se kumulativno ostvari najmanje 51 bod.</w:t>
            </w:r>
          </w:p>
          <w:p w:rsidR="003F0564" w:rsidRPr="008B66A4" w:rsidRDefault="003F0564" w:rsidP="003F056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694FF3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Sistem bodovanja: A - 91-100; B: 81 -90; C: 71 - 80; D: 61 -70; E: 5</w:t>
            </w:r>
            <w:r w:rsidR="008F4A6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0</w:t>
            </w:r>
            <w:bookmarkStart w:id="0" w:name="_GoBack"/>
            <w:bookmarkEnd w:id="0"/>
            <w:r w:rsidRPr="00694FF3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-60.</w:t>
            </w:r>
          </w:p>
        </w:tc>
      </w:tr>
      <w:tr w:rsidR="00665674" w:rsidRPr="008B66A4" w:rsidTr="00AC76E3">
        <w:tblPrEx>
          <w:jc w:val="left"/>
        </w:tblPrEx>
        <w:trPr>
          <w:gridBefore w:val="1"/>
          <w:wBefore w:w="51" w:type="pct"/>
          <w:trHeight w:val="98"/>
        </w:trPr>
        <w:tc>
          <w:tcPr>
            <w:tcW w:w="4949" w:type="pct"/>
            <w:gridSpan w:val="9"/>
            <w:tcBorders>
              <w:bottom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Posebne naznake za predmet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>: nema</w:t>
            </w:r>
          </w:p>
        </w:tc>
      </w:tr>
      <w:tr w:rsidR="00665674" w:rsidRPr="008B66A4" w:rsidTr="00AC76E3">
        <w:tblPrEx>
          <w:jc w:val="left"/>
        </w:tblPrEx>
        <w:trPr>
          <w:gridBefore w:val="3"/>
          <w:wBefore w:w="958" w:type="pct"/>
          <w:trHeight w:val="156"/>
        </w:trPr>
        <w:tc>
          <w:tcPr>
            <w:tcW w:w="404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65674" w:rsidRPr="008B66A4" w:rsidRDefault="00665674" w:rsidP="00AC76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koji je pripremio podatke: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>r Vesna Simovi</w:t>
            </w:r>
            <w:r w:rsidRPr="008B66A4">
              <w:rPr>
                <w:rFonts w:ascii="Arial" w:hAnsi="Arial" w:cs="Arial"/>
                <w:sz w:val="16"/>
                <w:szCs w:val="16"/>
              </w:rPr>
              <w:t>ć</w:t>
            </w: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B703C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Zvicer</w:t>
            </w:r>
          </w:p>
        </w:tc>
      </w:tr>
      <w:tr w:rsidR="00665674" w:rsidRPr="008B66A4" w:rsidTr="00AC76E3">
        <w:tblPrEx>
          <w:jc w:val="left"/>
        </w:tblPrEx>
        <w:trPr>
          <w:gridBefore w:val="3"/>
          <w:wBefore w:w="958" w:type="pct"/>
          <w:trHeight w:val="156"/>
        </w:trPr>
        <w:tc>
          <w:tcPr>
            <w:tcW w:w="404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65674" w:rsidRPr="008B66A4" w:rsidRDefault="00665674" w:rsidP="00AC76E3">
            <w:pPr>
              <w:tabs>
                <w:tab w:val="right" w:pos="698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Dodatne informacije o predmetu studenti mogu dobiti putem e-mail adrese: simovicvesna@gmail.com</w:t>
            </w:r>
            <w:r w:rsidRPr="008B66A4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</w:p>
        </w:tc>
      </w:tr>
    </w:tbl>
    <w:p w:rsidR="00FF775A" w:rsidRDefault="00FF775A"/>
    <w:sectPr w:rsidR="00FF775A" w:rsidSect="00ED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EC2"/>
    <w:multiLevelType w:val="hybridMultilevel"/>
    <w:tmpl w:val="74B47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3827"/>
    <w:multiLevelType w:val="hybridMultilevel"/>
    <w:tmpl w:val="B3D4784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74"/>
    <w:rsid w:val="003F0564"/>
    <w:rsid w:val="00665674"/>
    <w:rsid w:val="00866D89"/>
    <w:rsid w:val="008F4A66"/>
    <w:rsid w:val="00ED7113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A12F"/>
  <w15:docId w15:val="{FB43CE2F-1E4B-444F-BA09-273C485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13"/>
  </w:style>
  <w:style w:type="paragraph" w:styleId="Heading1">
    <w:name w:val="heading 1"/>
    <w:basedOn w:val="NoSpacing"/>
    <w:next w:val="NoSpacing"/>
    <w:link w:val="Heading1Char"/>
    <w:qFormat/>
    <w:rsid w:val="00665674"/>
    <w:pPr>
      <w:keepNext/>
      <w:keepLines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674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6656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6567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65674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5674"/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uiPriority w:val="20"/>
    <w:qFormat/>
    <w:rsid w:val="00665674"/>
    <w:rPr>
      <w:i/>
      <w:iCs/>
    </w:rPr>
  </w:style>
  <w:style w:type="paragraph" w:styleId="NormalWeb">
    <w:name w:val="Normal (Web)"/>
    <w:basedOn w:val="Normal"/>
    <w:uiPriority w:val="99"/>
    <w:rsid w:val="006656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character" w:customStyle="1" w:styleId="st1">
    <w:name w:val="st1"/>
    <w:basedOn w:val="DefaultParagraphFont"/>
    <w:rsid w:val="00665674"/>
  </w:style>
  <w:style w:type="character" w:customStyle="1" w:styleId="st">
    <w:name w:val="st"/>
    <w:basedOn w:val="DefaultParagraphFont"/>
    <w:rsid w:val="00665674"/>
  </w:style>
  <w:style w:type="character" w:styleId="Strong">
    <w:name w:val="Strong"/>
    <w:basedOn w:val="DefaultParagraphFont"/>
    <w:uiPriority w:val="22"/>
    <w:qFormat/>
    <w:rsid w:val="00665674"/>
    <w:rPr>
      <w:b/>
      <w:bCs/>
    </w:rPr>
  </w:style>
  <w:style w:type="paragraph" w:styleId="NoSpacing">
    <w:name w:val="No Spacing"/>
    <w:uiPriority w:val="1"/>
    <w:qFormat/>
    <w:rsid w:val="00665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SAŠA ZVICER</cp:lastModifiedBy>
  <cp:revision>2</cp:revision>
  <dcterms:created xsi:type="dcterms:W3CDTF">2018-02-20T20:24:00Z</dcterms:created>
  <dcterms:modified xsi:type="dcterms:W3CDTF">2018-02-20T20:24:00Z</dcterms:modified>
</cp:coreProperties>
</file>