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144"/>
        <w:gridCol w:w="156"/>
        <w:gridCol w:w="137"/>
        <w:gridCol w:w="135"/>
        <w:gridCol w:w="364"/>
        <w:gridCol w:w="1237"/>
        <w:gridCol w:w="808"/>
        <w:gridCol w:w="246"/>
        <w:gridCol w:w="547"/>
        <w:gridCol w:w="366"/>
        <w:gridCol w:w="1237"/>
        <w:gridCol w:w="878"/>
        <w:gridCol w:w="725"/>
        <w:gridCol w:w="1595"/>
      </w:tblGrid>
      <w:tr w:rsidR="003F0D99" w:rsidTr="003F0D99">
        <w:trPr>
          <w:trHeight w:val="359"/>
          <w:jc w:val="center"/>
        </w:trPr>
        <w:tc>
          <w:tcPr>
            <w:tcW w:w="209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 xml:space="preserve">Naziv predmeta: </w:t>
            </w:r>
          </w:p>
        </w:tc>
        <w:tc>
          <w:tcPr>
            <w:tcW w:w="29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keepNext/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16"/>
                <w:szCs w:val="16"/>
                <w:lang w:val="sr-Latn-CS"/>
              </w:rPr>
              <w:t>UGOVORNO PRAVO</w:t>
            </w:r>
          </w:p>
        </w:tc>
      </w:tr>
      <w:tr w:rsidR="003F0D99" w:rsidTr="003F0D99">
        <w:trPr>
          <w:trHeight w:val="447"/>
          <w:jc w:val="center"/>
        </w:trPr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8" w:right="-30"/>
              <w:jc w:val="center"/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Šifra predmeta</w:t>
            </w:r>
          </w:p>
        </w:tc>
        <w:tc>
          <w:tcPr>
            <w:tcW w:w="14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3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Status predmeta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3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Semestar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Broj ECTS kredita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  <w:t>Fond časova</w:t>
            </w:r>
          </w:p>
        </w:tc>
      </w:tr>
      <w:tr w:rsidR="003F0D99" w:rsidTr="003F0D99">
        <w:trPr>
          <w:trHeight w:val="230"/>
          <w:jc w:val="center"/>
        </w:trPr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99" w:rsidRDefault="003F0D99">
            <w:pPr>
              <w:keepNext/>
              <w:spacing w:after="0" w:line="240" w:lineRule="auto"/>
              <w:jc w:val="center"/>
              <w:outlineLvl w:val="3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4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keepNext/>
              <w:spacing w:after="0" w:line="240" w:lineRule="auto"/>
              <w:ind w:left="12"/>
              <w:jc w:val="center"/>
              <w:outlineLvl w:val="1"/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sr-Latn-CS"/>
              </w:rPr>
              <w:t>Obavezni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16"/>
                <w:szCs w:val="16"/>
              </w:rPr>
              <w:t xml:space="preserve">4+1 </w:t>
            </w:r>
          </w:p>
        </w:tc>
      </w:tr>
      <w:tr w:rsidR="003F0D99" w:rsidTr="003F0D99">
        <w:trPr>
          <w:trHeight w:val="44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Studijski programi za koje se organizuje: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Akademski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master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studijski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program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Pravnog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fakulteta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Univerziteta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Crne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Gore</w:t>
            </w:r>
          </w:p>
        </w:tc>
      </w:tr>
      <w:tr w:rsidR="003F0D99" w:rsidTr="003F0D99">
        <w:trPr>
          <w:trHeight w:val="266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Uslovljenost drugim predmetima: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Nema uslova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za prijavljivanje i slušanje predmeta</w:t>
            </w:r>
          </w:p>
        </w:tc>
      </w:tr>
      <w:tr w:rsidR="003F0D99" w:rsidTr="003F0D99">
        <w:trPr>
          <w:trHeight w:val="24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eastAsia="Arial Unicode MS" w:hAnsi="Arial" w:cs="Arial"/>
                <w:color w:val="800000"/>
                <w:sz w:val="16"/>
                <w:szCs w:val="16"/>
                <w:lang w:val="sr-Latn-CS"/>
              </w:rPr>
            </w:pPr>
            <w:r>
              <w:rPr>
                <w:rFonts w:ascii="Arial" w:eastAsia="Arial Unicode MS" w:hAnsi="Arial" w:cs="Arial"/>
                <w:b/>
                <w:i/>
                <w:sz w:val="16"/>
                <w:szCs w:val="16"/>
                <w:lang w:val="sr-Latn-CS"/>
              </w:rPr>
              <w:t>Ciljevi izučavanja predmeta:</w:t>
            </w:r>
            <w:r>
              <w:rPr>
                <w:rFonts w:ascii="Arial" w:eastAsia="Arial Unicode MS" w:hAnsi="Arial" w:cs="Arial"/>
                <w:color w:val="000000"/>
                <w:sz w:val="16"/>
                <w:szCs w:val="16"/>
                <w:lang w:val="sr-Latn-CS"/>
              </w:rPr>
              <w:t xml:space="preserve"> Izučavanje materije Ugovornog prava. Analiza domaćeg zakonodavstva u oblasti zaključenja i ispunjenja ugovornih obaveza i detaljno izučavanje tekstova PECL i DCFR. Povezivanje ranije stečenih znanja iz predmeta Obligaciono pravo sa novinama u savremenom ugovornom pravu. </w:t>
            </w:r>
          </w:p>
        </w:tc>
      </w:tr>
      <w:tr w:rsidR="003F0D99" w:rsidTr="003F0D99">
        <w:trPr>
          <w:trHeight w:val="24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eastAsia="Arial Unicode MS" w:hAnsi="Arial" w:cs="Arial"/>
                <w:b/>
                <w:i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  <w:t xml:space="preserve">ISHODI UČENJA: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definiše  i  objasni  pojam,  značaj  i  ulogu ugovornog prava u njemu; definiše  i  objasni  uslove  nastanka,  dejstvo,  načine  i  uslove  prestanka,  obezbjeđenja  i  izmjene  ugovornih  odnosa  u  ugovornom pravu;čita  i  tumači  pravne  propise  koji  uređuju ugovorno  pravo  i  analizira  sudsku praksu; uoči i shvati odnos, sličnosti i razlike evropskog i domaćeg ugovornog prava; zaključi  u  kojoj  mjeri  je  domaće  zakonodavstvo  usklađeno  sa  evropskim ugovornim pravom.</w:t>
            </w:r>
          </w:p>
        </w:tc>
      </w:tr>
      <w:tr w:rsidR="003F0D99" w:rsidTr="003F0D99">
        <w:trPr>
          <w:trHeight w:val="17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eastAsia="Arial Unicode MS" w:hAnsi="Arial" w:cs="Arial"/>
                <w:b/>
                <w:color w:val="800000"/>
                <w:sz w:val="16"/>
                <w:szCs w:val="16"/>
                <w:lang w:val="hr-HR"/>
              </w:rPr>
            </w:pPr>
            <w:r>
              <w:rPr>
                <w:rFonts w:ascii="Arial" w:eastAsia="Arial Unicode MS" w:hAnsi="Arial" w:cs="Arial"/>
                <w:b/>
                <w:sz w:val="16"/>
                <w:szCs w:val="16"/>
                <w:lang w:val="sr-Latn-CS"/>
              </w:rPr>
              <w:t xml:space="preserve">Ime i prezime nastavnika: </w:t>
            </w:r>
            <w:r>
              <w:rPr>
                <w:rFonts w:ascii="Arial" w:eastAsia="Arial Unicode MS" w:hAnsi="Arial" w:cs="Arial"/>
                <w:sz w:val="16"/>
                <w:szCs w:val="16"/>
                <w:lang w:val="sr-Latn-CS"/>
              </w:rPr>
              <w:t>Prof. dr Snežana Miladinović</w:t>
            </w:r>
          </w:p>
        </w:tc>
      </w:tr>
      <w:tr w:rsidR="003F0D99" w:rsidTr="003F0D99">
        <w:trPr>
          <w:trHeight w:val="227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Metod nastave i savladanja gradiva: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- Predavanja, vježbe, konsultacije, diskusije, individualni zadaci, analiza primjera iz sudske prakse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-Vježbe  čine 20%  fonda časova predviđenih za predmet Ugovorno pravo.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-Vježbe se sastoje iz pratičnog rada studenata koji obuhvata pisanje ugovora i analizu primjera iz sudske i poslovne prakse. Metodi rada na vježbama su: metod slučaja, simulacija, Sokratov metod. </w:t>
            </w:r>
          </w:p>
        </w:tc>
      </w:tr>
      <w:tr w:rsidR="003F0D99" w:rsidTr="003F0D99">
        <w:trPr>
          <w:cantSplit/>
          <w:trHeight w:val="162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keepNext/>
              <w:spacing w:after="0" w:line="240" w:lineRule="auto"/>
              <w:outlineLvl w:val="2"/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l-SI"/>
              </w:rPr>
              <w:t xml:space="preserve">PLAN RADA 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7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 xml:space="preserve">Nedjelja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i datum</w:t>
            </w:r>
          </w:p>
        </w:tc>
        <w:tc>
          <w:tcPr>
            <w:tcW w:w="4229" w:type="pct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sr-Latn-CS"/>
              </w:rPr>
              <w:t>Naziv metodskih jedinica za predavanja(P), vježbe (V) i  ostale nastavne sadržaje (O); Planirani oblik  provjere znanja (Pz)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103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Pripremna nedjelja</w:t>
            </w:r>
          </w:p>
        </w:tc>
        <w:tc>
          <w:tcPr>
            <w:tcW w:w="397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Upoznavanje, priprema i upis semestra.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I nedelja</w:t>
            </w:r>
          </w:p>
        </w:tc>
        <w:tc>
          <w:tcPr>
            <w:tcW w:w="330" w:type="pct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vertAlign w:val="superscript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Ugovorno pravo – pojam, razvoj i značaj.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Mjesto Ugovornog prava u sistemu imovinskog prava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Načela ugovornog prava. Osnovna načela ZOO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III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Ugovorno pravo u ZOO, PECL, DCFR  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IV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Pojam ugovora; Podjele ugovora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V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Uslovi za zaključenje ugovora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VI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Zaključenje ugovora (pregovori, ponuda, prihvat ponude) 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VII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Tumačenje ugovora; Integracija ugovora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VIII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Sadržina i dejstvo ugovora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IX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Obligacionopravni ugovori sa više subjekata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Zamjene subjekata u ugovornom odnosu (ustupanje potraživanja, prezimanje duga, ustupanje ugovora)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Sredstva obezbjeđenja </w:t>
            </w:r>
          </w:p>
        </w:tc>
      </w:tr>
      <w:tr w:rsidR="003F0D99" w:rsidTr="003F0D99">
        <w:trPr>
          <w:cantSplit/>
          <w:trHeight w:val="287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Ispunjenje ugovora </w:t>
            </w:r>
          </w:p>
        </w:tc>
      </w:tr>
      <w:tr w:rsidR="003F0D99" w:rsidTr="003F0D99">
        <w:trPr>
          <w:cantSplit/>
          <w:trHeight w:val="367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XIII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Neispunjenje ugovora. Prava za slučaj neispunjenja ugovora</w:t>
            </w:r>
          </w:p>
        </w:tc>
      </w:tr>
      <w:tr w:rsidR="003F0D99" w:rsidTr="003F0D99">
        <w:trPr>
          <w:cantSplit/>
          <w:trHeight w:val="348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XIV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Ostali načini prestanka ugovora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700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2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V</w:t>
            </w:r>
          </w:p>
        </w:tc>
        <w:tc>
          <w:tcPr>
            <w:tcW w:w="330" w:type="pct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ind w:left="-108" w:right="-91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P/V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Zaključna ramatranja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1030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 xml:space="preserve">XVI 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  <w:t>Završni ispiti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1030" w:type="pct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XVII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3F0D99" w:rsidTr="003F0D99">
        <w:trPr>
          <w:cantSplit/>
          <w:trHeight w:val="140"/>
          <w:jc w:val="center"/>
        </w:trPr>
        <w:tc>
          <w:tcPr>
            <w:tcW w:w="1030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sl-SI"/>
              </w:rPr>
              <w:t>XVIII</w:t>
            </w:r>
          </w:p>
        </w:tc>
        <w:tc>
          <w:tcPr>
            <w:tcW w:w="3970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Popravni ispitni rok</w:t>
            </w:r>
          </w:p>
        </w:tc>
      </w:tr>
      <w:tr w:rsidR="003F0D99" w:rsidTr="003F0D99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 xml:space="preserve">Obaveze studenta u toku nastave: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>Studenti su obavezni da pohađaju nastavu, vježbe i rade kolokvijume.</w:t>
            </w:r>
          </w:p>
        </w:tc>
      </w:tr>
      <w:tr w:rsidR="003F0D99" w:rsidTr="003F0D99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l-SI"/>
              </w:rPr>
              <w:t>Konsultacije: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l-SI"/>
              </w:rPr>
              <w:t xml:space="preserve"> Poslije termina predviđenog za predavanja</w:t>
            </w:r>
          </w:p>
        </w:tc>
      </w:tr>
      <w:tr w:rsidR="003F0D99" w:rsidTr="003F0D99">
        <w:trPr>
          <w:cantSplit/>
          <w:trHeight w:val="30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Opterećenje studenta u časovima:</w:t>
            </w:r>
          </w:p>
        </w:tc>
      </w:tr>
      <w:tr w:rsidR="003F0D99" w:rsidTr="003F0D99">
        <w:trPr>
          <w:cantSplit/>
          <w:trHeight w:val="720"/>
          <w:jc w:val="center"/>
        </w:trPr>
        <w:tc>
          <w:tcPr>
            <w:tcW w:w="2221" w:type="pct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sr-Latn-CS"/>
              </w:rPr>
              <w:t>nedjeljno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x 40/30 = 9.3 sati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Struktura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predavanja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vježbe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3.3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samostalnog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rada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uključujući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konsultacije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</w:p>
        </w:tc>
        <w:tc>
          <w:tcPr>
            <w:tcW w:w="2779" w:type="pct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u w:val="single"/>
                <w:lang w:val="sr-Latn-CS"/>
              </w:rPr>
              <w:t>u semestru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7x30 = 210 sati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Struktura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  <w:p w:rsidR="003F0D99" w:rsidRDefault="003F0D9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Nastava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završni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ispit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: 10x14nedelja= 140 sati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Neophodne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pripreme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prije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početka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semestra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administracija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upis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ovjera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): 12x2= 24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Dopunski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rad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pripremu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polaganje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ispita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popravnom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roku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46 sati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</w:p>
        </w:tc>
      </w:tr>
      <w:tr w:rsidR="003F0D99" w:rsidTr="003F0D99">
        <w:trPr>
          <w:cantSplit/>
          <w:trHeight w:val="41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lastRenderedPageBreak/>
              <w:t xml:space="preserve">Literatura: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 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Snežana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Miladinović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Načela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evropskog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ugvornog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(osnova novog evropskog ugovornog prava i uticaj </w:t>
            </w:r>
            <w:proofErr w:type="gramStart"/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>na</w:t>
            </w:r>
            <w:proofErr w:type="gramEnd"/>
            <w:r>
              <w:rPr>
                <w:rFonts w:ascii="Arial" w:hAnsi="Arial" w:cs="Arial"/>
                <w:i/>
                <w:sz w:val="16"/>
                <w:szCs w:val="16"/>
                <w:lang w:val="hr-HR"/>
              </w:rPr>
              <w:t xml:space="preserve"> Zakon o obligacionim odnosima Crne Gore)</w:t>
            </w:r>
            <w:r>
              <w:rPr>
                <w:rFonts w:ascii="Arial" w:hAnsi="Arial" w:cs="Arial"/>
                <w:sz w:val="16"/>
                <w:szCs w:val="16"/>
                <w:lang w:val="hr-HR"/>
              </w:rPr>
              <w:t>, Univerzitet Crne Gore, Pravni fakultet, Podgorica, 2011.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Oliver Antić, Obligaciono pravo, Pravni fakultet Univerziteta u Beogradu, Beograd, 2012.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Slobodan Perović, Obligaciono pravo, Savremena administracija, Beograd, 1990.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Ilija Zindović, Obligaciono pravo, posebni deo, Poslovni biro, Beograd, 2010.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Komentar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Zakona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obligacionim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odnosima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Savremena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administracija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Beograd, 1995.</w:t>
            </w:r>
          </w:p>
          <w:p w:rsidR="003F0D99" w:rsidRDefault="003F0D99" w:rsidP="00A231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Dodatna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literatura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članci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rasprave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stranih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domaćih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autora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izradu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seminarskih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radova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eseja</w:t>
            </w:r>
            <w:proofErr w:type="spellEnd"/>
          </w:p>
        </w:tc>
      </w:tr>
      <w:tr w:rsidR="003F0D99" w:rsidTr="003F0D99">
        <w:trPr>
          <w:cantSplit/>
          <w:trHeight w:val="531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Oblici provjere znanja i ocjenjivanje: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</w:p>
          <w:p w:rsidR="003F0D99" w:rsidRDefault="003F0D99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Ocjenjuju se: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Studenti polažu jedan kolokvijum koji se boduje od 0 do 45 bodova. 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Kolokvijum, popravni kolokvijum i ispit polažu se usmeno. 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Na kolokvijumu i popravnom kolovijumu i završnom ispitu student izvlači tri pitanja koja se pojedinačno vrednuju  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Aktivnost na vježbama (praktična nastava) vrednuje se od 0 do 10 bodova.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Na završnom ispitu student može osvojiti od 0 do 45 bodova</w:t>
            </w:r>
          </w:p>
          <w:p w:rsidR="003F0D99" w:rsidRDefault="003F0D99" w:rsidP="00A2315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Konačna ocjena se formira sabiranjem ukupnog broja osvojenih bodova.</w:t>
            </w:r>
          </w:p>
        </w:tc>
      </w:tr>
      <w:tr w:rsidR="003F0D99" w:rsidTr="003F0D99">
        <w:trPr>
          <w:cantSplit/>
          <w:trHeight w:val="295"/>
          <w:jc w:val="center"/>
        </w:trPr>
        <w:tc>
          <w:tcPr>
            <w:tcW w:w="841" w:type="pct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Ocjena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A</w:t>
            </w:r>
          </w:p>
        </w:tc>
        <w:tc>
          <w:tcPr>
            <w:tcW w:w="832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B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C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D</w:t>
            </w:r>
          </w:p>
        </w:tc>
        <w:tc>
          <w:tcPr>
            <w:tcW w:w="8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E</w:t>
            </w:r>
          </w:p>
        </w:tc>
      </w:tr>
      <w:tr w:rsidR="003F0D99" w:rsidTr="003F0D99">
        <w:trPr>
          <w:cantSplit/>
          <w:trHeight w:val="295"/>
          <w:jc w:val="center"/>
        </w:trPr>
        <w:tc>
          <w:tcPr>
            <w:tcW w:w="841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D99" w:rsidRDefault="003F0D99">
            <w:pPr>
              <w:spacing w:after="0" w:line="240" w:lineRule="auto"/>
              <w:jc w:val="right"/>
              <w:rPr>
                <w:rFonts w:ascii="Arial" w:hAnsi="Arial" w:cs="Arial"/>
                <w:b/>
                <w:i/>
                <w:color w:val="000000"/>
                <w:sz w:val="16"/>
                <w:szCs w:val="16"/>
                <w:vertAlign w:val="superscript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Broj poena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90-100</w:t>
            </w:r>
          </w:p>
        </w:tc>
        <w:tc>
          <w:tcPr>
            <w:tcW w:w="83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80-89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70-79</w:t>
            </w:r>
          </w:p>
        </w:tc>
        <w:tc>
          <w:tcPr>
            <w:tcW w:w="83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60-69</w:t>
            </w:r>
          </w:p>
        </w:tc>
        <w:tc>
          <w:tcPr>
            <w:tcW w:w="82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>50-59</w:t>
            </w:r>
          </w:p>
        </w:tc>
      </w:tr>
      <w:tr w:rsidR="003F0D99" w:rsidTr="003F0D99">
        <w:trPr>
          <w:trHeight w:val="395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99" w:rsidRDefault="003F0D9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 xml:space="preserve">Napomena: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</w:t>
            </w:r>
          </w:p>
          <w:p w:rsidR="003F0D99" w:rsidRDefault="003F0D99">
            <w:pPr>
              <w:spacing w:after="0" w:line="240" w:lineRule="auto"/>
              <w:jc w:val="both"/>
              <w:rPr>
                <w:rFonts w:ascii="Arial" w:hAnsi="Arial" w:cs="Arial"/>
                <w:color w:val="800000"/>
                <w:sz w:val="16"/>
                <w:szCs w:val="16"/>
                <w:lang w:val="sr-Latn-CS"/>
              </w:rPr>
            </w:pPr>
          </w:p>
        </w:tc>
      </w:tr>
      <w:tr w:rsidR="003F0D99" w:rsidTr="003F0D99">
        <w:trPr>
          <w:gridBefore w:val="1"/>
          <w:wBefore w:w="544" w:type="pct"/>
          <w:trHeight w:val="156"/>
          <w:jc w:val="center"/>
        </w:trPr>
        <w:tc>
          <w:tcPr>
            <w:tcW w:w="44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 xml:space="preserve"> Dodatne informacije o predmetu: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 xml:space="preserve"> Dodatne informacije je moguće dobiti na</w:t>
            </w:r>
            <w:r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sr-Latn-CS"/>
              </w:rPr>
              <w:t xml:space="preserve"> adresi: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  <w:u w:val="single"/>
                <w:lang w:val="sr-Latn-CS"/>
              </w:rPr>
              <w:t>http://www.pravni.ucg.ac.me/</w:t>
            </w:r>
          </w:p>
        </w:tc>
      </w:tr>
      <w:tr w:rsidR="003F0D99" w:rsidTr="003F0D99">
        <w:trPr>
          <w:gridBefore w:val="1"/>
          <w:wBefore w:w="544" w:type="pct"/>
          <w:trHeight w:val="156"/>
          <w:jc w:val="center"/>
        </w:trPr>
        <w:tc>
          <w:tcPr>
            <w:tcW w:w="4456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D99" w:rsidRDefault="003F0D99">
            <w:pPr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sr-Latn-CS"/>
              </w:rPr>
              <w:t xml:space="preserve">Ime i prezime nastavnika koji je pripremio podatke: </w:t>
            </w:r>
          </w:p>
          <w:p w:rsidR="003F0D99" w:rsidRDefault="003F0D9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sr-Latn-CS"/>
              </w:rPr>
              <w:t>Prof. dr Snežana Miladinović</w:t>
            </w:r>
          </w:p>
        </w:tc>
      </w:tr>
    </w:tbl>
    <w:p w:rsidR="00BF5A3A" w:rsidRDefault="00BF5A3A"/>
    <w:sectPr w:rsidR="00BF5A3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D27D6"/>
    <w:multiLevelType w:val="hybridMultilevel"/>
    <w:tmpl w:val="CCE876A4"/>
    <w:lvl w:ilvl="0" w:tplc="AEF0AE98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C298B"/>
    <w:multiLevelType w:val="multilevel"/>
    <w:tmpl w:val="0E0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3F0D99"/>
    <w:rsid w:val="003F0D99"/>
    <w:rsid w:val="00B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2020-10-11T19:19:00Z</dcterms:created>
  <dcterms:modified xsi:type="dcterms:W3CDTF">2020-10-11T19:19:00Z</dcterms:modified>
</cp:coreProperties>
</file>