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E8" w:rsidRPr="00AB4276" w:rsidRDefault="00EF23E8" w:rsidP="00EF23E8">
      <w:pPr>
        <w:pStyle w:val="Heading1"/>
        <w:rPr>
          <w:sz w:val="24"/>
        </w:rPr>
      </w:pPr>
      <w:r w:rsidRPr="00AB4276">
        <w:rPr>
          <w:sz w:val="24"/>
        </w:rPr>
        <w:t>INFORMACIJA ZA STUDENTE I PLAN RADA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"/>
        <w:gridCol w:w="998"/>
        <w:gridCol w:w="454"/>
        <w:gridCol w:w="139"/>
        <w:gridCol w:w="175"/>
        <w:gridCol w:w="20"/>
        <w:gridCol w:w="179"/>
        <w:gridCol w:w="1285"/>
        <w:gridCol w:w="219"/>
        <w:gridCol w:w="209"/>
        <w:gridCol w:w="875"/>
        <w:gridCol w:w="359"/>
        <w:gridCol w:w="1570"/>
        <w:gridCol w:w="90"/>
        <w:gridCol w:w="1652"/>
        <w:gridCol w:w="8"/>
        <w:gridCol w:w="1644"/>
      </w:tblGrid>
      <w:tr w:rsidR="00EF23E8" w:rsidRPr="00DC41DC" w:rsidTr="00C77F1B">
        <w:trPr>
          <w:gridBefore w:val="6"/>
          <w:gridAfter w:val="2"/>
          <w:wBefore w:w="940" w:type="pct"/>
          <w:wAfter w:w="830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C77F1B">
        <w:trPr>
          <w:gridBefore w:val="1"/>
          <w:gridAfter w:val="2"/>
          <w:wBefore w:w="43" w:type="pct"/>
          <w:wAfter w:w="830" w:type="pct"/>
          <w:trHeight w:val="291"/>
          <w:jc w:val="center"/>
        </w:trPr>
        <w:tc>
          <w:tcPr>
            <w:tcW w:w="887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C77F1B">
        <w:trPr>
          <w:gridBefore w:val="1"/>
          <w:gridAfter w:val="2"/>
          <w:wBefore w:w="43" w:type="pct"/>
          <w:wAfter w:w="830" w:type="pct"/>
          <w:trHeight w:val="373"/>
          <w:jc w:val="center"/>
        </w:trPr>
        <w:tc>
          <w:tcPr>
            <w:tcW w:w="887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156AC0" w:rsidP="00652B03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IV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156AC0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sr-Latn-CS"/>
              </w:rPr>
              <w:t>5</w:t>
            </w:r>
          </w:p>
        </w:tc>
        <w:tc>
          <w:tcPr>
            <w:tcW w:w="872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156AC0" w:rsidP="00652B03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C77F1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156AC0" w:rsidP="00BE43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Studije Menadžmenta Podgorica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(studije traju </w:t>
            </w:r>
            <w:r w:rsidR="00BE4365">
              <w:rPr>
                <w:rFonts w:ascii="Times New Roman" w:hAnsi="Times New Roman"/>
                <w:sz w:val="20"/>
                <w:szCs w:val="20"/>
              </w:rPr>
              <w:t>6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semestara, </w:t>
            </w:r>
            <w:r w:rsidR="00BE4365">
              <w:rPr>
                <w:rFonts w:ascii="Times New Roman" w:hAnsi="Times New Roman"/>
                <w:sz w:val="20"/>
                <w:szCs w:val="20"/>
              </w:rPr>
              <w:t>180</w:t>
            </w:r>
            <w:r w:rsidR="00EF23E8"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C77F1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C77F1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C77F1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156AC0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Mr </w:t>
            </w:r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C77F1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</w:t>
            </w:r>
            <w:r w:rsidR="000017F9">
              <w:rPr>
                <w:rFonts w:ascii="Times New Roman" w:hAnsi="Times New Roman"/>
                <w:szCs w:val="20"/>
              </w:rPr>
              <w:t xml:space="preserve"> – istraživanje</w:t>
            </w:r>
            <w:r w:rsidRPr="00DC41DC">
              <w:rPr>
                <w:rFonts w:ascii="Times New Roman" w:hAnsi="Times New Roman"/>
                <w:szCs w:val="20"/>
              </w:rPr>
              <w:t>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8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C77F1B" w:rsidRDefault="00253F0B" w:rsidP="00C61639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sz w:val="20"/>
                <w:szCs w:val="20"/>
              </w:rPr>
              <w:t>Upoznavanje sa predmetom</w:t>
            </w:r>
            <w:r w:rsidR="00DC41DC" w:rsidRPr="00C77F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4276" w:rsidRPr="00C77F1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C41DC" w:rsidRPr="00C77F1B">
              <w:rPr>
                <w:rFonts w:ascii="Times New Roman" w:hAnsi="Times New Roman" w:cs="Times New Roman"/>
                <w:sz w:val="20"/>
                <w:szCs w:val="20"/>
              </w:rPr>
              <w:t>vod u organizaciono ponašanje</w:t>
            </w:r>
            <w:r w:rsidR="00AB4276" w:rsidRPr="00C77F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B4276" w:rsidRPr="00C77F1B">
              <w:rPr>
                <w:rFonts w:ascii="Times New Roman" w:hAnsi="Times New Roman"/>
                <w:color w:val="auto"/>
                <w:sz w:val="20"/>
                <w:szCs w:val="20"/>
              </w:rPr>
              <w:t>Menadžment i O</w:t>
            </w:r>
            <w:r w:rsidR="00C61639" w:rsidRPr="00C77F1B">
              <w:rPr>
                <w:rFonts w:ascii="Times New Roman" w:hAnsi="Times New Roman"/>
                <w:color w:val="auto"/>
                <w:sz w:val="20"/>
                <w:szCs w:val="20"/>
              </w:rPr>
              <w:t>P</w:t>
            </w:r>
            <w:r w:rsidR="00AB4276" w:rsidRPr="00C77F1B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C77F1B" w:rsidRDefault="00AB4276" w:rsidP="00AB4276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Uvod u organizaciono ponašanje</w:t>
            </w:r>
            <w:r w:rsidR="00253F0B" w:rsidRPr="00C77F1B">
              <w:rPr>
                <w:rFonts w:ascii="Times New Roman" w:hAnsi="Times New Roman"/>
                <w:color w:val="auto"/>
                <w:szCs w:val="20"/>
              </w:rPr>
              <w:t xml:space="preserve"> (</w:t>
            </w:r>
            <w:r w:rsidR="00C61639" w:rsidRPr="00C77F1B">
              <w:rPr>
                <w:rFonts w:ascii="Times New Roman" w:hAnsi="Times New Roman"/>
                <w:color w:val="auto"/>
                <w:szCs w:val="20"/>
              </w:rPr>
              <w:t>što je OP</w:t>
            </w:r>
            <w:r w:rsidR="00253F0B" w:rsidRPr="00C77F1B">
              <w:rPr>
                <w:rFonts w:ascii="Times New Roman" w:hAnsi="Times New Roman"/>
                <w:color w:val="auto"/>
                <w:szCs w:val="20"/>
              </w:rPr>
              <w:t>)</w:t>
            </w:r>
          </w:p>
        </w:tc>
      </w:tr>
      <w:tr w:rsidR="00EF23E8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C77F1B" w:rsidRDefault="00156AC0" w:rsidP="00B842DB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/>
                <w:sz w:val="20"/>
                <w:szCs w:val="20"/>
              </w:rPr>
              <w:t>Ličnost i lične karakteristike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253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FD593A" w:rsidP="00156AC0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sz w:val="20"/>
                <w:szCs w:val="20"/>
              </w:rPr>
              <w:t>Društveni aspekt organizacije</w:t>
            </w:r>
            <w:r w:rsidR="00F16CF2" w:rsidRPr="00C77F1B">
              <w:rPr>
                <w:rFonts w:ascii="Times New Roman" w:hAnsi="Times New Roman" w:cs="Times New Roman"/>
                <w:sz w:val="20"/>
                <w:szCs w:val="20"/>
              </w:rPr>
              <w:t xml:space="preserve"> – organizacioni procesi i ponašanje</w:t>
            </w:r>
          </w:p>
        </w:tc>
      </w:tr>
      <w:tr w:rsidR="00FD593A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C77F1B" w:rsidRDefault="009655A2" w:rsidP="00701DE4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bCs/>
                <w:sz w:val="20"/>
                <w:szCs w:val="20"/>
              </w:rPr>
              <w:t>Organizaciona kultura</w:t>
            </w:r>
          </w:p>
        </w:tc>
      </w:tr>
      <w:tr w:rsidR="009655A2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5A2" w:rsidRPr="00DC41DC" w:rsidRDefault="009655A2" w:rsidP="009655A2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55A2" w:rsidRPr="00DC41DC" w:rsidRDefault="009655A2" w:rsidP="009655A2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5A2" w:rsidRPr="00C77F1B" w:rsidRDefault="009655A2" w:rsidP="000017F9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  <w:r w:rsidR="000017F9" w:rsidRPr="00C77F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655A2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5A2" w:rsidRPr="00DC41DC" w:rsidRDefault="009655A2" w:rsidP="009655A2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55A2" w:rsidRPr="00DC41DC" w:rsidRDefault="00C77F1B" w:rsidP="009655A2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5A2" w:rsidRPr="00C77F1B" w:rsidRDefault="00156AC0" w:rsidP="009655A2">
            <w:pPr>
              <w:pStyle w:val="BodyTextIndent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1B">
              <w:rPr>
                <w:rFonts w:ascii="Times New Roman" w:hAnsi="Times New Roman" w:cs="Times New Roman"/>
                <w:sz w:val="20"/>
                <w:szCs w:val="20"/>
              </w:rPr>
              <w:t>Vrijednosti, stavovi i zadovoljstvo poslom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77F1B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color w:val="auto"/>
                <w:szCs w:val="20"/>
              </w:rPr>
              <w:t>Motivacija (osnovni pojmovi)</w:t>
            </w:r>
            <w:r w:rsidRPr="00C77F1B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287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AC0" w:rsidRPr="00156AC0" w:rsidRDefault="00C77F1B" w:rsidP="00C77F1B">
            <w:pPr>
              <w:pStyle w:val="BodyTextInden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77F1B">
              <w:rPr>
                <w:rFonts w:ascii="Times New Roman" w:hAnsi="Times New Roman"/>
                <w:sz w:val="20"/>
                <w:szCs w:val="20"/>
              </w:rPr>
              <w:t xml:space="preserve">Motivacija (od koncepcije do primjene)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367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61639" w:rsidRDefault="00C77F1B" w:rsidP="00C77F1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6163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7F1B" w:rsidRPr="00C61639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77F1B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77F1B">
              <w:rPr>
                <w:rFonts w:ascii="Times New Roman" w:hAnsi="Times New Roman"/>
                <w:b/>
                <w:color w:val="auto"/>
                <w:szCs w:val="20"/>
              </w:rPr>
              <w:t>Kolokvijum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348"/>
        </w:trPr>
        <w:tc>
          <w:tcPr>
            <w:tcW w:w="77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C77F1B" w:rsidRDefault="00156AC0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Prezentacije istraživačkih radova.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77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C77F1B" w:rsidRDefault="00C77F1B" w:rsidP="00C77F1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F1B">
              <w:rPr>
                <w:rFonts w:ascii="Times New Roman" w:hAnsi="Times New Roman"/>
                <w:b/>
                <w:bCs/>
                <w:sz w:val="20"/>
                <w:szCs w:val="20"/>
              </w:rPr>
              <w:t>Popravni kolokvijum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0017F9" w:rsidRDefault="00C77F1B" w:rsidP="00C77F1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0017F9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 xml:space="preserve">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0017F9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0017F9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0017F9" w:rsidRDefault="00C77F1B" w:rsidP="00C77F1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0017F9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F1B" w:rsidRPr="00DC41DC" w:rsidRDefault="00C77F1B" w:rsidP="00873AD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Studenti su obavezni da redovno pr</w:t>
            </w:r>
            <w:r>
              <w:rPr>
                <w:rFonts w:ascii="Times New Roman" w:hAnsi="Times New Roman"/>
                <w:szCs w:val="20"/>
                <w:lang w:val="sl-SI"/>
              </w:rPr>
              <w:t>ate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nastav</w:t>
            </w:r>
            <w:r>
              <w:rPr>
                <w:rFonts w:ascii="Times New Roman" w:hAnsi="Times New Roman"/>
                <w:szCs w:val="20"/>
                <w:lang w:val="sl-SI"/>
              </w:rPr>
              <w:t>u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. Studenti kroz  redovno pr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aćenje nastave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i vježb</w:t>
            </w:r>
            <w:r>
              <w:rPr>
                <w:rFonts w:ascii="Times New Roman" w:hAnsi="Times New Roman"/>
                <w:szCs w:val="20"/>
                <w:lang w:val="sl-SI"/>
              </w:rPr>
              <w:t>i, kao i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 kroz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izradu i prezentaciju </w:t>
            </w:r>
            <w:r w:rsidR="00873ADD">
              <w:rPr>
                <w:rFonts w:ascii="Times New Roman" w:hAnsi="Times New Roman"/>
                <w:szCs w:val="20"/>
                <w:lang w:val="sl-SI"/>
              </w:rPr>
              <w:t>završnog – istraživačkog rada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proučavanje studije slučajeva iz prakse stiču potrena znanja i vještine. Kroz navedene aktivnosti kao i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planirani kolokvijum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proverava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se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stepen stečenog znanja i sposobnosti da ga primjene,  na osnovu čega će</w:t>
            </w:r>
            <w:r>
              <w:rPr>
                <w:rFonts w:ascii="Times New Roman" w:hAnsi="Times New Roman"/>
                <w:szCs w:val="20"/>
                <w:lang w:val="sl-SI"/>
              </w:rPr>
              <w:t>,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F1B" w:rsidRPr="003D5CB7" w:rsidRDefault="00C77F1B" w:rsidP="00C77F1B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</w:t>
            </w:r>
            <w:r w:rsidR="00DA59F1" w:rsidRPr="00DC41DC">
              <w:rPr>
                <w:rFonts w:ascii="Times New Roman" w:hAnsi="Times New Roman"/>
                <w:szCs w:val="20"/>
                <w:lang w:val="sl-SI"/>
              </w:rPr>
              <w:t>Konsultacije</w:t>
            </w:r>
            <w:r w:rsidR="00DA59F1">
              <w:rPr>
                <w:rFonts w:ascii="Times New Roman" w:hAnsi="Times New Roman"/>
                <w:szCs w:val="20"/>
                <w:lang w:val="sl-SI"/>
              </w:rPr>
              <w:t xml:space="preserve"> nakon </w:t>
            </w:r>
            <w:r w:rsidR="00DA59F1">
              <w:rPr>
                <w:rFonts w:ascii="Times New Roman" w:hAnsi="Times New Roman"/>
                <w:szCs w:val="20"/>
                <w:lang w:val="sr-Latn-ME"/>
              </w:rPr>
              <w:t>časova,</w:t>
            </w:r>
            <w:r w:rsidR="00DA59F1" w:rsidRPr="00DC41DC">
              <w:rPr>
                <w:rFonts w:ascii="Times New Roman" w:hAnsi="Times New Roman"/>
                <w:szCs w:val="20"/>
                <w:lang w:val="sl-SI"/>
              </w:rPr>
              <w:t xml:space="preserve"> </w:t>
            </w:r>
            <w:r w:rsidR="00DA59F1">
              <w:rPr>
                <w:rFonts w:ascii="Times New Roman" w:hAnsi="Times New Roman"/>
                <w:szCs w:val="20"/>
              </w:rPr>
              <w:t>utork</w:t>
            </w:r>
            <w:r w:rsidR="00DA59F1" w:rsidRPr="00DC41DC">
              <w:rPr>
                <w:rFonts w:ascii="Times New Roman" w:hAnsi="Times New Roman"/>
                <w:szCs w:val="20"/>
              </w:rPr>
              <w:t>om od 1</w:t>
            </w:r>
            <w:r w:rsidR="00DA59F1">
              <w:rPr>
                <w:rFonts w:ascii="Times New Roman" w:hAnsi="Times New Roman"/>
                <w:szCs w:val="20"/>
              </w:rPr>
              <w:t>3</w:t>
            </w:r>
            <w:r w:rsidR="00DA59F1" w:rsidRPr="00DC41DC">
              <w:rPr>
                <w:rFonts w:ascii="Times New Roman" w:hAnsi="Times New Roman"/>
                <w:szCs w:val="20"/>
              </w:rPr>
              <w:t>:</w:t>
            </w:r>
            <w:r w:rsidR="00DA59F1">
              <w:rPr>
                <w:rFonts w:ascii="Times New Roman" w:hAnsi="Times New Roman"/>
                <w:szCs w:val="20"/>
              </w:rPr>
              <w:t>0</w:t>
            </w:r>
            <w:r w:rsidR="00DA59F1" w:rsidRPr="00DC41DC">
              <w:rPr>
                <w:rFonts w:ascii="Times New Roman" w:hAnsi="Times New Roman"/>
                <w:szCs w:val="20"/>
              </w:rPr>
              <w:t>0 - 1</w:t>
            </w:r>
            <w:r w:rsidR="00DA59F1">
              <w:rPr>
                <w:rFonts w:ascii="Times New Roman" w:hAnsi="Times New Roman"/>
                <w:szCs w:val="20"/>
              </w:rPr>
              <w:t>4</w:t>
            </w:r>
            <w:r w:rsidR="00DA59F1" w:rsidRPr="00DC41DC">
              <w:rPr>
                <w:rFonts w:ascii="Times New Roman" w:hAnsi="Times New Roman"/>
                <w:szCs w:val="20"/>
              </w:rPr>
              <w:t>:00</w:t>
            </w:r>
            <w:r w:rsidR="00DA59F1">
              <w:rPr>
                <w:rFonts w:ascii="Times New Roman" w:hAnsi="Times New Roman"/>
                <w:szCs w:val="20"/>
              </w:rPr>
              <w:t xml:space="preserve"> (profesor: misko</w:t>
            </w:r>
            <w:r w:rsidR="00DA59F1">
              <w:rPr>
                <w:rFonts w:ascii="Times New Roman" w:hAnsi="Times New Roman"/>
                <w:szCs w:val="20"/>
                <w:lang w:val="en-US"/>
              </w:rPr>
              <w:t>@ucg.ac.me</w:t>
            </w:r>
            <w:r w:rsidR="00DA59F1">
              <w:rPr>
                <w:rFonts w:ascii="Times New Roman" w:hAnsi="Times New Roman"/>
                <w:szCs w:val="20"/>
              </w:rPr>
              <w:t xml:space="preserve">) i  saradnik četvrtak od 13h ) </w:t>
            </w:r>
            <w:hyperlink r:id="rId7" w:history="1">
              <w:r w:rsidR="00DA59F1" w:rsidRPr="00FF12F2">
                <w:rPr>
                  <w:rStyle w:val="Hyperlink"/>
                  <w:rFonts w:ascii="Times New Roman" w:hAnsi="Times New Roman"/>
                  <w:szCs w:val="20"/>
                </w:rPr>
                <w:t>n.misnic@gmail.com</w:t>
              </w:r>
            </w:hyperlink>
            <w:r w:rsidR="00DA59F1">
              <w:rPr>
                <w:rFonts w:ascii="Times New Roman" w:hAnsi="Times New Roman"/>
                <w:szCs w:val="20"/>
              </w:rPr>
              <w:t>); U slučaju potrebe i u zavisnosti od razvoja epidemiološke situacije, biće organizovane online konsultacije.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, Datastatus 2008 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Oblici provjere </w:t>
            </w:r>
            <w:r w:rsidR="000F2E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znanja i ocjenjivanje</w:t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Kolokvijum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-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 xml:space="preserve"> 50 poena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Napomena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: 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osnovu</w:t>
            </w:r>
            <w:r w:rsidR="009B09AA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rezultata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testova razumjevanja i aktivnosti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na časovima (iznošenje mišljenja, davanje odgovora na postavljena pitanja, rješavanje</w:t>
            </w:r>
            <w:r w:rsidR="00873ADD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zadatih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problema...) studenti mogu biti oslobođeni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kolokvijuma;</w:t>
            </w:r>
          </w:p>
          <w:p w:rsidR="00C77F1B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Završni ispit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- 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50 poena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Student bira da li će ga polagati na klasičan način ili na osnovu prihvaćenog istraživačkog - završnog rada (detaljnije u </w:t>
            </w:r>
            <w:r w:rsidR="00B842AD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nformaciji o o</w:t>
            </w:r>
            <w:r w:rsidR="00B842AD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blicima i načinima rada na Pred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metu</w:t>
            </w:r>
            <w:r w:rsidR="00156AC0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)</w:t>
            </w:r>
            <w:r w:rsidR="00873ADD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</w:p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Da bi student položio ispit potrebno je da kroz kombinaciju aktivnosti osvoji minimum 50 poena. </w:t>
            </w:r>
          </w:p>
          <w:p w:rsidR="00C77F1B" w:rsidRDefault="00C77F1B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Ukoliko student na kraju ispitnog roka skupi od 40 do 50 poena, ima mogućnost da na dopunskom završnom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ispitu osvoji dodatnih 10 poena. </w:t>
            </w:r>
          </w:p>
          <w:p w:rsidR="00156AC0" w:rsidRPr="00DC41DC" w:rsidRDefault="00156AC0" w:rsidP="00C77F1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156AC0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Napomena: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DA59F1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Nastava će se tokom semestra odvijati kombinovanim metodom,  korišćenjem online platformi i časovima u u salama.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Studenti će pojedine aktivnosti na predmetu tokom semestra obavljati na fakultetu, boravkom u manjim grupama (grupni rad na vježbama, obrada studija slučaja, priprema i realizacija aktivnosti u vezi sa istraživačkim radom i dr.)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77F1B" w:rsidRPr="00DC41DC" w:rsidRDefault="00C77F1B" w:rsidP="00C77F1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C77F1B" w:rsidRPr="00DC41DC" w:rsidTr="00C77F1B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F1B" w:rsidRPr="00DC41DC" w:rsidRDefault="00C77F1B" w:rsidP="00C77F1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5" w:type="pct"/>
            <w:tcBorders>
              <w:top w:val="dotted" w:sz="4" w:space="0" w:color="auto"/>
              <w:bottom w:val="single" w:sz="4" w:space="0" w:color="auto"/>
            </w:tcBorders>
          </w:tcPr>
          <w:p w:rsidR="00C77F1B" w:rsidRPr="00DC41DC" w:rsidRDefault="00C77F1B" w:rsidP="00C77F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C77F1B" w:rsidRPr="00DC41DC" w:rsidTr="00C77F1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77F1B" w:rsidRPr="00DC41DC" w:rsidRDefault="00C77F1B" w:rsidP="00C77F1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lastRenderedPageBreak/>
              <w:t>Napomena:</w:t>
            </w:r>
          </w:p>
        </w:tc>
      </w:tr>
      <w:tr w:rsidR="00C77F1B" w:rsidRPr="00DC41DC" w:rsidTr="00C77F1B">
        <w:tblPrEx>
          <w:jc w:val="left"/>
        </w:tblPrEx>
        <w:trPr>
          <w:gridBefore w:val="2"/>
          <w:wBefore w:w="544" w:type="pct"/>
          <w:trHeight w:val="156"/>
        </w:trPr>
        <w:tc>
          <w:tcPr>
            <w:tcW w:w="4456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77F1B" w:rsidRPr="00DC41DC" w:rsidRDefault="00C77F1B" w:rsidP="00C77F1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0F2E00">
      <w:pPr>
        <w:pStyle w:val="Heading1"/>
        <w:ind w:left="720" w:firstLine="720"/>
        <w:jc w:val="left"/>
      </w:pPr>
    </w:p>
    <w:sectPr w:rsidR="00EF23E8" w:rsidSect="00226C60">
      <w:pgSz w:w="11907" w:h="16839" w:code="9"/>
      <w:pgMar w:top="851" w:right="1134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0E" w:rsidRDefault="00407B0E" w:rsidP="00F305F9">
      <w:r>
        <w:separator/>
      </w:r>
    </w:p>
  </w:endnote>
  <w:endnote w:type="continuationSeparator" w:id="0">
    <w:p w:rsidR="00407B0E" w:rsidRDefault="00407B0E" w:rsidP="00F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0E" w:rsidRDefault="00407B0E" w:rsidP="00F305F9">
      <w:r>
        <w:separator/>
      </w:r>
    </w:p>
  </w:footnote>
  <w:footnote w:type="continuationSeparator" w:id="0">
    <w:p w:rsidR="00407B0E" w:rsidRDefault="00407B0E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8"/>
    <w:rsid w:val="000017F9"/>
    <w:rsid w:val="00020EBE"/>
    <w:rsid w:val="000534A2"/>
    <w:rsid w:val="000902CD"/>
    <w:rsid w:val="000F2E00"/>
    <w:rsid w:val="00156AC0"/>
    <w:rsid w:val="00195299"/>
    <w:rsid w:val="001A3198"/>
    <w:rsid w:val="001D02CB"/>
    <w:rsid w:val="001D3C74"/>
    <w:rsid w:val="001F3489"/>
    <w:rsid w:val="0020242D"/>
    <w:rsid w:val="00210A6C"/>
    <w:rsid w:val="00226C60"/>
    <w:rsid w:val="00253F0B"/>
    <w:rsid w:val="002840FC"/>
    <w:rsid w:val="002965E9"/>
    <w:rsid w:val="002B052F"/>
    <w:rsid w:val="0034015F"/>
    <w:rsid w:val="00342D34"/>
    <w:rsid w:val="00362932"/>
    <w:rsid w:val="00367B86"/>
    <w:rsid w:val="003B5C77"/>
    <w:rsid w:val="003C2151"/>
    <w:rsid w:val="003D31FD"/>
    <w:rsid w:val="003D5CB7"/>
    <w:rsid w:val="00407B0E"/>
    <w:rsid w:val="004119F6"/>
    <w:rsid w:val="00456BC0"/>
    <w:rsid w:val="0048077A"/>
    <w:rsid w:val="004B59F1"/>
    <w:rsid w:val="004E12B1"/>
    <w:rsid w:val="00537EAF"/>
    <w:rsid w:val="00544BBF"/>
    <w:rsid w:val="00595416"/>
    <w:rsid w:val="005E3B16"/>
    <w:rsid w:val="005F2E42"/>
    <w:rsid w:val="00641F9A"/>
    <w:rsid w:val="00652B03"/>
    <w:rsid w:val="00652BC9"/>
    <w:rsid w:val="006A08BB"/>
    <w:rsid w:val="006D584C"/>
    <w:rsid w:val="0074609A"/>
    <w:rsid w:val="00757B9F"/>
    <w:rsid w:val="00774AE6"/>
    <w:rsid w:val="007848CE"/>
    <w:rsid w:val="00795EAB"/>
    <w:rsid w:val="007A559D"/>
    <w:rsid w:val="007E6C19"/>
    <w:rsid w:val="007F3F9B"/>
    <w:rsid w:val="0080220E"/>
    <w:rsid w:val="00873ADD"/>
    <w:rsid w:val="0088688A"/>
    <w:rsid w:val="008F25AA"/>
    <w:rsid w:val="00902A17"/>
    <w:rsid w:val="009155F1"/>
    <w:rsid w:val="009655A2"/>
    <w:rsid w:val="009A06EB"/>
    <w:rsid w:val="009A68B7"/>
    <w:rsid w:val="009B09AA"/>
    <w:rsid w:val="009E7CAF"/>
    <w:rsid w:val="00AB4276"/>
    <w:rsid w:val="00AC21A4"/>
    <w:rsid w:val="00AF5B5F"/>
    <w:rsid w:val="00B15D28"/>
    <w:rsid w:val="00B34D4A"/>
    <w:rsid w:val="00B53DD2"/>
    <w:rsid w:val="00B842AD"/>
    <w:rsid w:val="00BB5195"/>
    <w:rsid w:val="00BE4365"/>
    <w:rsid w:val="00C418D2"/>
    <w:rsid w:val="00C61639"/>
    <w:rsid w:val="00C76496"/>
    <w:rsid w:val="00C77F1B"/>
    <w:rsid w:val="00C94E9D"/>
    <w:rsid w:val="00CA6C4E"/>
    <w:rsid w:val="00CE1F00"/>
    <w:rsid w:val="00D4774B"/>
    <w:rsid w:val="00D510F1"/>
    <w:rsid w:val="00D8746F"/>
    <w:rsid w:val="00DA59F1"/>
    <w:rsid w:val="00DC41DC"/>
    <w:rsid w:val="00DC691A"/>
    <w:rsid w:val="00E531B6"/>
    <w:rsid w:val="00EA759A"/>
    <w:rsid w:val="00EB389B"/>
    <w:rsid w:val="00ED5B7D"/>
    <w:rsid w:val="00EF23E8"/>
    <w:rsid w:val="00F16CF2"/>
    <w:rsid w:val="00F2234E"/>
    <w:rsid w:val="00F305F9"/>
    <w:rsid w:val="00FD593A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96A7-6137-440F-A111-008EDE2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5F"/>
    <w:rPr>
      <w:rFonts w:ascii="Segoe UI" w:eastAsia="Times New Roman" w:hAnsi="Segoe UI" w:cs="Segoe UI"/>
      <w:sz w:val="18"/>
      <w:szCs w:val="18"/>
      <w:lang w:val="sl-SI"/>
    </w:rPr>
  </w:style>
  <w:style w:type="character" w:styleId="Hyperlink">
    <w:name w:val="Hyperlink"/>
    <w:basedOn w:val="DefaultParagraphFont"/>
    <w:uiPriority w:val="99"/>
    <w:unhideWhenUsed/>
    <w:rsid w:val="00156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misn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7FAC-57E4-43ED-A783-42CA0FE7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Korisnik4</cp:lastModifiedBy>
  <cp:revision>2</cp:revision>
  <cp:lastPrinted>2019-01-24T11:10:00Z</cp:lastPrinted>
  <dcterms:created xsi:type="dcterms:W3CDTF">2022-02-16T11:11:00Z</dcterms:created>
  <dcterms:modified xsi:type="dcterms:W3CDTF">2022-02-16T11:11:00Z</dcterms:modified>
</cp:coreProperties>
</file>