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6C9DA" w14:textId="39778A51" w:rsidR="00E37BDC" w:rsidRPr="00260A42" w:rsidRDefault="00E37BDC" w:rsidP="00E37B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akadems</w:t>
      </w:r>
      <w:r w:rsidR="00260A42" w:rsidRPr="00260A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program: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Politikologija-M</w:t>
      </w:r>
      <w:r w:rsidRPr="00260A42">
        <w:rPr>
          <w:rFonts w:ascii="Times New Roman" w:hAnsi="Times New Roman" w:cs="Times New Roman"/>
          <w:sz w:val="24"/>
          <w:szCs w:val="24"/>
        </w:rPr>
        <w:t>eđunarodni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z</w:t>
      </w:r>
      <w:r w:rsidR="00260A42" w:rsidRPr="00260A42">
        <w:rPr>
          <w:rFonts w:ascii="Times New Roman" w:hAnsi="Times New Roman" w:cs="Times New Roman"/>
          <w:sz w:val="24"/>
          <w:szCs w:val="24"/>
        </w:rPr>
        <w:t>imski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20</w:t>
      </w:r>
      <w:r w:rsidR="0017687F">
        <w:rPr>
          <w:rFonts w:ascii="Times New Roman" w:hAnsi="Times New Roman" w:cs="Times New Roman"/>
          <w:sz w:val="24"/>
          <w:szCs w:val="24"/>
        </w:rPr>
        <w:t>21</w:t>
      </w:r>
      <w:r w:rsidR="00260A42" w:rsidRPr="00260A42">
        <w:rPr>
          <w:rFonts w:ascii="Times New Roman" w:hAnsi="Times New Roman" w:cs="Times New Roman"/>
          <w:sz w:val="24"/>
          <w:szCs w:val="24"/>
        </w:rPr>
        <w:t>/</w:t>
      </w:r>
      <w:r w:rsidR="0017687F">
        <w:rPr>
          <w:rFonts w:ascii="Times New Roman" w:hAnsi="Times New Roman" w:cs="Times New Roman"/>
          <w:sz w:val="24"/>
          <w:szCs w:val="24"/>
        </w:rPr>
        <w:t>22</w:t>
      </w:r>
      <w:r w:rsidRPr="00260A42">
        <w:rPr>
          <w:rFonts w:ascii="Times New Roman" w:hAnsi="Times New Roman" w:cs="Times New Roman"/>
          <w:sz w:val="24"/>
          <w:szCs w:val="24"/>
        </w:rPr>
        <w:t>.</w:t>
      </w:r>
    </w:p>
    <w:p w14:paraId="149A8F48" w14:textId="77777777" w:rsidR="00E37BDC" w:rsidRPr="00260A42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>: ISTORIJA DIPLOMATIJE</w:t>
      </w:r>
    </w:p>
    <w:p w14:paraId="087783E4" w14:textId="17119AC0" w:rsidR="00E37BDC" w:rsidRPr="00260A42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Spisak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seminarske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449">
        <w:rPr>
          <w:rFonts w:ascii="Times New Roman" w:hAnsi="Times New Roman" w:cs="Times New Roman"/>
          <w:b/>
          <w:sz w:val="24"/>
          <w:szCs w:val="24"/>
        </w:rPr>
        <w:t>radove</w:t>
      </w:r>
      <w:proofErr w:type="spellEnd"/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7401"/>
      </w:tblGrid>
      <w:tr w:rsidR="00C52449" w:rsidRPr="00260A42" w14:paraId="54E66687" w14:textId="77777777" w:rsidTr="00502A62">
        <w:tc>
          <w:tcPr>
            <w:tcW w:w="7401" w:type="dxa"/>
          </w:tcPr>
          <w:p w14:paraId="0DA38307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Koncept univerzalnosti</w:t>
            </w:r>
          </w:p>
        </w:tc>
      </w:tr>
      <w:tr w:rsidR="00C52449" w:rsidRPr="00260A42" w14:paraId="127CB0AC" w14:textId="77777777" w:rsidTr="00502A62">
        <w:tc>
          <w:tcPr>
            <w:tcW w:w="7401" w:type="dxa"/>
          </w:tcPr>
          <w:p w14:paraId="3D98302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Rišelje kao diplomata i koncept državnog razloga</w:t>
            </w:r>
          </w:p>
        </w:tc>
      </w:tr>
      <w:tr w:rsidR="00C52449" w:rsidRPr="00260A42" w14:paraId="5465F7B5" w14:textId="77777777" w:rsidTr="00502A62">
        <w:tc>
          <w:tcPr>
            <w:tcW w:w="7401" w:type="dxa"/>
          </w:tcPr>
          <w:p w14:paraId="13984A4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Ideje Francuske revolucije 1789. godine i uticaj na političke odnose u Evropi</w:t>
            </w:r>
          </w:p>
        </w:tc>
      </w:tr>
      <w:tr w:rsidR="00C52449" w:rsidRPr="00260A42" w14:paraId="02F32088" w14:textId="77777777" w:rsidTr="00502A62">
        <w:tc>
          <w:tcPr>
            <w:tcW w:w="7401" w:type="dxa"/>
          </w:tcPr>
          <w:p w14:paraId="3B2E86B8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765D97A5" w14:textId="77777777" w:rsidTr="00502A62">
        <w:tc>
          <w:tcPr>
            <w:tcW w:w="7401" w:type="dxa"/>
          </w:tcPr>
          <w:p w14:paraId="0542FFD7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Napoleon Bonaparta kao strateg i diplomata, Napoleonovi ratovi</w:t>
            </w:r>
          </w:p>
        </w:tc>
      </w:tr>
      <w:tr w:rsidR="00C52449" w:rsidRPr="00260A42" w14:paraId="4D4934FD" w14:textId="77777777" w:rsidTr="00502A62">
        <w:tc>
          <w:tcPr>
            <w:tcW w:w="7401" w:type="dxa"/>
          </w:tcPr>
          <w:p w14:paraId="41008DB5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Diplomatija na Bečkom kongresu </w:t>
            </w:r>
          </w:p>
        </w:tc>
      </w:tr>
      <w:tr w:rsidR="00C52449" w:rsidRPr="00260A42" w14:paraId="44F3FF0F" w14:textId="77777777" w:rsidTr="00502A62">
        <w:tc>
          <w:tcPr>
            <w:tcW w:w="7401" w:type="dxa"/>
          </w:tcPr>
          <w:p w14:paraId="0EDCBAB9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Stvaranje Svete alijanse i njene osnovne ideje </w:t>
            </w:r>
          </w:p>
        </w:tc>
      </w:tr>
      <w:tr w:rsidR="00C52449" w:rsidRPr="00260A42" w14:paraId="7CA47E07" w14:textId="77777777" w:rsidTr="00502A62">
        <w:tc>
          <w:tcPr>
            <w:tcW w:w="7401" w:type="dxa"/>
          </w:tcPr>
          <w:p w14:paraId="335FC8BB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Američki izolacionizam do početka XX vijeka </w:t>
            </w:r>
          </w:p>
        </w:tc>
      </w:tr>
      <w:tr w:rsidR="00C52449" w:rsidRPr="00260A42" w14:paraId="52E7D81B" w14:textId="77777777" w:rsidTr="00502A62">
        <w:tc>
          <w:tcPr>
            <w:tcW w:w="7401" w:type="dxa"/>
          </w:tcPr>
          <w:p w14:paraId="56388F8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72BC863A" w14:textId="77777777" w:rsidTr="00502A62">
        <w:tc>
          <w:tcPr>
            <w:tcW w:w="7401" w:type="dxa"/>
          </w:tcPr>
          <w:p w14:paraId="545F9AA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Revolucionarna Evropa – uticaj revolucija iz 1848. na poredak u Evropi</w:t>
            </w:r>
          </w:p>
        </w:tc>
      </w:tr>
      <w:tr w:rsidR="00C52449" w:rsidRPr="00260A42" w14:paraId="1401F9BA" w14:textId="77777777" w:rsidTr="00502A62">
        <w:tc>
          <w:tcPr>
            <w:tcW w:w="7401" w:type="dxa"/>
          </w:tcPr>
          <w:p w14:paraId="687CBA3F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“Proizvod” revolucije – ujedinjenje Italije 1861. godine i odnos evropskih država</w:t>
            </w:r>
          </w:p>
        </w:tc>
      </w:tr>
      <w:tr w:rsidR="00C52449" w:rsidRPr="00260A42" w14:paraId="505319B4" w14:textId="77777777" w:rsidTr="00502A62">
        <w:tc>
          <w:tcPr>
            <w:tcW w:w="7401" w:type="dxa"/>
          </w:tcPr>
          <w:p w14:paraId="7078409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Bizmarkova realpolitika</w:t>
            </w:r>
          </w:p>
        </w:tc>
      </w:tr>
      <w:tr w:rsidR="00C52449" w:rsidRPr="00260A42" w14:paraId="069F9C14" w14:textId="77777777" w:rsidTr="00502A62">
        <w:tc>
          <w:tcPr>
            <w:tcW w:w="7401" w:type="dxa"/>
          </w:tcPr>
          <w:p w14:paraId="7433E9D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Uticaj ujedinjenja Njemačke 1871. godine na promjenu ravnoteže snaga u Evropi</w:t>
            </w:r>
          </w:p>
        </w:tc>
      </w:tr>
      <w:tr w:rsidR="00C52449" w:rsidRPr="00260A42" w14:paraId="6B865446" w14:textId="77777777" w:rsidTr="00502A62">
        <w:tc>
          <w:tcPr>
            <w:tcW w:w="7401" w:type="dxa"/>
          </w:tcPr>
          <w:p w14:paraId="3330A067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2449" w:rsidRPr="00260A42" w14:paraId="134B100C" w14:textId="77777777" w:rsidTr="00502A62">
        <w:tc>
          <w:tcPr>
            <w:tcW w:w="7401" w:type="dxa"/>
          </w:tcPr>
          <w:p w14:paraId="2FFCE0D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obnova Trojecarskog saveza</w:t>
            </w:r>
          </w:p>
        </w:tc>
      </w:tr>
      <w:tr w:rsidR="00C52449" w:rsidRPr="00260A42" w14:paraId="5119912A" w14:textId="77777777" w:rsidTr="00502A62">
        <w:tc>
          <w:tcPr>
            <w:tcW w:w="7401" w:type="dxa"/>
          </w:tcPr>
          <w:p w14:paraId="1752732F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Velika istočna kriza i velike sile </w:t>
            </w:r>
          </w:p>
        </w:tc>
      </w:tr>
      <w:tr w:rsidR="00C52449" w:rsidRPr="00260A42" w14:paraId="0A6E8EC9" w14:textId="77777777" w:rsidTr="00502A62">
        <w:tc>
          <w:tcPr>
            <w:tcW w:w="7401" w:type="dxa"/>
          </w:tcPr>
          <w:p w14:paraId="044C9EA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Antante</w:t>
            </w:r>
          </w:p>
        </w:tc>
      </w:tr>
      <w:tr w:rsidR="00C52449" w:rsidRPr="00260A42" w14:paraId="17A4FAF5" w14:textId="77777777" w:rsidTr="00502A62">
        <w:tc>
          <w:tcPr>
            <w:tcW w:w="7401" w:type="dxa"/>
          </w:tcPr>
          <w:p w14:paraId="18D0A70A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Međunarodne krize u Evropi 1904-1914. godine</w:t>
            </w:r>
          </w:p>
        </w:tc>
      </w:tr>
      <w:tr w:rsidR="00C52449" w:rsidRPr="00260A42" w14:paraId="70C41036" w14:textId="77777777" w:rsidTr="00502A62">
        <w:tc>
          <w:tcPr>
            <w:tcW w:w="7401" w:type="dxa"/>
          </w:tcPr>
          <w:p w14:paraId="390ADCC4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1794191A" w14:textId="77777777" w:rsidTr="00502A62">
        <w:tc>
          <w:tcPr>
            <w:tcW w:w="7401" w:type="dxa"/>
          </w:tcPr>
          <w:p w14:paraId="3E247472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Uzroci Prvog svjetskog rata i slom evropskog koncerta </w:t>
            </w:r>
          </w:p>
        </w:tc>
      </w:tr>
      <w:tr w:rsidR="00C52449" w:rsidRPr="00260A42" w14:paraId="66EFD3AF" w14:textId="77777777" w:rsidTr="00502A62">
        <w:tc>
          <w:tcPr>
            <w:tcW w:w="7401" w:type="dxa"/>
          </w:tcPr>
          <w:p w14:paraId="6741EB6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Promjene u američkoj politici i izlazak na međunarodnu scenu u toku Prvog svjetskog rata</w:t>
            </w:r>
          </w:p>
        </w:tc>
      </w:tr>
      <w:tr w:rsidR="00C52449" w:rsidRPr="00260A42" w14:paraId="160545A5" w14:textId="77777777" w:rsidTr="00502A62">
        <w:tc>
          <w:tcPr>
            <w:tcW w:w="7401" w:type="dxa"/>
          </w:tcPr>
          <w:p w14:paraId="15EBE6E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Vudro Vilson kao diplomata</w:t>
            </w:r>
          </w:p>
        </w:tc>
      </w:tr>
      <w:tr w:rsidR="00C52449" w:rsidRPr="00260A42" w14:paraId="475DA07F" w14:textId="77777777" w:rsidTr="00502A62">
        <w:tc>
          <w:tcPr>
            <w:tcW w:w="7401" w:type="dxa"/>
          </w:tcPr>
          <w:p w14:paraId="2F50BC8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2E3B553A" w14:textId="77777777" w:rsidTr="00502A62">
        <w:tc>
          <w:tcPr>
            <w:tcW w:w="7401" w:type="dxa"/>
          </w:tcPr>
          <w:p w14:paraId="110CAC5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Organizacija i rad Pariške mirovne konferencije</w:t>
            </w:r>
          </w:p>
        </w:tc>
      </w:tr>
      <w:tr w:rsidR="00C52449" w:rsidRPr="00260A42" w14:paraId="24BD0866" w14:textId="77777777" w:rsidTr="00502A62">
        <w:tc>
          <w:tcPr>
            <w:tcW w:w="7401" w:type="dxa"/>
          </w:tcPr>
          <w:p w14:paraId="267D01D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razvoj Versajskog mirovnog sistema</w:t>
            </w:r>
          </w:p>
        </w:tc>
      </w:tr>
      <w:tr w:rsidR="00C52449" w:rsidRPr="00260A42" w14:paraId="70801598" w14:textId="77777777" w:rsidTr="00502A62">
        <w:tc>
          <w:tcPr>
            <w:tcW w:w="7401" w:type="dxa"/>
          </w:tcPr>
          <w:p w14:paraId="7F8D72F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Ideja o zabrani rata – Brijan – Kelogov pakt</w:t>
            </w:r>
          </w:p>
        </w:tc>
      </w:tr>
      <w:tr w:rsidR="00C52449" w:rsidRPr="00260A42" w14:paraId="2AD4007A" w14:textId="77777777" w:rsidTr="00502A62">
        <w:tc>
          <w:tcPr>
            <w:tcW w:w="7401" w:type="dxa"/>
          </w:tcPr>
          <w:p w14:paraId="5150FBAD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Nastanak i (ne)uspjeh Lige naroda</w:t>
            </w:r>
          </w:p>
        </w:tc>
      </w:tr>
      <w:tr w:rsidR="00C52449" w:rsidRPr="00260A42" w14:paraId="5F3FA53C" w14:textId="77777777" w:rsidTr="00502A62">
        <w:tc>
          <w:tcPr>
            <w:tcW w:w="7401" w:type="dxa"/>
          </w:tcPr>
          <w:p w14:paraId="388EF45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06F5E9C6" w14:textId="77777777" w:rsidTr="00502A62">
        <w:tc>
          <w:tcPr>
            <w:tcW w:w="7401" w:type="dxa"/>
          </w:tcPr>
          <w:p w14:paraId="32411CAD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popuštanja evropskih sila i uspon Njemačke</w:t>
            </w:r>
          </w:p>
        </w:tc>
      </w:tr>
      <w:tr w:rsidR="00C52449" w:rsidRPr="00260A42" w14:paraId="5D2B30E8" w14:textId="77777777" w:rsidTr="00502A62">
        <w:tc>
          <w:tcPr>
            <w:tcW w:w="7401" w:type="dxa"/>
          </w:tcPr>
          <w:p w14:paraId="1FB0D01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Konferencije evropskih sila između dva svjetska rata</w:t>
            </w:r>
          </w:p>
        </w:tc>
      </w:tr>
      <w:tr w:rsidR="00C52449" w:rsidRPr="00260A42" w14:paraId="4DD1690D" w14:textId="77777777" w:rsidTr="00502A62">
        <w:tc>
          <w:tcPr>
            <w:tcW w:w="7401" w:type="dxa"/>
          </w:tcPr>
          <w:p w14:paraId="695DC81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Realpolitika SSSR-a do Drugog svjetskog rata</w:t>
            </w:r>
          </w:p>
        </w:tc>
      </w:tr>
      <w:tr w:rsidR="00C52449" w:rsidRPr="00260A42" w14:paraId="12B2480B" w14:textId="77777777" w:rsidTr="00502A62">
        <w:tc>
          <w:tcPr>
            <w:tcW w:w="7401" w:type="dxa"/>
          </w:tcPr>
          <w:p w14:paraId="2F7E132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Ponovni izlazak SAD-a iz izolacionizma</w:t>
            </w:r>
          </w:p>
        </w:tc>
      </w:tr>
      <w:tr w:rsidR="00C52449" w:rsidRPr="00260A42" w14:paraId="24CF454E" w14:textId="77777777" w:rsidTr="00502A62">
        <w:tc>
          <w:tcPr>
            <w:tcW w:w="7401" w:type="dxa"/>
          </w:tcPr>
          <w:p w14:paraId="4030A24D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3DEF1149" w14:textId="77777777" w:rsidTr="00502A62">
        <w:tc>
          <w:tcPr>
            <w:tcW w:w="7401" w:type="dxa"/>
          </w:tcPr>
          <w:p w14:paraId="4838966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Sila Osovine u Drugom svjetskom ratu</w:t>
            </w:r>
          </w:p>
        </w:tc>
      </w:tr>
      <w:tr w:rsidR="00C52449" w:rsidRPr="00260A42" w14:paraId="256E3839" w14:textId="77777777" w:rsidTr="00502A62">
        <w:tc>
          <w:tcPr>
            <w:tcW w:w="7401" w:type="dxa"/>
          </w:tcPr>
          <w:p w14:paraId="4B6965A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Hitler kao diplomata</w:t>
            </w:r>
          </w:p>
        </w:tc>
      </w:tr>
      <w:tr w:rsidR="00C52449" w:rsidRPr="00260A42" w14:paraId="5B69B64B" w14:textId="77777777" w:rsidTr="00502A62">
        <w:tc>
          <w:tcPr>
            <w:tcW w:w="7401" w:type="dxa"/>
          </w:tcPr>
          <w:p w14:paraId="29451CA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Saveznika u toku Drugog svjetskog rata</w:t>
            </w:r>
          </w:p>
        </w:tc>
      </w:tr>
      <w:tr w:rsidR="00C52449" w:rsidRPr="00260A42" w14:paraId="49A3F59C" w14:textId="77777777" w:rsidTr="00502A62">
        <w:tc>
          <w:tcPr>
            <w:tcW w:w="7401" w:type="dxa"/>
          </w:tcPr>
          <w:p w14:paraId="23CEA530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J. V. Staljin kao diplomata</w:t>
            </w:r>
          </w:p>
        </w:tc>
      </w:tr>
      <w:tr w:rsidR="00C52449" w:rsidRPr="00260A42" w14:paraId="1FAFAD18" w14:textId="77777777" w:rsidTr="00502A62">
        <w:tc>
          <w:tcPr>
            <w:tcW w:w="7401" w:type="dxa"/>
          </w:tcPr>
          <w:p w14:paraId="000D778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F. D. Ruzvelt kao diplomata</w:t>
            </w:r>
          </w:p>
        </w:tc>
      </w:tr>
      <w:tr w:rsidR="00C52449" w:rsidRPr="00260A42" w14:paraId="63293FB7" w14:textId="77777777" w:rsidTr="00502A62">
        <w:tc>
          <w:tcPr>
            <w:tcW w:w="7401" w:type="dxa"/>
          </w:tcPr>
          <w:p w14:paraId="063CBCF2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Vinston Čerčil kao diplomata</w:t>
            </w:r>
          </w:p>
        </w:tc>
      </w:tr>
      <w:tr w:rsidR="00C52449" w:rsidRPr="00260A42" w14:paraId="1C72529F" w14:textId="77777777" w:rsidTr="00502A62">
        <w:tc>
          <w:tcPr>
            <w:tcW w:w="7401" w:type="dxa"/>
          </w:tcPr>
          <w:p w14:paraId="481D05BF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7BD68A38" w14:textId="77777777" w:rsidTr="00502A62">
        <w:tc>
          <w:tcPr>
            <w:tcW w:w="7401" w:type="dxa"/>
          </w:tcPr>
          <w:p w14:paraId="101E776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Odnos i diplomatija SAD-a i SSSR-a u toku Korejskog rata</w:t>
            </w:r>
          </w:p>
        </w:tc>
      </w:tr>
      <w:tr w:rsidR="00C52449" w:rsidRPr="00260A42" w14:paraId="3D5DCC34" w14:textId="77777777" w:rsidTr="00502A62">
        <w:tc>
          <w:tcPr>
            <w:tcW w:w="7401" w:type="dxa"/>
          </w:tcPr>
          <w:p w14:paraId="3213D1A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učesnika Suecke krize</w:t>
            </w:r>
          </w:p>
        </w:tc>
      </w:tr>
      <w:tr w:rsidR="00C52449" w:rsidRPr="00260A42" w14:paraId="560EF6D7" w14:textId="77777777" w:rsidTr="00502A62">
        <w:tc>
          <w:tcPr>
            <w:tcW w:w="7401" w:type="dxa"/>
          </w:tcPr>
          <w:p w14:paraId="2472756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Krize u zemljama Varšavskog pakta 1956-1968. godine</w:t>
            </w:r>
          </w:p>
        </w:tc>
      </w:tr>
      <w:tr w:rsidR="00C52449" w:rsidRPr="00260A42" w14:paraId="093F278A" w14:textId="77777777" w:rsidTr="00502A62">
        <w:tc>
          <w:tcPr>
            <w:tcW w:w="7401" w:type="dxa"/>
          </w:tcPr>
          <w:p w14:paraId="51AA31A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Berlinska kriza 1962. godine – diplomatija SAD-a, SSSR-a i evropskih država</w:t>
            </w:r>
          </w:p>
        </w:tc>
      </w:tr>
      <w:tr w:rsidR="00C52449" w14:paraId="551F0498" w14:textId="77777777" w:rsidTr="00502A62">
        <w:tc>
          <w:tcPr>
            <w:tcW w:w="7401" w:type="dxa"/>
          </w:tcPr>
          <w:p w14:paraId="661F2D70" w14:textId="7D2E941D" w:rsidR="0017687F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Niksonova triangularna diplomatija</w:t>
            </w:r>
          </w:p>
        </w:tc>
      </w:tr>
      <w:tr w:rsidR="0017687F" w14:paraId="4D872918" w14:textId="77777777" w:rsidTr="00502A62">
        <w:tc>
          <w:tcPr>
            <w:tcW w:w="7401" w:type="dxa"/>
          </w:tcPr>
          <w:p w14:paraId="1DB540E4" w14:textId="092697A1" w:rsidR="0017687F" w:rsidRPr="00260A42" w:rsidRDefault="00F9170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7687F">
              <w:rPr>
                <w:rFonts w:ascii="Times New Roman" w:hAnsi="Times New Roman" w:cs="Times New Roman"/>
                <w:sz w:val="24"/>
                <w:szCs w:val="24"/>
              </w:rPr>
              <w:t>Ostale teme u dogovoru sa saradnikom</w:t>
            </w:r>
          </w:p>
        </w:tc>
      </w:tr>
    </w:tbl>
    <w:p w14:paraId="2893AA18" w14:textId="7FD4D85D" w:rsidR="00F91701" w:rsidRDefault="00F91701" w:rsidP="00E37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D56E8" w14:textId="77777777" w:rsidR="00F91701" w:rsidRPr="00C649D8" w:rsidRDefault="00F91701" w:rsidP="00E37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BC1A3" w14:textId="77777777" w:rsidR="00B65F16" w:rsidRPr="00E37BDC" w:rsidRDefault="00B65F16" w:rsidP="00E37B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F16" w:rsidRPr="00E37B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D9E89" w14:textId="77777777" w:rsidR="005553EB" w:rsidRDefault="005553EB">
      <w:pPr>
        <w:spacing w:after="0" w:line="240" w:lineRule="auto"/>
      </w:pPr>
      <w:r>
        <w:separator/>
      </w:r>
    </w:p>
  </w:endnote>
  <w:endnote w:type="continuationSeparator" w:id="0">
    <w:p w14:paraId="76E458F6" w14:textId="77777777" w:rsidR="005553EB" w:rsidRDefault="0055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F85D9" w14:textId="77777777" w:rsidR="005553EB" w:rsidRDefault="005553EB">
      <w:pPr>
        <w:spacing w:after="0" w:line="240" w:lineRule="auto"/>
      </w:pPr>
      <w:r>
        <w:separator/>
      </w:r>
    </w:p>
  </w:footnote>
  <w:footnote w:type="continuationSeparator" w:id="0">
    <w:p w14:paraId="6B521C9D" w14:textId="77777777" w:rsidR="005553EB" w:rsidRDefault="0055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1F2E" w14:textId="77777777" w:rsidR="00C649D8" w:rsidRDefault="00E37BDC" w:rsidP="00C649D8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53E3D26" wp14:editId="1FBCCE0C">
          <wp:extent cx="790575" cy="1409700"/>
          <wp:effectExtent l="0" t="0" r="9525" b="0"/>
          <wp:docPr id="1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C"/>
    <w:rsid w:val="0017687F"/>
    <w:rsid w:val="00260A42"/>
    <w:rsid w:val="003060F8"/>
    <w:rsid w:val="005553EB"/>
    <w:rsid w:val="00603AFE"/>
    <w:rsid w:val="00891D0A"/>
    <w:rsid w:val="009B1E59"/>
    <w:rsid w:val="00B65F16"/>
    <w:rsid w:val="00C52449"/>
    <w:rsid w:val="00E37BDC"/>
    <w:rsid w:val="00F91701"/>
    <w:rsid w:val="00F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6C5D"/>
  <w15:chartTrackingRefBased/>
  <w15:docId w15:val="{3C71901E-1E6A-4AD7-9B43-63238085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DC"/>
    <w:pPr>
      <w:tabs>
        <w:tab w:val="center" w:pos="4513"/>
        <w:tab w:val="right" w:pos="9026"/>
      </w:tabs>
      <w:spacing w:after="0" w:line="240" w:lineRule="auto"/>
    </w:pPr>
    <w:rPr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E37BDC"/>
    <w:rPr>
      <w:lang w:val="sr-Latn-CS"/>
    </w:rPr>
  </w:style>
  <w:style w:type="table" w:customStyle="1" w:styleId="TableGridLight1">
    <w:name w:val="Table Grid Light1"/>
    <w:basedOn w:val="TableNormal"/>
    <w:uiPriority w:val="40"/>
    <w:rsid w:val="00E37BDC"/>
    <w:pPr>
      <w:spacing w:after="0" w:line="240" w:lineRule="auto"/>
    </w:pPr>
    <w:rPr>
      <w:lang w:val="sr-Latn-C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DA4B-36DF-41E5-9B45-907E6F0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8</cp:revision>
  <dcterms:created xsi:type="dcterms:W3CDTF">2017-10-05T09:36:00Z</dcterms:created>
  <dcterms:modified xsi:type="dcterms:W3CDTF">2021-10-04T06:45:00Z</dcterms:modified>
</cp:coreProperties>
</file>