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D7" w:rsidRPr="0024722F" w:rsidRDefault="00F619D7" w:rsidP="0057041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8229"/>
        <w:gridCol w:w="4394"/>
      </w:tblGrid>
      <w:tr w:rsidR="00F619D7" w:rsidRPr="0024722F">
        <w:tc>
          <w:tcPr>
            <w:tcW w:w="5000" w:type="pct"/>
            <w:gridSpan w:val="3"/>
            <w:shd w:val="clear" w:color="auto" w:fill="C00000"/>
            <w:vAlign w:val="center"/>
          </w:tcPr>
          <w:p w:rsidR="00F619D7" w:rsidRPr="0024722F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Predmet: Politički sistem Crne Gore</w:t>
            </w:r>
          </w:p>
        </w:tc>
      </w:tr>
      <w:tr w:rsidR="00F619D7" w:rsidRPr="0024722F">
        <w:tc>
          <w:tcPr>
            <w:tcW w:w="547" w:type="pct"/>
            <w:shd w:val="clear" w:color="auto" w:fill="FFE599"/>
            <w:vAlign w:val="center"/>
          </w:tcPr>
          <w:p w:rsidR="00F619D7" w:rsidRPr="0024722F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2903" w:type="pct"/>
            <w:shd w:val="clear" w:color="auto" w:fill="FFE599"/>
            <w:vAlign w:val="center"/>
          </w:tcPr>
          <w:p w:rsidR="00F619D7" w:rsidRPr="0024722F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1550" w:type="pct"/>
            <w:shd w:val="clear" w:color="auto" w:fill="FFE599"/>
            <w:vAlign w:val="center"/>
          </w:tcPr>
          <w:p w:rsidR="00F619D7" w:rsidRPr="0024722F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CE0A8F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 IX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F619D7" w:rsidRPr="0024722F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Uvodne vježbe</w:t>
            </w:r>
          </w:p>
        </w:tc>
        <w:tc>
          <w:tcPr>
            <w:tcW w:w="1550" w:type="pct"/>
            <w:vAlign w:val="center"/>
          </w:tcPr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Pregled rada na vježbama</w:t>
            </w:r>
          </w:p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Pregled strukture bodovanja i literature</w:t>
            </w:r>
          </w:p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CE0A8F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 X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Crna Gora i crnogorski politički sistem do knjaza Danila (do 1852. godine)</w:t>
            </w: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 studenata se očekuje da predstave institucionalni i politički razvoj Crne Gore od vladike Danila (1697) do 1852. godine i proglašenja Crne Gore za knjaževinu sa posbnim osvrtom na:</w:t>
            </w:r>
          </w:p>
          <w:p w:rsidR="00F619D7" w:rsidRPr="0024722F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Plemensku organizaciju i odsustvo državne ideje;</w:t>
            </w:r>
          </w:p>
          <w:p w:rsidR="00F619D7" w:rsidRPr="0024722F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Značaj i uloga Cetinjske mitropolije, Guvernadurstva, </w:t>
            </w:r>
          </w:p>
          <w:p w:rsidR="00F619D7" w:rsidRPr="0024722F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Institucionalnu dinamiku u Crnoj Gori za vrijeme Danila I, vladike Save, vladike Vasilija, Šćepana Malog, vladike Petra I i vladike Petra II</w:t>
            </w:r>
          </w:p>
          <w:p w:rsidR="00F619D7" w:rsidRPr="0024722F" w:rsidRDefault="00F619D7" w:rsidP="0050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Studenti na ovim vježbama mogu dobiti do dva poena.</w:t>
            </w:r>
          </w:p>
          <w:p w:rsidR="00F619D7" w:rsidRPr="0024722F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</w:r>
          </w:p>
          <w:p w:rsidR="00F619D7" w:rsidRPr="0024722F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za pripremu mogu koristiti literaturu po svom izboru. </w:t>
            </w:r>
          </w:p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CE0A8F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 X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F619D7" w:rsidRPr="0024722F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Debata: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Crna Gora treba/ ne treba da opet bude teokratija</w:t>
            </w:r>
          </w:p>
          <w:p w:rsidR="00F619D7" w:rsidRPr="0024722F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će biti podijeljeni u dvije grupe i braniti svoje pozicije na zadatu temu. Na osnovu literature za predmet i dodatnih relevantnih izvora je potrebno da studenti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pripreme svoje pozicije.</w:t>
            </w:r>
            <w:r w:rsidRPr="0024722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Latn-ME"/>
              </w:rPr>
              <w:footnoteReference w:id="1"/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Kako bi učesvovali u debati, studenti moraju biti prisutni  na vježbama  </w:t>
            </w: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20. II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kako bi bili podijeljeni u grupe. Naknadne prijave neće biti razmatrane. Za učešće u debati studenti mogu dobiti </w:t>
            </w: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jedan poen.</w:t>
            </w:r>
          </w:p>
          <w:p w:rsidR="00F619D7" w:rsidRPr="0024722F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F619D7" w:rsidRPr="0024722F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18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Crna Gora u vrijeme knjaza Danila, knjaza Nikole, Berlinskog kongresa. </w:t>
            </w: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Potrebno je da studenti pripreme prikaz institucionalnog razvoja Crne Gore od proglašenja za knjaževinu do donošenja Ustava iz 1905. godine, sa posebnim osvrtom na Berlinski kongres i njegov značaj za Crnu Goru, o čemu će biti riječi na času. Za pripremu i učešće u diskusiji studenti mogu dobiti </w:t>
            </w: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za pripremu mogu koristiti literaturu po svom izboru. </w:t>
            </w:r>
          </w:p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Crna Gora nakon 1905: Donošenje Ustava 1905, proglašenje za kraljevinu 1910. godine.</w:t>
            </w: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su u obavezi da pripreme prikaz institucionalnog razvoja Crne Gore nakon 1905, a do 1918. godine, sa posebnim osvrtom na donošenje Ustava 1905, značaj i sadržinu Ustava, institucionalne promjene nakon donošenja Ustava, značaj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proglašenja za kraljevinu 1910. kao i politički razvoj zemlje do 1918. godine.</w:t>
            </w: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7C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Studenti na ovim vježbama mogu dobiti do dva poena.</w:t>
            </w: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:rsidR="00F619D7" w:rsidRPr="0024722F" w:rsidRDefault="00F619D7" w:rsidP="0076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Studenti za pripremu mogu koristiti literaturu po svom izboru. </w:t>
            </w:r>
          </w:p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Crna Gora i Podgorička skupština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Crna Gora u sastavu Kraljevine SHS</w:t>
            </w:r>
          </w:p>
          <w:p w:rsidR="00F619D7" w:rsidRPr="0024722F" w:rsidRDefault="00F619D7" w:rsidP="0038056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38056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Od studenata se očekuje da pripreme najznačajnije karakteristike institucionalnog razvoja političkih sistema Kraljevine SHS odnosno Jugoslavije relevatnih za Crnu Goru. To uključuje, ali se ne ograničava na: institucionalni dizajn Kraljevine SHS odnosno Jugsoslavije i njihovi uticaj na Crnu Goru, političke stranke u Crnoj Gori 1918-1941; Ustavna i politička pozicija Crne Gore u </w:t>
            </w:r>
            <w:r w:rsidR="0024722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KSHS</w:t>
            </w:r>
          </w:p>
          <w:p w:rsidR="00F619D7" w:rsidRPr="0024722F" w:rsidRDefault="00F619D7" w:rsidP="0076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760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Studenti na ovim vježbama mogu dobiti do dva poena.</w:t>
            </w:r>
          </w:p>
        </w:tc>
        <w:tc>
          <w:tcPr>
            <w:tcW w:w="1550" w:type="pct"/>
            <w:vAlign w:val="center"/>
          </w:tcPr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za pripremu mogu koristiti literaturu po svom izboru. </w:t>
            </w:r>
          </w:p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24722F" w:rsidRPr="0024722F" w:rsidRDefault="0024722F" w:rsidP="00247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Crna Gora u sastavu Kraljevine SHS, FNRJ, SFRJ, SRJ, SCG</w:t>
            </w: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24722F" w:rsidRPr="0024722F" w:rsidRDefault="0024722F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Od studenata se očekuje da prethodno pripreme prikaz institucionalnog razvoja Crne Gore u periodu 1945-2006. godina</w:t>
            </w:r>
          </w:p>
          <w:p w:rsidR="0024722F" w:rsidRPr="0024722F" w:rsidRDefault="0024722F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Na ovom času vježbi student mogu osvojiti do 2 boda</w:t>
            </w:r>
          </w:p>
        </w:tc>
        <w:tc>
          <w:tcPr>
            <w:tcW w:w="1550" w:type="pct"/>
            <w:vAlign w:val="center"/>
          </w:tcPr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F619D7" w:rsidRPr="0024722F" w:rsidRDefault="00F619D7" w:rsidP="00E045E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Tranzicija u Crnoj Gori, Referendum za nezavisnost 2006. godine, Donošenje Ustava 2007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godine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Karakteristike postojećeg političkog sistema u Crnoj Gori </w:t>
            </w: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Potrebno je da studenti pripreme kratak presjek uvođenja novih institucija i višestranačja u Crnoj Gori, o čemu će biti riječi na času.</w:t>
            </w:r>
          </w:p>
          <w:p w:rsidR="00F619D7" w:rsidRPr="0024722F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Studenti su u obavezi da:</w:t>
            </w:r>
          </w:p>
          <w:p w:rsidR="00F619D7" w:rsidRPr="0024722F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-Pripreme i analitički predstave proces donošenja Ustava 2007. godine;</w:t>
            </w:r>
          </w:p>
          <w:p w:rsidR="00F619D7" w:rsidRPr="0024722F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-Pripreme pregled odredbi Ustava iz 2007. godine</w:t>
            </w:r>
          </w:p>
          <w:p w:rsidR="00F619D7" w:rsidRPr="0024722F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-Predstave institucionalne promjene u političkom sistemu Crne Gore u periodu nezavisnosti</w:t>
            </w:r>
          </w:p>
          <w:p w:rsidR="00F619D7" w:rsidRPr="0024722F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-Pripreme pregled postojeće zakonodavne, izvršne i sudske vlasti u Crnoj Gori</w:t>
            </w: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Za pripremu i učešće u diskusiji studenti mogu dobiti </w:t>
            </w: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do </w:t>
            </w:r>
            <w:r w:rsidR="00CE0A8F"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dva</w:t>
            </w: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poena.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Studenti za pripremu mogu koristiti literaturu po svom izboru. </w:t>
            </w:r>
          </w:p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CE0A8F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22. XI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F619D7" w:rsidRPr="0024722F" w:rsidRDefault="00F619D7" w:rsidP="00AC7BC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ab/>
            </w:r>
          </w:p>
          <w:p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Izbori i izborni sistem</w:t>
            </w:r>
          </w:p>
          <w:p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su u obavezi da za čas vježbi:</w:t>
            </w:r>
          </w:p>
          <w:p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-Pripreme pregled izbora u Crnoj Gori nakon 2006. godine;</w:t>
            </w:r>
          </w:p>
          <w:p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-Predstave sadašnji izborni sistem u Crnoj Gori, zajedno sa metodom raspodjele mandata</w:t>
            </w:r>
          </w:p>
          <w:p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Studenti na ovim vježbama mogu dobiti do tri poena.</w:t>
            </w:r>
          </w:p>
        </w:tc>
        <w:tc>
          <w:tcPr>
            <w:tcW w:w="1550" w:type="pct"/>
            <w:vAlign w:val="center"/>
          </w:tcPr>
          <w:p w:rsidR="00F619D7" w:rsidRPr="0024722F" w:rsidRDefault="00F619D7" w:rsidP="00E0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za pripremu mogu koristiti literaturu po svom izboru.</w:t>
            </w: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F619D7" w:rsidRPr="0024722F" w:rsidRDefault="00F619D7" w:rsidP="00760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8F1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Redovni kolokvijum</w:t>
            </w:r>
          </w:p>
          <w:p w:rsidR="00F619D7" w:rsidRPr="0024722F" w:rsidRDefault="00F619D7" w:rsidP="008F1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619D7" w:rsidRPr="0024722F" w:rsidRDefault="00F619D7" w:rsidP="00247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</w:t>
            </w:r>
          </w:p>
        </w:tc>
        <w:tc>
          <w:tcPr>
            <w:tcW w:w="2903" w:type="pct"/>
          </w:tcPr>
          <w:p w:rsidR="00F619D7" w:rsidRPr="0024722F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Partijski sistem Crne Gore</w:t>
            </w:r>
          </w:p>
          <w:p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su u obavezi da, prije časa vježbi:</w:t>
            </w:r>
          </w:p>
          <w:p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-Pripreme pregled politikih stranaka koje su djelovale u Crnoj Gori nakon 2006. godine</w:t>
            </w:r>
          </w:p>
          <w:p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-Predstave sadašnji partijski sistem u Crnoj Gori uz kraće analize partijskih programa pojedinih stranaka </w:t>
            </w:r>
          </w:p>
          <w:p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na ovom času vježbi mogu dobiti do 2 poena</w:t>
            </w:r>
          </w:p>
          <w:p w:rsidR="00CE0A8F" w:rsidRPr="0024722F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:rsidR="00F619D7" w:rsidRPr="0024722F" w:rsidRDefault="00F619D7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Studenti za pripremu mogu koristiti literaturu po svom izboru.</w:t>
            </w:r>
          </w:p>
          <w:p w:rsidR="00F619D7" w:rsidRPr="0024722F" w:rsidRDefault="00F619D7" w:rsidP="00E0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>
        <w:tc>
          <w:tcPr>
            <w:tcW w:w="547" w:type="pct"/>
            <w:shd w:val="clear" w:color="auto" w:fill="FFF2CC"/>
          </w:tcPr>
          <w:p w:rsidR="00F619D7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13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2019. </w:t>
            </w:r>
          </w:p>
        </w:tc>
        <w:tc>
          <w:tcPr>
            <w:tcW w:w="2903" w:type="pct"/>
          </w:tcPr>
          <w:p w:rsidR="00F619D7" w:rsidRPr="0024722F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F619D7" w:rsidRPr="0024722F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Popravni  kolokvijum</w:t>
            </w:r>
          </w:p>
          <w:p w:rsidR="00F619D7" w:rsidRPr="0024722F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F619D7" w:rsidRPr="0024722F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:rsidR="00F619D7" w:rsidRPr="0024722F" w:rsidRDefault="00F619D7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CE0A8F" w:rsidRPr="0024722F">
        <w:tc>
          <w:tcPr>
            <w:tcW w:w="547" w:type="pct"/>
            <w:shd w:val="clear" w:color="auto" w:fill="FFF2CC"/>
          </w:tcPr>
          <w:p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20. XII 2019.</w:t>
            </w:r>
          </w:p>
        </w:tc>
        <w:tc>
          <w:tcPr>
            <w:tcW w:w="2903" w:type="pct"/>
          </w:tcPr>
          <w:p w:rsidR="00CE0A8F" w:rsidRPr="0024722F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24722F" w:rsidRPr="0024722F" w:rsidRDefault="0024722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Zakonodavna funkcija Skupštine Crne Gore, transparentnost rada Parlamenta Crne Gore, uticaj međunarodnih aktera na rad Skupštine Crne Gore</w:t>
            </w:r>
          </w:p>
          <w:p w:rsidR="0024722F" w:rsidRPr="0024722F" w:rsidRDefault="0024722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24722F" w:rsidRDefault="0024722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Za pripremu koristiti: </w:t>
            </w:r>
            <w:r w:rsidRPr="0024722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Latn-ME"/>
              </w:rPr>
              <w:t xml:space="preserve">Demokratske performance parlamenata Srbije, Bosne i Hercegovine i Crne Gore, </w:t>
            </w:r>
            <w:r w:rsidRPr="0024722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Beograd – Sarajevo – Podgorica, 2012. Godina, str: 117-135, 207-223, 251-269.</w:t>
            </w:r>
          </w:p>
          <w:p w:rsidR="0024722F" w:rsidRPr="0024722F" w:rsidRDefault="0024722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bookmarkStart w:id="0" w:name="_GoBack"/>
            <w:bookmarkEnd w:id="0"/>
          </w:p>
          <w:p w:rsidR="0024722F" w:rsidRPr="0024722F" w:rsidRDefault="0024722F" w:rsidP="00247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na ovom času vježbi mogu dobiti do 2 poena</w:t>
            </w:r>
          </w:p>
          <w:p w:rsidR="00CE0A8F" w:rsidRPr="0024722F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CE0A8F" w:rsidRPr="0024722F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:rsidR="00CE0A8F" w:rsidRPr="0024722F" w:rsidRDefault="00CE0A8F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CE0A8F" w:rsidRPr="0024722F">
        <w:tc>
          <w:tcPr>
            <w:tcW w:w="547" w:type="pct"/>
            <w:shd w:val="clear" w:color="auto" w:fill="FFF2CC"/>
          </w:tcPr>
          <w:p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 XII 2019.</w:t>
            </w:r>
          </w:p>
        </w:tc>
        <w:tc>
          <w:tcPr>
            <w:tcW w:w="2903" w:type="pct"/>
          </w:tcPr>
          <w:p w:rsidR="00CE0A8F" w:rsidRPr="0024722F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Dupli čas vježbi – nadoknada 3. januara 2020. godine u skladu sa </w:t>
            </w: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>Akademskim kalendarom</w:t>
            </w:r>
          </w:p>
          <w:p w:rsidR="00CE0A8F" w:rsidRPr="0024722F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CE0A8F" w:rsidRPr="0024722F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Rekapitulacija gradiva sa vježbi, priprema za završni ispit</w:t>
            </w:r>
          </w:p>
          <w:p w:rsidR="00CE0A8F" w:rsidRPr="0024722F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Teme koje se obrađuju:</w:t>
            </w:r>
          </w:p>
          <w:p w:rsidR="00CE0A8F" w:rsidRPr="0024722F" w:rsidRDefault="00CE0A8F" w:rsidP="00CE0A8F">
            <w:pPr>
              <w:pStyle w:val="ListParagraph"/>
              <w:numPr>
                <w:ilvl w:val="0"/>
                <w:numId w:val="6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Nadležnosti i funkcije Vlade Crne Gore u postojećem crnogorskom političkom sistemu</w:t>
            </w:r>
          </w:p>
          <w:p w:rsidR="00CE0A8F" w:rsidRPr="0024722F" w:rsidRDefault="00CE0A8F" w:rsidP="00CE0A8F">
            <w:pPr>
              <w:pStyle w:val="ListParagraph"/>
              <w:numPr>
                <w:ilvl w:val="0"/>
                <w:numId w:val="6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Nadležnosti i funkcije sudstva, Ustavnog suda i Tužilaštva u postojećem crnogorskom političkom sistemu</w:t>
            </w:r>
          </w:p>
          <w:p w:rsidR="00CE0A8F" w:rsidRPr="0024722F" w:rsidRDefault="00CE0A8F" w:rsidP="00CE0A8F">
            <w:pPr>
              <w:pStyle w:val="ListParagraph"/>
              <w:numPr>
                <w:ilvl w:val="0"/>
                <w:numId w:val="6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Nadležnosti i funkcije Skupštine Crne Gore u postojećem crnogorskom političkom sistemu</w:t>
            </w:r>
          </w:p>
          <w:p w:rsidR="00CE0A8F" w:rsidRPr="0024722F" w:rsidRDefault="00CE0A8F" w:rsidP="00CE0A8F">
            <w:pPr>
              <w:pStyle w:val="ListParagraph"/>
              <w:numPr>
                <w:ilvl w:val="0"/>
                <w:numId w:val="6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Nadležnosti i funkcije Predsjednika Crne Gore u postojećem crnogorskom političkom sistemu</w:t>
            </w:r>
          </w:p>
          <w:p w:rsidR="00CE0A8F" w:rsidRPr="0024722F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:rsidR="00CE0A8F" w:rsidRPr="0024722F" w:rsidRDefault="00CE0A8F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F619D7" w:rsidRPr="0024722F" w:rsidRDefault="00F619D7" w:rsidP="0057041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F619D7" w:rsidRPr="0024722F" w:rsidSect="00CD1FB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69" w:rsidRDefault="00817F69" w:rsidP="00405FEF">
      <w:pPr>
        <w:spacing w:after="0" w:line="240" w:lineRule="auto"/>
      </w:pPr>
      <w:r>
        <w:separator/>
      </w:r>
    </w:p>
  </w:endnote>
  <w:endnote w:type="continuationSeparator" w:id="0">
    <w:p w:rsidR="00817F69" w:rsidRDefault="00817F69" w:rsidP="0040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69" w:rsidRDefault="00817F69" w:rsidP="00405FEF">
      <w:pPr>
        <w:spacing w:after="0" w:line="240" w:lineRule="auto"/>
      </w:pPr>
      <w:r>
        <w:separator/>
      </w:r>
    </w:p>
  </w:footnote>
  <w:footnote w:type="continuationSeparator" w:id="0">
    <w:p w:rsidR="00817F69" w:rsidRDefault="00817F69" w:rsidP="00405FEF">
      <w:pPr>
        <w:spacing w:after="0" w:line="240" w:lineRule="auto"/>
      </w:pPr>
      <w:r>
        <w:continuationSeparator/>
      </w:r>
    </w:p>
  </w:footnote>
  <w:footnote w:id="1">
    <w:p w:rsidR="00F619D7" w:rsidRDefault="00F619D7" w:rsidP="00FE5EFF">
      <w:pPr>
        <w:pStyle w:val="FootnoteText"/>
      </w:pPr>
      <w:r w:rsidRPr="000C5590">
        <w:rPr>
          <w:rStyle w:val="FootnoteReference"/>
          <w:rFonts w:ascii="Times New Roman" w:hAnsi="Times New Roman" w:cs="Times New Roman"/>
        </w:rPr>
        <w:footnoteRef/>
      </w:r>
      <w:r w:rsidRPr="000C5590">
        <w:rPr>
          <w:rFonts w:ascii="Times New Roman" w:hAnsi="Times New Roman" w:cs="Times New Roman"/>
        </w:rPr>
        <w:t xml:space="preserve"> </w:t>
      </w:r>
      <w:proofErr w:type="spellStart"/>
      <w:r w:rsidRPr="000C5590">
        <w:rPr>
          <w:rFonts w:ascii="Times New Roman" w:hAnsi="Times New Roman" w:cs="Times New Roman"/>
          <w:lang w:val="en-US"/>
        </w:rPr>
        <w:t>Ukoliko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0C5590">
        <w:rPr>
          <w:rFonts w:ascii="Times New Roman" w:hAnsi="Times New Roman" w:cs="Times New Roman"/>
          <w:lang w:val="en-US"/>
        </w:rPr>
        <w:t>potrebno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C5590">
        <w:rPr>
          <w:rFonts w:ascii="Times New Roman" w:hAnsi="Times New Roman" w:cs="Times New Roman"/>
          <w:lang w:val="en-US"/>
        </w:rPr>
        <w:t>obratiti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saradniku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0C5590">
        <w:rPr>
          <w:rFonts w:ascii="Times New Roman" w:hAnsi="Times New Roman" w:cs="Times New Roman"/>
          <w:lang w:val="en-US"/>
        </w:rPr>
        <w:t>nastavi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590">
        <w:rPr>
          <w:rFonts w:ascii="Times New Roman" w:hAnsi="Times New Roman" w:cs="Times New Roman"/>
          <w:lang w:val="en-US"/>
        </w:rPr>
        <w:t>za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590">
        <w:rPr>
          <w:rFonts w:ascii="Times New Roman" w:hAnsi="Times New Roman" w:cs="Times New Roman"/>
          <w:lang w:val="en-US"/>
        </w:rPr>
        <w:t>sugestije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9D7" w:rsidRDefault="00817F69" w:rsidP="00505665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F619D7" w:rsidRPr="004E6855">
      <w:t xml:space="preserve">  </w:t>
    </w:r>
    <w:r w:rsidR="00F619D7">
      <w:t xml:space="preserve">                           </w:t>
    </w:r>
    <w:r w:rsidR="00F619D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>
        <v:shape id="Picture 2" o:spid="_x0000_i1026" type="#_x0000_t75" alt="FPN logo" style="width:59.25pt;height:84.75pt;visibility:visible">
          <v:imagedata r:id="rId2" o:title=""/>
        </v:shape>
      </w:pict>
    </w:r>
    <w:r w:rsidR="00F619D7" w:rsidRPr="004E6855">
      <w:t xml:space="preserve">  </w:t>
    </w:r>
  </w:p>
  <w:p w:rsidR="00F619D7" w:rsidRDefault="00CE0A8F" w:rsidP="00CE0A8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Osnovne akademske</w:t>
    </w:r>
    <w:r w:rsidR="00F619D7">
      <w:rPr>
        <w:rFonts w:ascii="Times New Roman" w:hAnsi="Times New Roman" w:cs="Times New Roman"/>
        <w:sz w:val="24"/>
        <w:szCs w:val="24"/>
      </w:rPr>
      <w:t xml:space="preserve"> studije, studijski programi: </w:t>
    </w:r>
    <w:r>
      <w:rPr>
        <w:rFonts w:ascii="Times New Roman" w:hAnsi="Times New Roman" w:cs="Times New Roman"/>
        <w:sz w:val="24"/>
        <w:szCs w:val="24"/>
      </w:rPr>
      <w:t>Politikologija – međunarodni odnosi; Medijske studije i novinarstvo</w:t>
    </w:r>
  </w:p>
  <w:p w:rsidR="00F619D7" w:rsidRPr="00E642C8" w:rsidRDefault="00CE0A8F" w:rsidP="00CE0A8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Zimski semestar, studijska 2019/20</w:t>
    </w:r>
    <w:r w:rsidR="00F619D7">
      <w:rPr>
        <w:rFonts w:ascii="Times New Roman" w:hAnsi="Times New Roman" w:cs="Times New Roman"/>
        <w:sz w:val="24"/>
        <w:szCs w:val="24"/>
      </w:rPr>
      <w:t>. godina</w:t>
    </w:r>
  </w:p>
  <w:p w:rsidR="00F619D7" w:rsidRDefault="00F6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019"/>
    <w:multiLevelType w:val="hybridMultilevel"/>
    <w:tmpl w:val="0CCE7802"/>
    <w:lvl w:ilvl="0" w:tplc="B372B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F1193E"/>
    <w:multiLevelType w:val="hybridMultilevel"/>
    <w:tmpl w:val="7DBE4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D24C3"/>
    <w:multiLevelType w:val="hybridMultilevel"/>
    <w:tmpl w:val="73CCF1A0"/>
    <w:lvl w:ilvl="0" w:tplc="C32E3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41B"/>
    <w:rsid w:val="00041652"/>
    <w:rsid w:val="00041AD9"/>
    <w:rsid w:val="00047950"/>
    <w:rsid w:val="0007595A"/>
    <w:rsid w:val="000915B2"/>
    <w:rsid w:val="000B118C"/>
    <w:rsid w:val="000C5590"/>
    <w:rsid w:val="00154681"/>
    <w:rsid w:val="001E4ACD"/>
    <w:rsid w:val="001F73FB"/>
    <w:rsid w:val="0024722F"/>
    <w:rsid w:val="00282381"/>
    <w:rsid w:val="00283C48"/>
    <w:rsid w:val="00292567"/>
    <w:rsid w:val="00380566"/>
    <w:rsid w:val="0039732D"/>
    <w:rsid w:val="003A6141"/>
    <w:rsid w:val="00405FEF"/>
    <w:rsid w:val="00415045"/>
    <w:rsid w:val="00442D85"/>
    <w:rsid w:val="004E6855"/>
    <w:rsid w:val="00505665"/>
    <w:rsid w:val="005061A8"/>
    <w:rsid w:val="0052289E"/>
    <w:rsid w:val="00527DCE"/>
    <w:rsid w:val="0057041B"/>
    <w:rsid w:val="00581E16"/>
    <w:rsid w:val="00584E1E"/>
    <w:rsid w:val="0058632B"/>
    <w:rsid w:val="006053FF"/>
    <w:rsid w:val="0062048A"/>
    <w:rsid w:val="00622B74"/>
    <w:rsid w:val="00646F46"/>
    <w:rsid w:val="006507DE"/>
    <w:rsid w:val="006B5429"/>
    <w:rsid w:val="00705A8A"/>
    <w:rsid w:val="00713B94"/>
    <w:rsid w:val="00760DD4"/>
    <w:rsid w:val="00782845"/>
    <w:rsid w:val="007B6B0B"/>
    <w:rsid w:val="007C35FC"/>
    <w:rsid w:val="007E6468"/>
    <w:rsid w:val="007F7260"/>
    <w:rsid w:val="00806D76"/>
    <w:rsid w:val="00817F69"/>
    <w:rsid w:val="008F174F"/>
    <w:rsid w:val="00914F8A"/>
    <w:rsid w:val="00996541"/>
    <w:rsid w:val="009D3FFA"/>
    <w:rsid w:val="00A25210"/>
    <w:rsid w:val="00AC7BC1"/>
    <w:rsid w:val="00AE5826"/>
    <w:rsid w:val="00B13FD6"/>
    <w:rsid w:val="00B316F1"/>
    <w:rsid w:val="00B7119F"/>
    <w:rsid w:val="00BE2E7E"/>
    <w:rsid w:val="00BE742A"/>
    <w:rsid w:val="00C07276"/>
    <w:rsid w:val="00C54027"/>
    <w:rsid w:val="00CA1EBD"/>
    <w:rsid w:val="00CD1FBA"/>
    <w:rsid w:val="00CE0A8F"/>
    <w:rsid w:val="00D04C29"/>
    <w:rsid w:val="00D53276"/>
    <w:rsid w:val="00DF234C"/>
    <w:rsid w:val="00E045EE"/>
    <w:rsid w:val="00E20319"/>
    <w:rsid w:val="00E26DEA"/>
    <w:rsid w:val="00E3151E"/>
    <w:rsid w:val="00E47A51"/>
    <w:rsid w:val="00E642C8"/>
    <w:rsid w:val="00E90C8B"/>
    <w:rsid w:val="00EF5164"/>
    <w:rsid w:val="00F10DC9"/>
    <w:rsid w:val="00F619D7"/>
    <w:rsid w:val="00FD75D8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8C687"/>
  <w15:docId w15:val="{6ACF1A5D-CBFD-4C33-B165-F0D8330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81"/>
    <w:pPr>
      <w:spacing w:after="160" w:line="259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041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E4ACD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05F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05FEF"/>
    <w:rPr>
      <w:sz w:val="20"/>
      <w:szCs w:val="20"/>
    </w:rPr>
  </w:style>
  <w:style w:type="character" w:styleId="FootnoteReference">
    <w:name w:val="footnote reference"/>
    <w:uiPriority w:val="99"/>
    <w:semiHidden/>
    <w:rsid w:val="00405F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0C8B"/>
    <w:pPr>
      <w:ind w:left="720"/>
    </w:pPr>
  </w:style>
  <w:style w:type="paragraph" w:styleId="Header">
    <w:name w:val="header"/>
    <w:basedOn w:val="Normal"/>
    <w:link w:val="HeaderChar"/>
    <w:uiPriority w:val="99"/>
    <w:rsid w:val="0050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665"/>
  </w:style>
  <w:style w:type="paragraph" w:styleId="Footer">
    <w:name w:val="footer"/>
    <w:basedOn w:val="Normal"/>
    <w:link w:val="FooterChar"/>
    <w:uiPriority w:val="99"/>
    <w:rsid w:val="0050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FPN</cp:lastModifiedBy>
  <cp:revision>20</cp:revision>
  <dcterms:created xsi:type="dcterms:W3CDTF">2018-02-01T17:50:00Z</dcterms:created>
  <dcterms:modified xsi:type="dcterms:W3CDTF">2019-09-26T12:03:00Z</dcterms:modified>
</cp:coreProperties>
</file>