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CA2" w14:textId="08176064" w:rsidR="00C87E19" w:rsidRDefault="00C87E19" w:rsidP="00C87E19">
      <w:pPr>
        <w:ind w:left="720" w:hanging="360"/>
        <w:jc w:val="center"/>
        <w:rPr>
          <w:rFonts w:ascii="Book Antiqua" w:hAnsi="Book Antiqua"/>
          <w:b/>
          <w:bCs/>
          <w:sz w:val="28"/>
          <w:szCs w:val="28"/>
        </w:rPr>
      </w:pPr>
      <w:r w:rsidRPr="00C87E19">
        <w:rPr>
          <w:rFonts w:ascii="Book Antiqua" w:hAnsi="Book Antiqua"/>
          <w:b/>
          <w:bCs/>
          <w:sz w:val="28"/>
          <w:szCs w:val="28"/>
        </w:rPr>
        <w:t>Evropski parlament – Teme za promišljanje</w:t>
      </w:r>
    </w:p>
    <w:p w14:paraId="03D98B03" w14:textId="77777777" w:rsidR="00C87E19" w:rsidRPr="00C87E19" w:rsidRDefault="00C87E19" w:rsidP="00C87E19">
      <w:pPr>
        <w:ind w:left="720" w:hanging="36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2AF3E683" w14:textId="3A4D1FA3" w:rsidR="00150F28" w:rsidRPr="00C87E19" w:rsidRDefault="00C87E19" w:rsidP="00C87E1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C87E19">
        <w:rPr>
          <w:rFonts w:ascii="Book Antiqua" w:hAnsi="Book Antiqua"/>
          <w:sz w:val="24"/>
          <w:szCs w:val="24"/>
          <w:lang w:val="sr-Latn-ME"/>
        </w:rPr>
        <w:t>Uloga i značaj Evropskog parlamenta u kontestu (ne)postojanja demokratskog deficita EU.</w:t>
      </w:r>
    </w:p>
    <w:p w14:paraId="529D24A4" w14:textId="39386CA2" w:rsidR="00C87E19" w:rsidRDefault="00C87E19" w:rsidP="00C87E1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>
        <w:rPr>
          <w:rFonts w:ascii="Book Antiqua" w:hAnsi="Book Antiqua"/>
          <w:sz w:val="24"/>
          <w:szCs w:val="24"/>
          <w:lang w:val="sr-Latn-ME"/>
        </w:rPr>
        <w:t>Položaj EP u odnosu na druge institucije u sistemu EU.</w:t>
      </w:r>
    </w:p>
    <w:p w14:paraId="44AC6515" w14:textId="75D649C6" w:rsidR="00C87E19" w:rsidRDefault="00C87E19" w:rsidP="00C87E1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>
        <w:rPr>
          <w:rFonts w:ascii="Book Antiqua" w:hAnsi="Book Antiqua"/>
          <w:sz w:val="24"/>
          <w:szCs w:val="24"/>
          <w:lang w:val="sr-Latn-ME"/>
        </w:rPr>
        <w:t>Koje su osnovne razlike u procedurama donošenja odluka koje se koriste na relaciji EP i Savjet ministara?</w:t>
      </w:r>
    </w:p>
    <w:p w14:paraId="38D933C1" w14:textId="4BB6ABC9" w:rsidR="00C87E19" w:rsidRDefault="00C87E19" w:rsidP="00C87E1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>
        <w:rPr>
          <w:rFonts w:ascii="Book Antiqua" w:hAnsi="Book Antiqua"/>
          <w:sz w:val="24"/>
          <w:szCs w:val="24"/>
          <w:lang w:val="sr-Latn-ME"/>
        </w:rPr>
        <w:t>Na koji način je izborima za EP dat veći značaj u kontekstu izbora predsjednika Evropske komisije?</w:t>
      </w:r>
    </w:p>
    <w:p w14:paraId="39E9129D" w14:textId="25BEFC85" w:rsidR="00C87E19" w:rsidRPr="00C87E19" w:rsidRDefault="00C87E19" w:rsidP="00C87E1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>
        <w:rPr>
          <w:rFonts w:ascii="Book Antiqua" w:hAnsi="Book Antiqua"/>
          <w:sz w:val="24"/>
          <w:szCs w:val="24"/>
          <w:lang w:val="sr-Latn-ME"/>
        </w:rPr>
        <w:t>Na koji način se donose odluke u EP? Koliko je ova procedura slična-različita od načina donošenja odluka u Savjetu ministara?</w:t>
      </w:r>
      <w:bookmarkStart w:id="0" w:name="_GoBack"/>
      <w:bookmarkEnd w:id="0"/>
    </w:p>
    <w:sectPr w:rsidR="00C87E19" w:rsidRPr="00C8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139F"/>
    <w:multiLevelType w:val="hybridMultilevel"/>
    <w:tmpl w:val="60D4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D5"/>
    <w:rsid w:val="00415D06"/>
    <w:rsid w:val="00C87E19"/>
    <w:rsid w:val="00DE2CD5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38CD"/>
  <w15:chartTrackingRefBased/>
  <w15:docId w15:val="{02D74FE8-FB1F-4FF3-87FE-7E0054A3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2020-03-30T10:27:00Z</dcterms:created>
  <dcterms:modified xsi:type="dcterms:W3CDTF">2020-03-30T10:36:00Z</dcterms:modified>
</cp:coreProperties>
</file>