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Pr="009D1FF5" w:rsidRDefault="009D1FF5" w:rsidP="009D1FF5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Аристотелова </w:t>
      </w:r>
      <w:r w:rsidRPr="009D1FF5">
        <w:rPr>
          <w:rFonts w:ascii="Times New Roman" w:hAnsi="Times New Roman" w:cs="Times New Roman"/>
          <w:i/>
          <w:iCs/>
          <w:color w:val="000000"/>
          <w:sz w:val="28"/>
          <w:szCs w:val="28"/>
          <w:lang w:val="sr-Cyrl-CS"/>
        </w:rPr>
        <w:t>Поетика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sr-Cyrl-CS"/>
        </w:rPr>
        <w:t>:</w:t>
      </w:r>
    </w:p>
    <w:p w:rsidR="009D1FF5" w:rsidRPr="009D1FF5" w:rsidRDefault="009D1FF5" w:rsidP="009D1FF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к</w:t>
      </w:r>
      <w:r w:rsidRPr="009D1FF5">
        <w:rPr>
          <w:rFonts w:ascii="Times New Roman" w:hAnsi="Times New Roman" w:cs="Times New Roman"/>
          <w:b/>
          <w:sz w:val="28"/>
          <w:szCs w:val="28"/>
          <w:lang w:val="sr-Cyrl-CS"/>
        </w:rPr>
        <w:t>арика између теоријске и практичне философије</w:t>
      </w:r>
    </w:p>
    <w:p w:rsidR="009D1FF5" w:rsidRDefault="009D1FF5" w:rsidP="009D1FF5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D1FF5" w:rsidRDefault="009D1FF5" w:rsidP="009D1FF5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 w:rsidRPr="009D1FF5">
        <w:rPr>
          <w:rFonts w:ascii="Times New Roman" w:hAnsi="Times New Roman" w:cs="Times New Roman"/>
          <w:b/>
          <w:sz w:val="28"/>
          <w:szCs w:val="28"/>
          <w:lang w:val="sr-Cyrl-CS"/>
        </w:rPr>
        <w:t>Теме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Поетика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као одговор на Платонову критику умјетности</w:t>
      </w: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2.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Појам </w:t>
      </w:r>
      <w:r>
        <w:rPr>
          <w:rFonts w:ascii="Times New Roman" w:hAnsi="Times New Roman" w:cs="Times New Roman"/>
          <w:sz w:val="28"/>
          <w:szCs w:val="28"/>
          <w:lang w:val="sr-Cyrl-CS"/>
        </w:rPr>
        <w:t>„подражавања“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Pr="009D1FF5">
        <w:rPr>
          <w:rFonts w:ascii="Times New Roman" w:hAnsi="Times New Roman" w:cs="Times New Roman"/>
          <w:i/>
          <w:sz w:val="28"/>
          <w:szCs w:val="28"/>
          <w:lang w:val="sr-Cyrl-CS"/>
        </w:rPr>
        <w:t>мимесис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3.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„Онтологија“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„онтолошка“ структура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умјетничког дјела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4.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По-етика емоција у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Поетици</w:t>
      </w: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5. Појам „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прочишћење</w:t>
      </w:r>
      <w:r>
        <w:rPr>
          <w:rFonts w:ascii="Times New Roman" w:hAnsi="Times New Roman" w:cs="Times New Roman"/>
          <w:sz w:val="28"/>
          <w:szCs w:val="28"/>
          <w:lang w:val="sr-Cyrl-CS"/>
        </w:rPr>
        <w:t>“ (</w:t>
      </w:r>
      <w:r w:rsidRPr="009D1FF5">
        <w:rPr>
          <w:rFonts w:ascii="Times New Roman" w:hAnsi="Times New Roman" w:cs="Times New Roman"/>
          <w:i/>
          <w:sz w:val="28"/>
          <w:szCs w:val="28"/>
          <w:lang w:val="sr-Cyrl-CS"/>
        </w:rPr>
        <w:t>катарсис</w:t>
      </w:r>
      <w:r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9D1FF5" w:rsidRP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Већ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ина коментатора првог и најутицајнијег философског текста о теорији умјетности сматра да је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Поетика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настала као Ста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гиранинова реакција на (не)чувену критику пјесништва коју његов учитељ износи у дијалогу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Ијон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9D1FF5">
        <w:rPr>
          <w:rFonts w:ascii="Times New Roman" w:hAnsi="Times New Roman" w:cs="Times New Roman"/>
          <w:sz w:val="28"/>
          <w:szCs w:val="28"/>
          <w:lang w:val="sr-Latn-RS"/>
        </w:rPr>
        <w:t>II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9D1FF5">
        <w:rPr>
          <w:rFonts w:ascii="Times New Roman" w:hAnsi="Times New Roman" w:cs="Times New Roman"/>
          <w:sz w:val="28"/>
          <w:szCs w:val="28"/>
          <w:lang w:val="sr-Latn-RS"/>
        </w:rPr>
        <w:t xml:space="preserve"> III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Pr="009D1FF5">
        <w:rPr>
          <w:rFonts w:ascii="Times New Roman" w:hAnsi="Times New Roman" w:cs="Times New Roman"/>
          <w:sz w:val="28"/>
          <w:szCs w:val="28"/>
          <w:lang w:val="sr-Latn-RS"/>
        </w:rPr>
        <w:t>X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књизи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Државе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За разлику од Платона који је критиковао пјесништво са </w:t>
      </w:r>
      <w:r w:rsidRPr="009D1FF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сазнајног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(удаљавање од истине), </w:t>
      </w:r>
      <w:r w:rsidRPr="009D1FF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етичко-педагошко-политичког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(распиривање нижих афеката, непримјерено приказивање богова и хероја) и </w:t>
      </w:r>
      <w:r w:rsidRPr="009D1FF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онтолошког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(стварање привида) становишта, Аристотел настоји да у својој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 xml:space="preserve">Поетици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рехабилитује пјесништво.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Аристотелова рехабилитација или афирмација пјесништва, и умјетности као такве, мора се посматрати у контексту његовог философског система. 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Поетика је спона између философије природе и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Метафизике, тј. „прве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философије“, с једне, и етике и политике које припадају практичној философији, с друге стране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Контекстуализација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Поетике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не доводи у пит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ање аутономију умјетности као „поетичког знања“ своје врсте. 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Иако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Поетику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не треба схватити моралистички, дакле као текст који је у служби практичке философије (етике и политике), Аристотел није претеча </w:t>
      </w:r>
      <w:r w:rsidRPr="009D1FF5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’</w:t>
      </w:r>
      <w:r w:rsidRPr="009D1FF5">
        <w:rPr>
          <w:rFonts w:ascii="Times New Roman" w:hAnsi="Times New Roman" w:cs="Times New Roman"/>
          <w:i/>
          <w:iCs/>
          <w:sz w:val="28"/>
          <w:szCs w:val="28"/>
        </w:rPr>
        <w:t>art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 xml:space="preserve"> </w:t>
      </w:r>
      <w:r w:rsidRPr="009D1FF5">
        <w:rPr>
          <w:rFonts w:ascii="Times New Roman" w:hAnsi="Times New Roman" w:cs="Times New Roman"/>
          <w:i/>
          <w:iCs/>
          <w:sz w:val="28"/>
          <w:szCs w:val="28"/>
        </w:rPr>
        <w:t>pour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 xml:space="preserve"> </w:t>
      </w:r>
      <w:r w:rsidRPr="009D1FF5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’</w:t>
      </w:r>
      <w:r w:rsidRPr="009D1FF5">
        <w:rPr>
          <w:rFonts w:ascii="Times New Roman" w:hAnsi="Times New Roman" w:cs="Times New Roman"/>
          <w:i/>
          <w:iCs/>
          <w:sz w:val="28"/>
          <w:szCs w:val="28"/>
        </w:rPr>
        <w:t>art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 xml:space="preserve"> становишта.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Пјесништво, књижевност уопште, има едукати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вну функцију. 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Поетика почиње појмом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јер приказивање нечега путем „подражавања“ суштина је сваке умјетности. При том, појам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само се условно може п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ревести као „подражавање“. Прије је ријеч о „опризорењу“ или самом „оприсутњењу“ онога што се приказује. Тиме се потврђује религијско исходиште умјетничког приказа.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Сазнајно-философска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релевантност пјесништва и књижевности потврђује се појмом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</w:rPr>
        <w:t xml:space="preserve">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утолико што се успјешност приказа или „утисак“ који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на нас оставља умјетничко дјело доводи у везу са његовом „истинитошћу“. 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Појам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</w:rPr>
        <w:t xml:space="preserve">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кдо Аристотела добија антрополошко утемељење. Као што „сви људи по природи теже сазнању“, како каже Аристотел у првој реченици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Метафизике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, тако је људској природи прирођена тежња ка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-у,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како каже у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Поетици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. Приказујући нешто „подражавањем“ човјек стиче сазнање о томе.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Сазнање које омогућава умјетничка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</w:rPr>
        <w:t xml:space="preserve">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није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пуко препознавање нечега од раније познатог његовим пуким умјетничким понављањем или репродуковањем, него сазнавање нечега умјетнчки приказаног у његовој суштини, сазнаје се сама бит ствари. </w:t>
      </w:r>
    </w:p>
    <w:p w:rsidR="00000000" w:rsidRPr="009D1FF5" w:rsidRDefault="009D1FF5" w:rsidP="009D1F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Аристотелова теорија пјесничког и умјетничког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-а је блиска Платоновој идеалистичкој теорији знања као сје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ћања (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ἀ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ά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μνησις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</w:p>
    <w:p w:rsidR="009D1FF5" w:rsidRP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Умјетност је блиска философи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ји, како захваљујући сазнајодавном карактеру 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ί</w:t>
      </w:r>
      <w:r w:rsidRPr="009D1FF5">
        <w:rPr>
          <w:rFonts w:ascii="Times New Roman" w:hAnsi="Times New Roman" w:cs="Times New Roman"/>
          <w:sz w:val="28"/>
          <w:szCs w:val="28"/>
          <w:lang w:val="el-GR"/>
        </w:rPr>
        <w:t>μησις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-а, тако и у погледу онтолошком статусу и структуре умјетничког дј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ела.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Умјетничко дјело има самосталан онтолошки статус, оно је као дјело умјетничка творевина, иако „подражавајући приказује“ нешто познато.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Онтолошку структуру умјетничког приказа чини емпиријски аспект и идејни аспект, или појавни и умствени аспект.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Говорећи о трагедији, Аристотел упућује на њен фи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лософски карактер јер нам омогућава увид у нешто „опште“.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Аристотел истиче у својој славној дефиницији трагедије да је њен циљ изазивање осјећања „страха и сажаљења“ и њихово „прочишће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ње“.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За разлику од Платона који је одбацивао пјесништво због афеката које оно изазива затамњујући рационалност, Аристотел је сматрао да је емоципнално дејство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умјетности етички и педагошки драгоцјено.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Умјетност нас својим психолошким дејством емоционално и морално обогаћује и едукује. Емоције имају когнитивну функцију, утолико што нам омогућа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вају препознавање етичких вриједности.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Марта Нусбаум говори о сажаљењу (саосјећању) као темељној друштвеној емоцији која омогућава кохезију и хуманизацију друштва. Тиме се онда упућује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и на социо-политичку релевантност трагичког пјесништва код Аристотела.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Емоционално дејтсво умјетности није ирационално, већ је у вези са „практичном мудрошћу“, са карактерном и интелект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уалном врлином „фронесис“. 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Фронесис је способност процјене практично- животне ситуације у којој се тражи ваљана морална одлука у одсуству узора или правила која би се могла слиједити.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Емоције су нешто што има важну улогу у обликовању човјековог карактера. Умјетност не само да изазива емоције него их и васпитава.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Појам катарзе или „прочишћења“ из дефиниције трагедије појављује се у Аристотеловој </w:t>
      </w:r>
      <w:r w:rsidRPr="009D1FF5">
        <w:rPr>
          <w:rFonts w:ascii="Times New Roman" w:hAnsi="Times New Roman" w:cs="Times New Roman"/>
          <w:i/>
          <w:iCs/>
          <w:sz w:val="28"/>
          <w:szCs w:val="28"/>
          <w:lang w:val="sr-Cyrl-CS"/>
        </w:rPr>
        <w:t>Поетици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само на два мјеста. Ниједном тај појам није дефинисан, тако да је његово право значење предмет дуготрајних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>расправа.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У ширем контекту, катарза има ритулно-религијско, медицинско и етичко значење: прочишћење душе и тијела од гријеха и грјешних, негативних, штетних, бурних и неумјерених осјећањ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а.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Катарза може да значи прочишћење од трагичких емоција код аудиторијума путем њиховог интензивног доживљавања како би се постигао непомућени увид у бит ствари, конкретне животне ситуа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ције, 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или људског живота и самог човјековог положаја у свијету као „трагичког“. У том смислу би катарза имала хомеопатско значење, јер би дејство страха и сажаљења превазилазило актере умјетничког дјела.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Уколико би катарза имала улогу само у контексту трагичког дјела, онда би она могла да упућује на „разјашњење“. </w:t>
      </w:r>
    </w:p>
    <w:p w:rsidR="00000000" w:rsidRPr="009D1FF5" w:rsidRDefault="009D1FF5" w:rsidP="009D1F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D1FF5">
        <w:rPr>
          <w:rFonts w:ascii="Times New Roman" w:hAnsi="Times New Roman" w:cs="Times New Roman"/>
          <w:sz w:val="28"/>
          <w:szCs w:val="28"/>
          <w:lang w:val="sr-Cyrl-CS"/>
        </w:rPr>
        <w:t>Глобалну структуру трагедије чине „заплет“ (перипетија“)</w:t>
      </w:r>
      <w:r w:rsidRPr="009D1FF5">
        <w:rPr>
          <w:rFonts w:ascii="Times New Roman" w:hAnsi="Times New Roman" w:cs="Times New Roman"/>
          <w:sz w:val="28"/>
          <w:szCs w:val="28"/>
          <w:lang w:val="sr-Cyrl-CS"/>
        </w:rPr>
        <w:t xml:space="preserve"> и „расплет“ („катастрофа“, у „некатастрофичном“ значењу расплета), па би катарза био средњи члан те структуре који подразумијева разјашњење или рјешење драме. И у том погледу је драмско умјетничко дјело блиско философији.  </w:t>
      </w:r>
    </w:p>
    <w:p w:rsidR="009D1FF5" w:rsidRPr="009D1FF5" w:rsidRDefault="009D1FF5" w:rsidP="009D1FF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9D1FF5" w:rsidRPr="009D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D435F"/>
    <w:multiLevelType w:val="hybridMultilevel"/>
    <w:tmpl w:val="C69A9802"/>
    <w:lvl w:ilvl="0" w:tplc="F788C3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00C9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8C5F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9C8F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FAC1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CA53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322B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5AA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0C9C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5C7587D"/>
    <w:multiLevelType w:val="hybridMultilevel"/>
    <w:tmpl w:val="1A6029D6"/>
    <w:lvl w:ilvl="0" w:tplc="4A724B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D2AB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387D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493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F696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6C79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B4E3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1A74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707C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4762466"/>
    <w:multiLevelType w:val="hybridMultilevel"/>
    <w:tmpl w:val="3F0CFD32"/>
    <w:lvl w:ilvl="0" w:tplc="31B8CB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0882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E7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A7F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6A9F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FEE7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4232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29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B2C7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EF2314C"/>
    <w:multiLevelType w:val="hybridMultilevel"/>
    <w:tmpl w:val="B5400A88"/>
    <w:lvl w:ilvl="0" w:tplc="458094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AE3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AC7A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5A64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EAE9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6E49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AE2D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B6C4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8213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F238AE"/>
    <w:multiLevelType w:val="hybridMultilevel"/>
    <w:tmpl w:val="7034F9FC"/>
    <w:lvl w:ilvl="0" w:tplc="E174AF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6A7A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A08D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90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4D0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8AB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7A0E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DEB0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EE42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F5"/>
    <w:rsid w:val="00291A54"/>
    <w:rsid w:val="006A0B63"/>
    <w:rsid w:val="009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BD68-987D-490A-9946-7CC809A0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2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2020-04-06T12:21:00Z</dcterms:created>
  <dcterms:modified xsi:type="dcterms:W3CDTF">2020-04-06T12:29:00Z</dcterms:modified>
</cp:coreProperties>
</file>