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F3" w:rsidRPr="006F04D2" w:rsidRDefault="00405CF3" w:rsidP="00405C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" w:hAnsi="Times New Roman" w:cs="Times New Roman"/>
          <w:b/>
          <w:i/>
          <w:sz w:val="28"/>
          <w:szCs w:val="28"/>
        </w:rPr>
      </w:pPr>
      <w:r w:rsidRPr="005C3FC1">
        <w:rPr>
          <w:rFonts w:ascii="Times New Roman" w:eastAsia="TimesNewRoman" w:hAnsi="Times New Roman" w:cs="Times New Roman"/>
          <w:b/>
          <w:i/>
          <w:sz w:val="28"/>
          <w:szCs w:val="28"/>
        </w:rPr>
        <w:t>Алтруизам</w:t>
      </w:r>
      <w:r>
        <w:rPr>
          <w:rFonts w:ascii="Times New Roman" w:eastAsia="TimesNewRoman" w:hAnsi="Times New Roman" w:cs="Times New Roman"/>
          <w:b/>
          <w:i/>
          <w:sz w:val="28"/>
          <w:szCs w:val="28"/>
        </w:rPr>
        <w:t>: нека интерпретативна питања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405CF3" w:rsidRPr="000A6EFA" w:rsidRDefault="00405CF3" w:rsidP="00405C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Обратимо сада још једном пажњу феномену алтруизма, његовом мо-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гућем тумачењу преко сазнања модерне теорије еволуције, те месту таквог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модуса поступања у савременим теоријама морала: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Занимљиво је, да је након претходно изложених налаза, Mаyr ипак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нашао за сходно да закључи како уколико је алтруистичко понашање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одређених животиња у целини узевши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од предности за генотип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алтруисте,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онда се ради, критички посматрано, пре о једном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егоистичком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него ли о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аутентично алтруистичком понашању! Та његова критичка процена смела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би међутим, узмемо ли је дословно, према мом мишљењу бити донекле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проблематична. Наиме, говор о егоизму било ког актера поступања има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смисла тек онда, ако он на неки начин може пред собом сагледати алтер-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нативне могућности поступања и последице којима ће свака од њих во-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дити. Тако на пример, нека животиња може у свом животном окружењу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опажати одређене своје сроднике, одн. чланове властите групе као мала-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ксале, па се онда инстинктивно определити да им препусти свој комад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хране – или да пак исти конзумира сама, препуштајући друге њиховој</w:t>
      </w:r>
    </w:p>
    <w:p w:rsidR="00405CF3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судбини.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Инстинктивно се одлучујући за добробит властитог сродника или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члана исте групе, животиња која реализује алтруистичко понашање не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опредељује се, међутим, уједно и за добробит свог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генотипа у целини на</w:t>
      </w:r>
      <w:r w:rsidRPr="000A6EFA">
        <w:rPr>
          <w:rFonts w:ascii="Times New Roman" w:eastAsia="TimesNewRoman" w:hAnsi="Times New Roman" w:cs="Times New Roman"/>
          <w:i/>
          <w:iCs/>
          <w:sz w:val="28"/>
          <w:szCs w:val="28"/>
        </w:rPr>
        <w:t>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супрот другим генотиповима</w:t>
      </w:r>
      <w:r w:rsidRPr="000A6EFA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.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Јер, та обухватнија и далекосежнија ситуа-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ција, какву она једноставно нема у видокругу свог опредељивања, дакле,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не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може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ни бити предметом њеног избора. Премда њено алтруистичко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поступање – ако је веровати савременој биологији – фактички води управо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таквим последицама, говорити овде напросто о њиховом латентном его-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изму, значило би практично спровести једну имплицитну теоријску про-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јекцију, којом се понашање животиња одвише приближује понашању људи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у односу на њихове сроднике и шире (националне, расне, ... etc.) групе.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Људски субјекти, пак, могу наравно сагледати који и какви начини посту-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пања служе добробити једино њиховог властитог генотипа, а који и какви,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напротив, могу погодовати и другим генотиповима (одн. даљим, ужим или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ширим људским групама). И одговарајући облици њиховог поступања се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lastRenderedPageBreak/>
        <w:t>онда у стриктном смислу речи могу оквалификовати као егоистички.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Стога ће бити емпиријски адекватнија процена, у датом случају го-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ворити једноставно о (превасходно инстинктивно, несвесно) алтруисти-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чком понашању животиња, за које се онда испоставља, да оно објективно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погодује добробити целог властитог генотипа. Док насупрот томе другим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генотиповима не само да не користи, већ им може индиректно, преко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селекционо-еволутивних процеса који фаворизују одређене генотипове,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чак и штетити – него ли подузимати пројекције „егоизма“ по овде тешко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одрживој јакој аналогији са људским понашањем. Другим речима, морамо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обратити пажњу на важну разлику између понашања које је егоистичко у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том смислу што је вођено себичним циљевима и (свесним) мотивима, и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оног које је егоистичко једино још у том смислу што фактички води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последицама корисним једино по властиту групу, дакле има „себичне“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учинке. У противном, отвара се поље за антропоморфистичке неспоразуме.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Један даљи аспект поводом којега се може довести у питање повла-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чење прејаких паралела између алтруистичког понашања код животиња и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оног код људи јесте тај, што код животиња алтруизам, на шта нас иначе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i/>
          <w:iCs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упућују и Mаyr-ова тумачења, може бити објашњен у светлу теорије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срод</w:t>
      </w:r>
      <w:r w:rsidRPr="000A6EFA">
        <w:rPr>
          <w:rFonts w:ascii="Times New Roman" w:eastAsia="TimesNewRoman" w:hAnsi="Times New Roman" w:cs="Times New Roman"/>
          <w:i/>
          <w:iCs/>
          <w:sz w:val="28"/>
          <w:szCs w:val="28"/>
        </w:rPr>
        <w:t>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ничке селекције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, те тако, да је усмерен према оним јединкама, за које се има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својствени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репродуктивни интерес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. Насупрот томе, код људи би алтру-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истичко понашање било више мотивисано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потребама других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људи из со-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цијалног окружења, те промишљено (дакле ређе инстинктивно). Осим тога,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приметан је и феномен тзв.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реципрочног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алтруизма, који није више везан за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сродничке релације и трансцендира их! Додуше, најновија социобиолошка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истраживања су емпиријски потврдила омеђену присутност одређених фор-</w:t>
      </w:r>
    </w:p>
    <w:p w:rsidR="00405CF3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ми таквог, реципрочног алтруизма такође и код неких животињских врста.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На Mаyr-овом мишљењу врло сличан начин резонује и Мајкл Рас,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данас један од најутицајнијих интерпрета светоназорних консеквенци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дарвинизма и модерне биологије уопште. Он додуше утолико чини малу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дистанцу у односу на Mаyr-а, што објашњавајући феномен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кооперативног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понашања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животиња констатује, да животиње „раде заједно, свакако због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свог коначног биолошког добитка, али не нужно због свесног непосредног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добитка“. Оваквом тезом се дакле, како изгледа, отклања моменат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свесног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тежења ка непосредном профитирању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датих животиња, одн. њихове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lastRenderedPageBreak/>
        <w:t>врсте. Али ипак и овај теоретичар оставља неразјашњеним, шта заправо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тачно значи теза, да се животиње понашају на одређени начин „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због свог</w:t>
      </w:r>
    </w:p>
    <w:p w:rsidR="00405CF3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коначног биолошког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добитка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“. 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Бојим се да је таква дескрипција и даље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прејака, тј. да нас заводи на стапање претходно разликованих двају значења „егоизма“. Узета дословно, та дескрипција се може разумети тако, да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пројектује на понашање животиња моделе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дугорочног и обуватног интенционалног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, циљног поступања људских субјеката. Утолико би практично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било на делу пласирање својеврсног антропоморфизма. То важи и за прикључну Расову експликацију, према којој ствари стоје тако, да кооперативно се понашајући животиње „тако рећи, своје напоре улажу у заједничку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касу, па их онда, када је то потребно или нужно, одатле извлаче“ (Рас,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2004: 715). Јер, опет би се смело радити о унеколико прејаким интенционалним језичким изразима, одн. експресивним формалним паралелама са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сврховитим понашањем људи, за њега типичним феноменом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>дугорочнијег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инвестирања у будуће развоје колектива </w:t>
      </w:r>
      <w:r>
        <w:rPr>
          <w:rFonts w:ascii="Times New Roman" w:eastAsia="TimesNewRoman" w:hAnsi="Times New Roman" w:cs="Times New Roman"/>
          <w:sz w:val="28"/>
          <w:szCs w:val="28"/>
        </w:rPr>
        <w:t>и заједница којима се прип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ада!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Сигурније би насупрот томе било објашњење, да се такав тип превасходно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несвесно-инстинктивног понашања животиња само (накнадно) испоставља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објективно профитабилним по њихов властити генотип. Те да би се онда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утолико могао описати и на тај начин</w:t>
      </w:r>
      <w:r w:rsidRPr="000A6EFA">
        <w:rPr>
          <w:rFonts w:ascii="Times New Roman" w:eastAsia="TimesNewRoman" w:hAnsi="Times New Roman" w:cs="Times New Roman"/>
          <w:i/>
          <w:iCs/>
          <w:sz w:val="28"/>
          <w:szCs w:val="28"/>
        </w:rPr>
        <w:t xml:space="preserve">,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као да би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на делу било једно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успешно планско поступање руковођено тежњом ка досезању једног таквог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крајњег стања ствари, као што је то биолошки просперитет саме дате живо-</w:t>
      </w:r>
    </w:p>
    <w:p w:rsidR="00405CF3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тињске врсте.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У ствари, желео бих да изнесем своју интерпретативну претпоставку,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да она извођења Меира и Раса по свој прилици не би требало схватити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сасвим дословно, дакле у смислу који би онда подразумевао једно импли-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цитно пласирање </w:t>
      </w:r>
      <w:r w:rsidRPr="006F04D2">
        <w:rPr>
          <w:rFonts w:ascii="Times New Roman" w:eastAsia="TimesNewRoman" w:hAnsi="Times New Roman" w:cs="Times New Roman"/>
          <w:i/>
          <w:sz w:val="28"/>
          <w:szCs w:val="28"/>
        </w:rPr>
        <w:t>антропоморфизма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. Овде нам ваља поћи од тога, да је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Meyr ипак одвећ велики научник, да би несмотрено починио такву антро-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поморфистичку грешку. Пре би се радило о не најсретније нађеним реше-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 xml:space="preserve">њима за </w:t>
      </w:r>
      <w:r w:rsidRPr="000A6EFA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проблем дескрипције </w:t>
      </w:r>
      <w:r w:rsidRPr="000A6EFA">
        <w:rPr>
          <w:rFonts w:ascii="Times New Roman" w:eastAsia="TimesNewRoman" w:hAnsi="Times New Roman" w:cs="Times New Roman"/>
          <w:sz w:val="28"/>
          <w:szCs w:val="28"/>
        </w:rPr>
        <w:t>датог стања ствари, на које он и Рас у својим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извођењима упућују. А оправдање би се дало сагледати у комплексности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оног стања ствари које се управо настоји изразити, његове неподатности за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једноставан и јасан опис, којим би се предупредила замка клизања у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антропоморфизам. Упркос томе, има и даље основа за приговор једне не-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lastRenderedPageBreak/>
        <w:t>обазриве, потенцијалним неспоразумима водеће дескрипције. Наиме, ови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истакнути теоретичари се користе својственом језичком формом која се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употребљава при говору о људском интенционалном (чак дугорочно усме-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реном) поступању и карактерисању диспозиција његових актера, а при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описивању природних процеса и збивања ипак осетно другачијег типа. А</w:t>
      </w:r>
    </w:p>
    <w:p w:rsidR="00405CF3" w:rsidRPr="000A6EFA" w:rsidRDefault="00405CF3" w:rsidP="00405CF3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то онда може водити неспоразумима у односу на прави смисао њиховог</w:t>
      </w:r>
    </w:p>
    <w:p w:rsidR="00405CF3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A6EFA">
        <w:rPr>
          <w:rFonts w:ascii="Times New Roman" w:eastAsia="TimesNewRoman" w:hAnsi="Times New Roman" w:cs="Times New Roman"/>
          <w:sz w:val="28"/>
          <w:szCs w:val="28"/>
        </w:rPr>
        <w:t>тумачења биолошких налаза, какве ваља избећи.</w:t>
      </w:r>
    </w:p>
    <w:p w:rsidR="00405CF3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На основу претходно изложеног бива увидним постојање извесних биолошких основа људске моралности. Премда постоје разлике у проценама разних филозофа и етичара, докле утицај тих основа заправо сеже, он се уз уважавање добро проверених резултата модерне биологије и особито социобиологије не може више игнорисати. Па тако ни уз једноставно позивање на анти-натуралистичко интерпретативно полазиште одређених филозофских школа и праваца. Напротив, једно целовито и емпиријски адекватно тумачење изискује узимање у обзир и органско-биолошке подлоге оних форми људског поступања, које обично квалификујемо као морално релевантне одн. валидне.</w:t>
      </w:r>
    </w:p>
    <w:p w:rsidR="00405CF3" w:rsidRPr="00F07E95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405CF3" w:rsidRPr="000723F6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405CF3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7C4123">
        <w:rPr>
          <w:rFonts w:ascii="Times New Roman" w:eastAsia="TimesNewRoman" w:hAnsi="Times New Roman" w:cs="Times New Roman"/>
          <w:b/>
          <w:sz w:val="28"/>
          <w:szCs w:val="28"/>
        </w:rPr>
        <w:t xml:space="preserve">PREPORUKA </w:t>
      </w: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STUDENTIMA </w:t>
      </w:r>
      <w:r w:rsidRPr="007C4123">
        <w:rPr>
          <w:rFonts w:ascii="Times New Roman" w:eastAsia="TimesNewRoman" w:hAnsi="Times New Roman" w:cs="Times New Roman"/>
          <w:b/>
          <w:sz w:val="28"/>
          <w:szCs w:val="28"/>
        </w:rPr>
        <w:t>ZA DALJI RAD</w:t>
      </w:r>
      <w:r>
        <w:rPr>
          <w:rFonts w:ascii="Times New Roman" w:eastAsia="TimesNewRoman" w:hAnsi="Times New Roman" w:cs="Times New Roman"/>
          <w:sz w:val="28"/>
          <w:szCs w:val="28"/>
        </w:rPr>
        <w:t>:</w:t>
      </w:r>
    </w:p>
    <w:p w:rsidR="00405CF3" w:rsidRPr="00382F4D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405CF3" w:rsidRPr="006F04D2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Pre prekida rada fakulteta, studentima su već učinjene dostupnima fotokopije dva teksta iz udžbeničke literature. Naime:</w:t>
      </w:r>
    </w:p>
    <w:p w:rsidR="00405CF3" w:rsidRPr="00924C68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24C68">
        <w:rPr>
          <w:rFonts w:ascii="Times New Roman" w:eastAsia="TimesNewRoman" w:hAnsi="Times New Roman" w:cs="Times New Roman"/>
          <w:sz w:val="28"/>
          <w:szCs w:val="28"/>
        </w:rPr>
        <w:t xml:space="preserve">1. </w:t>
      </w:r>
      <w:r w:rsidRPr="00924C68">
        <w:rPr>
          <w:rFonts w:ascii="Times New Roman" w:eastAsia="TimesNewRoman" w:hAnsi="Times New Roman" w:cs="Times New Roman"/>
          <w:i/>
          <w:sz w:val="28"/>
          <w:szCs w:val="28"/>
        </w:rPr>
        <w:t>Vrednosti kao norme društvenog života</w:t>
      </w:r>
      <w:r w:rsidRPr="00924C68">
        <w:rPr>
          <w:rFonts w:ascii="Times New Roman" w:eastAsia="TimesNewRoman" w:hAnsi="Times New Roman" w:cs="Times New Roman"/>
          <w:sz w:val="28"/>
          <w:szCs w:val="28"/>
        </w:rPr>
        <w:t>,</w:t>
      </w:r>
    </w:p>
    <w:p w:rsidR="00405CF3" w:rsidRPr="00924C68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24C68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r w:rsidRPr="00924C68">
        <w:rPr>
          <w:rFonts w:ascii="Times New Roman" w:eastAsia="TimesNewRoman" w:hAnsi="Times New Roman" w:cs="Times New Roman"/>
          <w:i/>
          <w:sz w:val="28"/>
          <w:szCs w:val="28"/>
        </w:rPr>
        <w:t>Raznolikosti moralnih uverenja</w:t>
      </w:r>
      <w:r w:rsidRPr="00924C68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405CF3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24C68">
        <w:rPr>
          <w:rFonts w:ascii="Times New Roman" w:eastAsia="TimesNewRoman" w:hAnsi="Times New Roman" w:cs="Times New Roman"/>
          <w:sz w:val="28"/>
          <w:szCs w:val="28"/>
        </w:rPr>
        <w:t xml:space="preserve">I te kopirane tekstove valja tokom tekućeg perioda prorađivati. </w:t>
      </w:r>
      <w:r>
        <w:rPr>
          <w:rFonts w:ascii="Times New Roman" w:eastAsia="TimesNewRoman" w:hAnsi="Times New Roman" w:cs="Times New Roman"/>
          <w:sz w:val="28"/>
          <w:szCs w:val="28"/>
        </w:rPr>
        <w:t>K tome sada pridolazi i ovde priloženi tekst</w:t>
      </w:r>
    </w:p>
    <w:p w:rsidR="00405CF3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3.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82620">
        <w:rPr>
          <w:rFonts w:ascii="Times New Roman" w:eastAsia="TimesNewRoman" w:hAnsi="Times New Roman" w:cs="Times New Roman"/>
          <w:i/>
          <w:sz w:val="28"/>
          <w:szCs w:val="28"/>
        </w:rPr>
        <w:t>Biološke osnove morala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405CF3" w:rsidRPr="00782620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lastRenderedPageBreak/>
        <w:t>Data tri teksta iščitavati i analizirati u ovih par nedelja. Uoliko bi pauza u radu fakulteta bila pak produžena i nakon prvotno predviđemog termina, nastojalo bi se, da studentima budu učinjeni dostupnima i dalji, dodatni tekstovi – elementi udžbeničkog odn. ispitnog gradiva.</w:t>
      </w:r>
    </w:p>
    <w:p w:rsidR="00405CF3" w:rsidRDefault="00405CF3" w:rsidP="00405CF3">
      <w:pPr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Generalno</w:t>
      </w:r>
      <w:r w:rsidRPr="007826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uzev</w:t>
      </w:r>
      <w:r w:rsidRPr="00782620">
        <w:rPr>
          <w:rFonts w:ascii="Times New Roman" w:eastAsia="TimesNewRoman" w:hAnsi="Times New Roman" w:cs="Times New Roman"/>
          <w:sz w:val="28"/>
          <w:szCs w:val="28"/>
        </w:rPr>
        <w:t>š</w:t>
      </w:r>
      <w:r>
        <w:rPr>
          <w:rFonts w:ascii="Times New Roman" w:eastAsia="TimesNewRoman" w:hAnsi="Times New Roman" w:cs="Times New Roman"/>
          <w:sz w:val="28"/>
          <w:szCs w:val="28"/>
        </w:rPr>
        <w:t>i</w:t>
      </w:r>
      <w:r w:rsidRPr="00782620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sz w:val="28"/>
          <w:szCs w:val="28"/>
        </w:rPr>
        <w:t>preporu</w:t>
      </w:r>
      <w:r w:rsidRPr="00782620">
        <w:rPr>
          <w:rFonts w:ascii="Times New Roman" w:eastAsia="TimesNewRoman" w:hAnsi="Times New Roman" w:cs="Times New Roman"/>
          <w:sz w:val="28"/>
          <w:szCs w:val="28"/>
        </w:rPr>
        <w:t>č</w:t>
      </w:r>
      <w:r>
        <w:rPr>
          <w:rFonts w:ascii="Times New Roman" w:eastAsia="TimesNewRoman" w:hAnsi="Times New Roman" w:cs="Times New Roman"/>
          <w:sz w:val="28"/>
          <w:szCs w:val="28"/>
        </w:rPr>
        <w:t>uje</w:t>
      </w:r>
      <w:r w:rsidRPr="007826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se studentima </w:t>
      </w:r>
      <w:r w:rsidRPr="006C4836">
        <w:rPr>
          <w:rFonts w:ascii="Times New Roman" w:eastAsia="TimesNewRoman" w:hAnsi="Times New Roman" w:cs="Times New Roman"/>
          <w:i/>
          <w:sz w:val="28"/>
          <w:szCs w:val="28"/>
        </w:rPr>
        <w:t>da nastave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750C">
        <w:rPr>
          <w:rFonts w:ascii="Times New Roman" w:eastAsia="TimesNewRoman" w:hAnsi="Times New Roman" w:cs="Times New Roman"/>
          <w:i/>
          <w:sz w:val="28"/>
          <w:szCs w:val="28"/>
        </w:rPr>
        <w:t>sa započetim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7C4123">
        <w:rPr>
          <w:rFonts w:ascii="Times New Roman" w:eastAsia="TimesNewRoman" w:hAnsi="Times New Roman" w:cs="Times New Roman"/>
          <w:i/>
          <w:sz w:val="28"/>
          <w:szCs w:val="28"/>
        </w:rPr>
        <w:t>prora</w:t>
      </w:r>
      <w:r w:rsidRPr="009115E8">
        <w:rPr>
          <w:rFonts w:ascii="Times New Roman" w:eastAsia="TimesNewRoman" w:hAnsi="Times New Roman" w:cs="Times New Roman"/>
          <w:i/>
          <w:sz w:val="28"/>
          <w:szCs w:val="28"/>
        </w:rPr>
        <w:t>đ</w:t>
      </w:r>
      <w:r w:rsidRPr="007C4123">
        <w:rPr>
          <w:rFonts w:ascii="Times New Roman" w:eastAsia="TimesNewRoman" w:hAnsi="Times New Roman" w:cs="Times New Roman"/>
          <w:i/>
          <w:sz w:val="28"/>
          <w:szCs w:val="28"/>
        </w:rPr>
        <w:t>ivanjem</w:t>
      </w:r>
      <w:r w:rsidRPr="009115E8">
        <w:rPr>
          <w:rFonts w:ascii="Times New Roman" w:eastAsia="TimesNewRoman" w:hAnsi="Times New Roman" w:cs="Times New Roman"/>
          <w:i/>
          <w:sz w:val="28"/>
          <w:szCs w:val="28"/>
        </w:rPr>
        <w:t xml:space="preserve"> </w:t>
      </w:r>
      <w:r w:rsidRPr="007C4123">
        <w:rPr>
          <w:rFonts w:ascii="Times New Roman" w:eastAsia="TimesNewRoman" w:hAnsi="Times New Roman" w:cs="Times New Roman"/>
          <w:i/>
          <w:sz w:val="28"/>
          <w:szCs w:val="28"/>
        </w:rPr>
        <w:t>bazi</w:t>
      </w:r>
      <w:r w:rsidRPr="009115E8">
        <w:rPr>
          <w:rFonts w:ascii="Times New Roman" w:eastAsia="TimesNewRoman" w:hAnsi="Times New Roman" w:cs="Times New Roman"/>
          <w:i/>
          <w:sz w:val="28"/>
          <w:szCs w:val="28"/>
        </w:rPr>
        <w:t>č</w:t>
      </w:r>
      <w:r w:rsidRPr="007C4123">
        <w:rPr>
          <w:rFonts w:ascii="Times New Roman" w:eastAsia="TimesNewRoman" w:hAnsi="Times New Roman" w:cs="Times New Roman"/>
          <w:i/>
          <w:sz w:val="28"/>
          <w:szCs w:val="28"/>
        </w:rPr>
        <w:t>ne</w:t>
      </w:r>
      <w:r w:rsidRPr="009115E8">
        <w:rPr>
          <w:rFonts w:ascii="Times New Roman" w:eastAsia="TimesNewRoman" w:hAnsi="Times New Roman" w:cs="Times New Roman"/>
          <w:i/>
          <w:sz w:val="28"/>
          <w:szCs w:val="28"/>
        </w:rPr>
        <w:t xml:space="preserve"> </w:t>
      </w:r>
      <w:r w:rsidRPr="007C4123">
        <w:rPr>
          <w:rFonts w:ascii="Times New Roman" w:eastAsia="TimesNewRoman" w:hAnsi="Times New Roman" w:cs="Times New Roman"/>
          <w:i/>
          <w:sz w:val="28"/>
          <w:szCs w:val="28"/>
        </w:rPr>
        <w:t>literature</w:t>
      </w:r>
      <w:r w:rsidRPr="006C4836">
        <w:rPr>
          <w:rFonts w:ascii="Times New Roman" w:eastAsia="TimesNew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i/>
          <w:sz w:val="28"/>
          <w:szCs w:val="28"/>
        </w:rPr>
        <w:t>u</w:t>
      </w:r>
      <w:r w:rsidRPr="006C4836">
        <w:rPr>
          <w:rFonts w:ascii="Times New Roman" w:eastAsia="TimesNew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i/>
          <w:sz w:val="28"/>
          <w:szCs w:val="28"/>
        </w:rPr>
        <w:t>kontinuitetu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-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uz korišćenje takođe i onih mogućnosti, koje odavno pružaju odgovarajuće </w:t>
      </w:r>
      <w:r w:rsidRPr="00782620">
        <w:rPr>
          <w:rFonts w:ascii="Times New Roman" w:eastAsia="TimesNewRoman" w:hAnsi="Times New Roman" w:cs="Times New Roman"/>
          <w:i/>
          <w:sz w:val="28"/>
          <w:szCs w:val="28"/>
        </w:rPr>
        <w:t>bibliotečke ustanove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u zemlji, njihovi knjižni fondovi. </w:t>
      </w:r>
    </w:p>
    <w:p w:rsidR="00405CF3" w:rsidRPr="000A6EFA" w:rsidRDefault="00405CF3" w:rsidP="00405C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Za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konsultacije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se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po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potrebi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obratiti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predmetnom asistentu, magistru Banoviću - sa kojim i inače valja održati redovan kontakt, sve do reaktiviranja redovnih aktivnosti  studijskog  programa  odn. fakulteta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" w:hAnsi="Times New Roman" w:cs="Times New Roman"/>
          <w:sz w:val="28"/>
          <w:szCs w:val="28"/>
        </w:rPr>
        <w:t>Pratiti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informacije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u</w:t>
      </w:r>
      <w:r w:rsidRPr="009115E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medijima</w:t>
      </w:r>
      <w:r w:rsidRPr="00782620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te na fakultetskom portalu o daljoj delatnosti fakulteta, kao i terminu obnavljanja njegovog rada sa punim kapacitetom.</w:t>
      </w:r>
    </w:p>
    <w:p w:rsidR="00DA284C" w:rsidRDefault="00DA284C"/>
    <w:sectPr w:rsidR="00DA284C" w:rsidSect="007E0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405CF3"/>
    <w:rsid w:val="00405CF3"/>
    <w:rsid w:val="00DA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C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1356</Words>
  <Characters>7730</Characters>
  <Application>Microsoft Office Word</Application>
  <DocSecurity>0</DocSecurity>
  <Lines>64</Lines>
  <Paragraphs>18</Paragraphs>
  <ScaleCrop>false</ScaleCrop>
  <Company>Grizli777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2020-03-27T19:04:00Z</dcterms:created>
  <dcterms:modified xsi:type="dcterms:W3CDTF">2020-03-27T19:04:00Z</dcterms:modified>
</cp:coreProperties>
</file>