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Pr="008B3E40" w:rsidRDefault="00D63EA8" w:rsidP="00A03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B3E40">
        <w:rPr>
          <w:rFonts w:ascii="Times New Roman" w:hAnsi="Times New Roman" w:cs="Times New Roman"/>
          <w:b/>
          <w:sz w:val="28"/>
          <w:szCs w:val="28"/>
          <w:lang w:val="sr-Cyrl-CS"/>
        </w:rPr>
        <w:t>ПЛОТИН – Метафизика Једног</w:t>
      </w:r>
    </w:p>
    <w:p w:rsidR="00590365" w:rsidRDefault="00590365" w:rsidP="005903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D63EA8" w:rsidRPr="00590365" w:rsidRDefault="00590365" w:rsidP="0059036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Оријентационе напомене</w:t>
      </w:r>
    </w:p>
    <w:p w:rsidR="00590365" w:rsidRDefault="00847C3E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4A01FA" w:rsidRDefault="00590365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A01FA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4A01FA">
        <w:rPr>
          <w:rFonts w:ascii="Times New Roman" w:hAnsi="Times New Roman" w:cs="Times New Roman"/>
          <w:sz w:val="28"/>
          <w:szCs w:val="28"/>
          <w:lang w:val="sr-Latn-CS"/>
        </w:rPr>
        <w:t>етафизика</w:t>
      </w:r>
      <w:r w:rsidR="004A01FA">
        <w:rPr>
          <w:rFonts w:ascii="Times New Roman" w:hAnsi="Times New Roman" w:cs="Times New Roman"/>
          <w:sz w:val="28"/>
          <w:szCs w:val="28"/>
          <w:lang w:val="sr-Cyrl-CS"/>
        </w:rPr>
        <w:t xml:space="preserve"> Једног, како се обично означава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>Плотин</w:t>
      </w:r>
      <w:r w:rsidR="004A01FA">
        <w:rPr>
          <w:rFonts w:ascii="Times New Roman" w:hAnsi="Times New Roman" w:cs="Times New Roman"/>
          <w:sz w:val="28"/>
          <w:szCs w:val="28"/>
          <w:lang w:val="sr-Latn-CS"/>
        </w:rPr>
        <w:t xml:space="preserve">oв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>(205-270)</w:t>
      </w:r>
      <w:r w:rsidR="004A01FA">
        <w:rPr>
          <w:rFonts w:ascii="Times New Roman" w:hAnsi="Times New Roman" w:cs="Times New Roman"/>
          <w:sz w:val="28"/>
          <w:szCs w:val="28"/>
          <w:lang w:val="sr-Cyrl-CS"/>
        </w:rPr>
        <w:t xml:space="preserve"> систем мишљења,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A01FA">
        <w:rPr>
          <w:rFonts w:ascii="Times New Roman" w:hAnsi="Times New Roman" w:cs="Times New Roman"/>
          <w:sz w:val="28"/>
          <w:szCs w:val="28"/>
          <w:lang w:val="sr-Cyrl-CS"/>
        </w:rPr>
        <w:t xml:space="preserve">представља кулминативну тачку развоја античке онтологије. Грчко онтолошко мишљење врхуни у Плотиновој радикалној хенологији, учењу о једном начелу из којег се изводи цјелина стварности. </w:t>
      </w:r>
    </w:p>
    <w:p w:rsidR="00847C3E" w:rsidRPr="00590365" w:rsidRDefault="004A01FA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Мада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је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себе сматрао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>Платонов</w:t>
      </w:r>
      <w:r>
        <w:rPr>
          <w:rFonts w:ascii="Times New Roman" w:hAnsi="Times New Roman" w:cs="Times New Roman"/>
          <w:sz w:val="28"/>
          <w:szCs w:val="28"/>
          <w:lang w:val="sr-Cyrl-CS"/>
        </w:rPr>
        <w:t>им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егзегет</w:t>
      </w:r>
      <w:r>
        <w:rPr>
          <w:rFonts w:ascii="Times New Roman" w:hAnsi="Times New Roman" w:cs="Times New Roman"/>
          <w:sz w:val="28"/>
          <w:szCs w:val="28"/>
          <w:lang w:val="sr-Cyrl-CS"/>
        </w:rPr>
        <w:t>ом, новине које је донијело његово мишљење извршиле су,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посредством Аурелија Августина и Аниција Боетија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далеко</w:t>
      </w:r>
      <w:r>
        <w:rPr>
          <w:rFonts w:ascii="Times New Roman" w:hAnsi="Times New Roman" w:cs="Times New Roman"/>
          <w:sz w:val="28"/>
          <w:szCs w:val="28"/>
          <w:lang w:val="sr-Cyrl-CS"/>
        </w:rPr>
        <w:softHyphen/>
        <w:t>сежан утицај, најприје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на хришћанско средњовјековље</w:t>
      </w:r>
      <w:r>
        <w:rPr>
          <w:rFonts w:ascii="Times New Roman" w:hAnsi="Times New Roman" w:cs="Times New Roman"/>
          <w:sz w:val="28"/>
          <w:szCs w:val="28"/>
          <w:lang w:val="sr-Cyrl-CS"/>
        </w:rPr>
        <w:t>, а онда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цијелу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>модерну философију, све до Хегела и Шелинга.</w:t>
      </w:r>
      <w:r w:rsidR="00F024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06A5F">
        <w:rPr>
          <w:rFonts w:ascii="Times New Roman" w:hAnsi="Times New Roman" w:cs="Times New Roman"/>
          <w:sz w:val="28"/>
          <w:szCs w:val="28"/>
          <w:lang w:val="sr-Cyrl-CS"/>
        </w:rPr>
        <w:t xml:space="preserve">С друге стране, хришћанска метафизика је </w:t>
      </w:r>
      <w:r w:rsidR="00590365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t xml:space="preserve">могуће </w:t>
      </w:r>
      <w:r w:rsidR="00590365">
        <w:rPr>
          <w:rFonts w:ascii="Times New Roman" w:hAnsi="Times New Roman" w:cs="Times New Roman"/>
          <w:sz w:val="28"/>
          <w:szCs w:val="28"/>
          <w:lang w:val="sr-Latn-CS"/>
        </w:rPr>
        <w:t xml:space="preserve">преко загонетног учитеља Амонија Сакаса) </w:t>
      </w:r>
      <w:r w:rsidR="00506A5F">
        <w:rPr>
          <w:rFonts w:ascii="Times New Roman" w:hAnsi="Times New Roman" w:cs="Times New Roman"/>
          <w:sz w:val="28"/>
          <w:szCs w:val="28"/>
          <w:lang w:val="sr-Cyrl-CS"/>
        </w:rPr>
        <w:t>извршила утицај на Платона и цијели ново</w:t>
      </w:r>
      <w:r w:rsidR="00506A5F">
        <w:rPr>
          <w:rFonts w:ascii="Times New Roman" w:hAnsi="Times New Roman" w:cs="Times New Roman"/>
          <w:sz w:val="28"/>
          <w:szCs w:val="28"/>
          <w:lang w:val="sr-Cyrl-CS"/>
        </w:rPr>
        <w:softHyphen/>
        <w:t>плато</w:t>
      </w:r>
      <w:r w:rsidR="00A038EB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506A5F">
        <w:rPr>
          <w:rFonts w:ascii="Times New Roman" w:hAnsi="Times New Roman" w:cs="Times New Roman"/>
          <w:sz w:val="28"/>
          <w:szCs w:val="28"/>
          <w:lang w:val="sr-Cyrl-CS"/>
        </w:rPr>
        <w:t>нистички покрет својим монотеизмом и својом сетериологијом</w:t>
      </w:r>
      <w:r w:rsidR="00E77E04">
        <w:rPr>
          <w:rFonts w:ascii="Times New Roman" w:hAnsi="Times New Roman" w:cs="Times New Roman"/>
          <w:sz w:val="28"/>
          <w:szCs w:val="28"/>
          <w:lang w:val="sr-Cyrl-CS"/>
        </w:rPr>
        <w:t>, који су нашли одјека у његовој хенологији и теургијској пракси</w:t>
      </w:r>
      <w:r w:rsidR="00506A5F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t xml:space="preserve"> Друга копча са јудеохришћанским мишљењем могао би бити средњеплатоновац Нуменије из Апамеје.</w:t>
      </w:r>
    </w:p>
    <w:p w:rsidR="00847C3E" w:rsidRDefault="00F0240C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Грчка онтологија је иначе меандрирала у свом развоју између монизма и дуализма начела, још од предсократоваца. Платонова тзв. „неписана учења“</w:t>
      </w:r>
      <w:r w:rsidR="00E77E04">
        <w:rPr>
          <w:rFonts w:ascii="Times New Roman" w:hAnsi="Times New Roman" w:cs="Times New Roman"/>
          <w:sz w:val="28"/>
          <w:szCs w:val="28"/>
          <w:lang w:val="sr-Cyrl-CS"/>
        </w:rPr>
        <w:t xml:space="preserve"> говоре о два начела: Једно и Н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еодређена дијада. Аристотел заступа хенологију коју репрезентује божански ум из „Ламбда“ књиге </w:t>
      </w:r>
      <w:r w:rsidRPr="00F0240C">
        <w:rPr>
          <w:rFonts w:ascii="Times New Roman" w:hAnsi="Times New Roman" w:cs="Times New Roman"/>
          <w:i/>
          <w:sz w:val="28"/>
          <w:szCs w:val="28"/>
          <w:lang w:val="sr-Cyrl-CS"/>
        </w:rPr>
        <w:t>Метафизике</w:t>
      </w:r>
      <w:r>
        <w:rPr>
          <w:rFonts w:ascii="Times New Roman" w:hAnsi="Times New Roman" w:cs="Times New Roman"/>
          <w:sz w:val="28"/>
          <w:szCs w:val="28"/>
          <w:lang w:val="sr-Cyrl-CS"/>
        </w:rPr>
        <w:t>. Плотинова намјер била је, између осталог, да „помири“ Платонову и Аристотелову мета</w:t>
      </w:r>
      <w:r w:rsidR="00A038EB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физику тако што ће Платонове идеје смјестити у Аристотелов божански Ум, али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t xml:space="preserve"> ће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га хијерархијски потчинит Платоновој идеји Добра или Једног.  </w:t>
      </w:r>
      <w:r w:rsidR="00590365" w:rsidRPr="00590365">
        <w:rPr>
          <w:rFonts w:ascii="Times New Roman" w:hAnsi="Times New Roman" w:cs="Times New Roman"/>
          <w:sz w:val="28"/>
          <w:szCs w:val="28"/>
          <w:lang w:val="sr-Cyrl-CS"/>
        </w:rPr>
        <w:t>Такође, Плотин је прећ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590365" w:rsidRPr="00590365">
        <w:rPr>
          <w:rFonts w:ascii="Times New Roman" w:hAnsi="Times New Roman" w:cs="Times New Roman"/>
          <w:sz w:val="28"/>
          <w:szCs w:val="28"/>
          <w:lang w:val="sr-Cyrl-CS"/>
        </w:rPr>
        <w:t>тао Платонов демијургијски креационизам (</w:t>
      </w:r>
      <w:r w:rsidR="00590365" w:rsidRPr="00590365">
        <w:rPr>
          <w:rFonts w:ascii="Times New Roman" w:hAnsi="Times New Roman" w:cs="Times New Roman"/>
          <w:i/>
          <w:sz w:val="28"/>
          <w:szCs w:val="28"/>
          <w:lang w:val="sr-Cyrl-CS"/>
        </w:rPr>
        <w:t>Тимеј</w:t>
      </w:r>
      <w:r w:rsidR="00590365" w:rsidRPr="00590365">
        <w:rPr>
          <w:rFonts w:ascii="Times New Roman" w:hAnsi="Times New Roman" w:cs="Times New Roman"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t>и прик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softHyphen/>
        <w:t>лонио се Аристотеловом етернизму. То је била једна од главних тачки спорења на релацији хришћанска космологија–Плотинова космологија.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023D4" w:rsidRDefault="000C3A20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Крајње онтолошко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начело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стварности </w:t>
      </w:r>
      <w:r w:rsidR="00590365">
        <w:rPr>
          <w:rFonts w:ascii="Times New Roman" w:hAnsi="Times New Roman" w:cs="Times New Roman"/>
          <w:sz w:val="28"/>
          <w:szCs w:val="28"/>
          <w:lang w:val="sr-Cyrl-CS"/>
        </w:rPr>
        <w:t xml:space="preserve">код Плотина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>је апсолутно трансцендентно, над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softHyphen/>
        <w:t>бивс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твено Једно из којег сва бивствујућа 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исходе 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и коме она теже да се врате.  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То мистично и безвремено развијање свијета Мноштва из Једног Плотин на</w:t>
      </w:r>
      <w:r w:rsidR="005A7C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зива происхођење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233E6A" w:rsidRPr="004023D4">
        <w:rPr>
          <w:rFonts w:ascii="Times New Roman" w:hAnsi="Times New Roman" w:cs="Times New Roman"/>
          <w:i/>
          <w:sz w:val="28"/>
          <w:szCs w:val="28"/>
          <w:lang w:val="sr-Latn-CS"/>
        </w:rPr>
        <w:t>proodos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, истицање, изливање, исијавање или, како је много познатије, еманациј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t>е.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 Пут од Мноштва ка Једном он именује као п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5A7C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окрет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233E6A" w:rsidRPr="004023D4">
        <w:rPr>
          <w:rFonts w:ascii="Times New Roman" w:hAnsi="Times New Roman" w:cs="Times New Roman"/>
          <w:i/>
          <w:sz w:val="28"/>
          <w:szCs w:val="28"/>
          <w:lang w:val="sr-Cyrl-CS"/>
        </w:rPr>
        <w:t>epi</w:t>
      </w:r>
      <w:r w:rsidR="005A7C8C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233E6A" w:rsidRPr="004023D4">
        <w:rPr>
          <w:rFonts w:ascii="Times New Roman" w:hAnsi="Times New Roman" w:cs="Times New Roman"/>
          <w:i/>
          <w:sz w:val="28"/>
          <w:szCs w:val="28"/>
          <w:lang w:val="sr-Cyrl-CS"/>
        </w:rPr>
        <w:t>s</w:t>
      </w:r>
      <w:r w:rsidR="005A7C8C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5A7C8C">
        <w:rPr>
          <w:rFonts w:ascii="Times New Roman" w:hAnsi="Times New Roman" w:cs="Times New Roman"/>
          <w:i/>
          <w:sz w:val="28"/>
          <w:szCs w:val="28"/>
          <w:lang w:val="sr-Cyrl-CS"/>
        </w:rPr>
        <w:softHyphen/>
      </w:r>
      <w:r w:rsidR="00233E6A" w:rsidRPr="004023D4">
        <w:rPr>
          <w:rFonts w:ascii="Times New Roman" w:hAnsi="Times New Roman" w:cs="Times New Roman"/>
          <w:i/>
          <w:sz w:val="28"/>
          <w:szCs w:val="28"/>
          <w:lang w:val="sr-Cyrl-CS"/>
        </w:rPr>
        <w:t>trophe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окрет, обрт:</w:t>
      </w:r>
    </w:p>
    <w:p w:rsidR="004023D4" w:rsidRPr="00506A5F" w:rsidRDefault="004023D4" w:rsidP="00A038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Једно – </w:t>
      </w:r>
      <w:r w:rsidRPr="00506A5F">
        <w:rPr>
          <w:rFonts w:ascii="Times New Roman" w:hAnsi="Times New Roman" w:cs="Times New Roman"/>
          <w:i/>
          <w:sz w:val="28"/>
          <w:szCs w:val="28"/>
          <w:lang w:val="sr-Latn-CS"/>
        </w:rPr>
        <w:t>proodos</w:t>
      </w:r>
      <w:r w:rsidRPr="00506A5F">
        <w:rPr>
          <w:rFonts w:ascii="Times New Roman" w:hAnsi="Times New Roman" w:cs="Times New Roman"/>
          <w:sz w:val="28"/>
          <w:szCs w:val="28"/>
          <w:lang w:val="sr-Latn-CS"/>
        </w:rPr>
        <w:t xml:space="preserve"> – </w:t>
      </w:r>
      <w:r w:rsidRPr="00506A5F">
        <w:rPr>
          <w:rFonts w:ascii="Times New Roman" w:hAnsi="Times New Roman" w:cs="Times New Roman"/>
          <w:sz w:val="28"/>
          <w:szCs w:val="28"/>
          <w:lang w:val="sr-Cyrl-CS"/>
        </w:rPr>
        <w:t>Мноштвo</w:t>
      </w:r>
      <w:r w:rsidR="00233E6A"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 (Једно–Ум–Душа свијета</w:t>
      </w:r>
      <w:r w:rsidR="00506A5F"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 [виша и нижа] </w:t>
      </w:r>
      <w:r w:rsidR="00233E6A" w:rsidRPr="00506A5F">
        <w:rPr>
          <w:rFonts w:ascii="Times New Roman" w:hAnsi="Times New Roman" w:cs="Times New Roman"/>
          <w:sz w:val="28"/>
          <w:szCs w:val="28"/>
          <w:lang w:val="sr-Cyrl-CS"/>
        </w:rPr>
        <w:t>–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06A5F" w:rsidRPr="00506A5F">
        <w:rPr>
          <w:rFonts w:ascii="Times New Roman" w:hAnsi="Times New Roman" w:cs="Times New Roman"/>
          <w:sz w:val="28"/>
          <w:szCs w:val="28"/>
          <w:lang w:val="sr-Cyrl-CS"/>
        </w:rPr>
        <w:t>материјални</w:t>
      </w:r>
      <w:r w:rsidR="00233E6A"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 свијет)</w:t>
      </w:r>
    </w:p>
    <w:p w:rsidR="004023D4" w:rsidRPr="00506A5F" w:rsidRDefault="004023D4" w:rsidP="00A038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Мноштвo – </w:t>
      </w:r>
      <w:r w:rsidRPr="00506A5F">
        <w:rPr>
          <w:rFonts w:ascii="Times New Roman" w:hAnsi="Times New Roman" w:cs="Times New Roman"/>
          <w:i/>
          <w:sz w:val="28"/>
          <w:szCs w:val="28"/>
          <w:lang w:val="sr-Cyrl-CS"/>
        </w:rPr>
        <w:t>epistrophe</w:t>
      </w:r>
      <w:r w:rsidRPr="00506A5F">
        <w:rPr>
          <w:rFonts w:ascii="Times New Roman" w:hAnsi="Times New Roman" w:cs="Times New Roman"/>
          <w:sz w:val="28"/>
          <w:szCs w:val="28"/>
          <w:lang w:val="sr-Cyrl-CS"/>
        </w:rPr>
        <w:t xml:space="preserve"> – Једно</w:t>
      </w:r>
    </w:p>
    <w:p w:rsidR="00687579" w:rsidRPr="00687579" w:rsidRDefault="00233E6A" w:rsidP="00A038E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На појединим мјестима овај процес происхођења Мноштва из Једног је описан језиком платоновске космичке демијургије, иако је он </w:t>
      </w:r>
      <w:r w:rsidR="006E2D4C">
        <w:rPr>
          <w:rFonts w:ascii="Times New Roman" w:hAnsi="Times New Roman" w:cs="Times New Roman"/>
          <w:sz w:val="28"/>
          <w:szCs w:val="28"/>
          <w:lang w:val="sr-Cyrl-CS"/>
        </w:rPr>
        <w:t>беспочетан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6E2D4C">
        <w:rPr>
          <w:rFonts w:ascii="Times New Roman" w:hAnsi="Times New Roman" w:cs="Times New Roman"/>
          <w:sz w:val="28"/>
          <w:szCs w:val="28"/>
          <w:lang w:val="sr-Cyrl-CS"/>
        </w:rPr>
        <w:t>Плотинова метафизика није креационис</w:t>
      </w:r>
      <w:r w:rsidR="006E2D4C">
        <w:rPr>
          <w:rFonts w:ascii="Times New Roman" w:hAnsi="Times New Roman" w:cs="Times New Roman"/>
          <w:sz w:val="28"/>
          <w:szCs w:val="28"/>
          <w:lang w:val="sr-Cyrl-CS"/>
        </w:rPr>
        <w:softHyphen/>
        <w:t xml:space="preserve">тичка, већ еманационистичка, што је не чини мање динамичном у оба смјера, напротив. </w:t>
      </w:r>
      <w:r w:rsidR="00E77E04">
        <w:rPr>
          <w:rFonts w:ascii="Times New Roman" w:hAnsi="Times New Roman" w:cs="Times New Roman"/>
          <w:sz w:val="28"/>
          <w:szCs w:val="28"/>
          <w:lang w:val="sr-Cyrl-CS"/>
        </w:rPr>
        <w:t xml:space="preserve">Тежња свих бивствујућих ствари за повратком Једном је тежња ка онтолошком континуитету, јединству и цјеловитости. 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>Слиједећи два правца кретања у Плотиновој метафизици, Је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но се појављује 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у двострукој улози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 покретачко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 и сврховито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г начела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Сам ток трактата у </w:t>
      </w:r>
      <w:r w:rsidR="00687579" w:rsidRPr="00687579">
        <w:rPr>
          <w:rFonts w:ascii="Times New Roman" w:hAnsi="Times New Roman" w:cs="Times New Roman"/>
          <w:i/>
          <w:sz w:val="28"/>
          <w:szCs w:val="28"/>
          <w:lang w:val="sr-Cyrl-CS"/>
        </w:rPr>
        <w:t>Енеадама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 почиње од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етичке 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расправе о људским добрима (1), потом прелази на теме из физике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и космологије 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(2-3), 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>те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ме из области психиологије (4),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 теме које се односе на знање и умствену стварност (5) и врхуни са 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рас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>правом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 о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Бићу и Једном као 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првом начелу свих ствари (6). Плотинов систем </w:t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има препознат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љиву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 хијерархијску струк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туру, </w:t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такву структуру има и његов текст, како га је приредио Пор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фирије. Неки аутори указују и на другу могућност опризорења његовог система, па се умјесто хијерархијске струткуре говори и о концен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>тричној: Ј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едно није само на </w:t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 xml:space="preserve">метафизичком 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 xml:space="preserve">врху поретка, већ у </w:t>
      </w:r>
      <w:r w:rsidR="00AF19C0">
        <w:rPr>
          <w:rFonts w:ascii="Times New Roman" w:hAnsi="Times New Roman" w:cs="Times New Roman"/>
          <w:sz w:val="28"/>
          <w:szCs w:val="28"/>
          <w:lang w:val="sr-Cyrl-CS"/>
        </w:rPr>
        <w:t xml:space="preserve">једном метафизичком </w:t>
      </w:r>
      <w:r w:rsidR="00687579" w:rsidRPr="00687579">
        <w:rPr>
          <w:rFonts w:ascii="Times New Roman" w:hAnsi="Times New Roman" w:cs="Times New Roman"/>
          <w:sz w:val="28"/>
          <w:szCs w:val="28"/>
          <w:lang w:val="sr-Cyrl-CS"/>
        </w:rPr>
        <w:t>средишту око којег се кон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t xml:space="preserve">центрично шире друге хипостазе. При том, не треба изгубити из вида да је Једно радикално монадички принцип због чега је оправдано рећи да је код Плотина хенологија изнад онтологије. </w:t>
      </w:r>
    </w:p>
    <w:p w:rsidR="00D63EA8" w:rsidRDefault="00687579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Надбивствени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 надумни 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статус или радикална трансценденција крајњег онтолошког на</w:t>
      </w:r>
      <w:r w:rsidR="005A7C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чела </w:t>
      </w:r>
      <w:r>
        <w:rPr>
          <w:rFonts w:ascii="Times New Roman" w:hAnsi="Times New Roman" w:cs="Times New Roman"/>
          <w:sz w:val="28"/>
          <w:szCs w:val="28"/>
          <w:lang w:val="sr-Cyrl-CS"/>
        </w:rPr>
        <w:t>свега</w:t>
      </w:r>
      <w:r w:rsidR="006D7F14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>таквог је карактера да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Плотин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 само метафорички користи изразе за њега, као што су Једно, Добро, Божанско, Прво... </w:t>
      </w:r>
      <w:r w:rsidR="00F0240C">
        <w:rPr>
          <w:rFonts w:ascii="Times New Roman" w:hAnsi="Times New Roman" w:cs="Times New Roman"/>
          <w:sz w:val="28"/>
          <w:szCs w:val="28"/>
          <w:lang w:val="sr-Cyrl-CS"/>
        </w:rPr>
        <w:t>То су само условни називи за оно крајње које је неописиво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 xml:space="preserve"> и неизрециво</w:t>
      </w:r>
      <w:r w:rsidR="00F0240C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>„Краљевски пут“ ка Једном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>је апофатички пут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233E6A" w:rsidRPr="00233E6A">
        <w:rPr>
          <w:rFonts w:ascii="Times New Roman" w:hAnsi="Times New Roman" w:cs="Times New Roman"/>
          <w:i/>
          <w:sz w:val="28"/>
          <w:szCs w:val="28"/>
          <w:lang w:val="sr-Latn-CS"/>
        </w:rPr>
        <w:t>via negativa</w:t>
      </w:r>
      <w:r w:rsidR="00233E6A">
        <w:rPr>
          <w:rFonts w:ascii="Times New Roman" w:hAnsi="Times New Roman" w:cs="Times New Roman"/>
          <w:sz w:val="28"/>
          <w:szCs w:val="28"/>
          <w:lang w:val="sr-Latn-CS"/>
        </w:rPr>
        <w:t>) којим се божанском прин</w:t>
      </w:r>
      <w:r w:rsidR="005A7C8C">
        <w:rPr>
          <w:rFonts w:ascii="Times New Roman" w:hAnsi="Times New Roman" w:cs="Times New Roman"/>
          <w:sz w:val="28"/>
          <w:szCs w:val="28"/>
          <w:lang w:val="sr-Latn-CS"/>
        </w:rPr>
        <w:softHyphen/>
      </w:r>
      <w:r w:rsidR="00233E6A">
        <w:rPr>
          <w:rFonts w:ascii="Times New Roman" w:hAnsi="Times New Roman" w:cs="Times New Roman"/>
          <w:sz w:val="28"/>
          <w:szCs w:val="28"/>
          <w:lang w:val="sr-Latn-CS"/>
        </w:rPr>
        <w:t>ципу стварности приступа посту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пком 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 xml:space="preserve">постепеног 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одрицања било каквих пози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тивних од</w:t>
      </w:r>
      <w:r w:rsidR="005A7C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редби. 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t>Исти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 xml:space="preserve"> метод користи хришћански мистички </w:t>
      </w:r>
      <w:r w:rsidR="005A7C8C">
        <w:rPr>
          <w:rFonts w:ascii="Times New Roman" w:hAnsi="Times New Roman" w:cs="Times New Roman"/>
          <w:sz w:val="28"/>
          <w:szCs w:val="28"/>
          <w:lang w:val="sr-Cyrl-CS"/>
        </w:rPr>
        <w:t>богослов</w:t>
      </w:r>
      <w:r w:rsidR="004023D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t>Псеу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softHyphen/>
        <w:t>до-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Дио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нис</w:t>
      </w:r>
      <w:r w:rsidR="009E5C2E">
        <w:rPr>
          <w:rFonts w:ascii="Times New Roman" w:hAnsi="Times New Roman" w:cs="Times New Roman"/>
          <w:sz w:val="28"/>
          <w:szCs w:val="28"/>
          <w:lang w:val="sr-Cyrl-CS"/>
        </w:rPr>
        <w:softHyphen/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ије Ареопагита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 xml:space="preserve"> на кога је Плотин видно утицао</w:t>
      </w:r>
      <w:r w:rsidR="00233E6A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847C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B3E40">
        <w:rPr>
          <w:rFonts w:ascii="Times New Roman" w:hAnsi="Times New Roman" w:cs="Times New Roman"/>
          <w:sz w:val="28"/>
          <w:szCs w:val="28"/>
          <w:lang w:val="sr-Cyrl-CS"/>
        </w:rPr>
        <w:t xml:space="preserve">Заказивање изражајне моћи језика и сазнајне моћи ума знак су „присуства“ и мистичког искуства Једног у коме ишчезава разлика између субјекта и објекта. </w:t>
      </w:r>
    </w:p>
    <w:p w:rsidR="006C1107" w:rsidRPr="00590365" w:rsidRDefault="006C1107" w:rsidP="00A038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87579" w:rsidRPr="00590365" w:rsidRDefault="006C1107" w:rsidP="0059036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Упутство за читање </w:t>
      </w:r>
      <w:r w:rsidRPr="00590365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Енеада</w:t>
      </w:r>
    </w:p>
    <w:p w:rsidR="00590365" w:rsidRDefault="00590365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D2587" w:rsidRDefault="006D7F14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Плотинове </w:t>
      </w:r>
      <w:r w:rsidRPr="004A01FA">
        <w:rPr>
          <w:rFonts w:ascii="Times New Roman" w:hAnsi="Times New Roman" w:cs="Times New Roman"/>
          <w:i/>
          <w:sz w:val="28"/>
          <w:szCs w:val="28"/>
          <w:lang w:val="sr-Cyrl-CS"/>
        </w:rPr>
        <w:t>Енеаде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су збирка рукописа и записа његових предавања које је приредио и објаво његов ученик Порфирије.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>Чине га 54 расправа које су сабране у 6 свезака, свака са по 9 поглавља (</w:t>
      </w:r>
      <w:r w:rsidR="00FB705C" w:rsidRPr="00FB705C">
        <w:rPr>
          <w:rFonts w:ascii="Times New Roman" w:hAnsi="Times New Roman" w:cs="Times New Roman"/>
          <w:i/>
          <w:sz w:val="28"/>
          <w:szCs w:val="28"/>
          <w:lang w:val="sr-Latn-CS"/>
        </w:rPr>
        <w:t>ennea</w:t>
      </w:r>
      <w:r w:rsidR="00FB705C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деветка – </w:t>
      </w:r>
      <w:r w:rsidR="00FB705C" w:rsidRPr="00FB705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Енеаде 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или </w:t>
      </w:r>
      <w:r w:rsidR="00FB705C" w:rsidRPr="004A01FA">
        <w:rPr>
          <w:rFonts w:ascii="Times New Roman" w:hAnsi="Times New Roman" w:cs="Times New Roman"/>
          <w:i/>
          <w:sz w:val="28"/>
          <w:szCs w:val="28"/>
          <w:lang w:val="sr-Cyrl-CS"/>
        </w:rPr>
        <w:t>Деветице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 xml:space="preserve">). праве </w:t>
      </w:r>
      <w:r w:rsidR="006C1107" w:rsidRPr="000D5A8D">
        <w:rPr>
          <w:rFonts w:ascii="Times New Roman" w:hAnsi="Times New Roman" w:cs="Times New Roman"/>
          <w:i/>
          <w:sz w:val="28"/>
          <w:szCs w:val="28"/>
          <w:lang w:val="sr-Cyrl-CS"/>
        </w:rPr>
        <w:t>Енеаде</w:t>
      </w:r>
      <w:r w:rsidR="00687579">
        <w:rPr>
          <w:rFonts w:ascii="Times New Roman" w:hAnsi="Times New Roman" w:cs="Times New Roman"/>
          <w:sz w:val="28"/>
          <w:szCs w:val="28"/>
          <w:lang w:val="sr-Cyrl-CS"/>
        </w:rPr>
        <w:t xml:space="preserve"> су комплексан текст</w:t>
      </w:r>
      <w:r w:rsidR="006C1107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0D5A8D">
        <w:rPr>
          <w:rFonts w:ascii="Times New Roman" w:hAnsi="Times New Roman" w:cs="Times New Roman"/>
          <w:sz w:val="28"/>
          <w:szCs w:val="28"/>
          <w:lang w:val="sr-Cyrl-CS"/>
        </w:rPr>
        <w:t>Сара Рејп (</w:t>
      </w:r>
      <w:r w:rsidR="000D5A8D" w:rsidRPr="000D5A8D">
        <w:rPr>
          <w:rFonts w:ascii="Times New Roman" w:hAnsi="Times New Roman" w:cs="Times New Roman"/>
          <w:i/>
          <w:sz w:val="28"/>
          <w:szCs w:val="28"/>
          <w:lang w:val="sr-Latn-CS"/>
        </w:rPr>
        <w:t>Sarah Rappe</w:t>
      </w:r>
      <w:r w:rsidR="000D5A8D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0D5A8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5A8D">
        <w:rPr>
          <w:rFonts w:ascii="Times New Roman" w:hAnsi="Times New Roman" w:cs="Times New Roman"/>
          <w:sz w:val="28"/>
          <w:szCs w:val="28"/>
          <w:lang w:val="sr-Cyrl-CS"/>
        </w:rPr>
        <w:t>даје следећу инструкцију:</w:t>
      </w:r>
    </w:p>
    <w:p w:rsidR="000D5A8D" w:rsidRDefault="000D5A8D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„(...) декодирање ових текстова подразумијева да се они посматрају као нешто што је слично приручницима за медитацију прије него као обични текстови. Недискурзиви аспекти текста – симболи, ритуалне формуле, митови и слике – јесу локус те педагогије. Њихова сврха је да помогну читаоцу да научи како да контемплира, да отвори око мудрости“.</w:t>
      </w:r>
    </w:p>
    <w:p w:rsidR="000C3A20" w:rsidRDefault="000D5A8D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Дакако, све ово подразумијева и чувено гесло на крају </w:t>
      </w:r>
      <w:r w:rsidRPr="000D5A8D">
        <w:rPr>
          <w:rFonts w:ascii="Times New Roman" w:hAnsi="Times New Roman" w:cs="Times New Roman"/>
          <w:i/>
          <w:sz w:val="28"/>
          <w:szCs w:val="28"/>
          <w:lang w:val="sr-Cyrl-CS"/>
        </w:rPr>
        <w:t>Енеада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: „остави све“, </w:t>
      </w:r>
      <w:r>
        <w:rPr>
          <w:rFonts w:ascii="Times New Roman" w:hAnsi="Times New Roman" w:cs="Times New Roman"/>
          <w:i/>
          <w:sz w:val="28"/>
          <w:szCs w:val="28"/>
          <w:lang w:val="sr-Latn-CS"/>
        </w:rPr>
        <w:t>aphele pant</w:t>
      </w:r>
      <w:r w:rsidRPr="000D5A8D">
        <w:rPr>
          <w:rFonts w:ascii="Times New Roman" w:hAnsi="Times New Roman" w:cs="Times New Roman"/>
          <w:i/>
          <w:sz w:val="28"/>
          <w:szCs w:val="28"/>
          <w:lang w:val="sr-Latn-CS"/>
        </w:rPr>
        <w:t>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тј. 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дврати поглед из расијања 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оним </w:t>
      </w:r>
      <w:r>
        <w:rPr>
          <w:rFonts w:ascii="Times New Roman" w:hAnsi="Times New Roman" w:cs="Times New Roman"/>
          <w:sz w:val="28"/>
          <w:szCs w:val="28"/>
          <w:lang w:val="sr-Cyrl-CS"/>
        </w:rPr>
        <w:t>мноштвеним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 и сложеним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умуј о </w:t>
      </w:r>
      <w:r w:rsidR="00FD2587">
        <w:rPr>
          <w:rFonts w:ascii="Times New Roman" w:hAnsi="Times New Roman" w:cs="Times New Roman"/>
          <w:sz w:val="28"/>
          <w:szCs w:val="28"/>
          <w:lang w:val="sr-Cyrl-CS"/>
        </w:rPr>
        <w:t xml:space="preserve">оном једноставном и </w:t>
      </w:r>
      <w:r>
        <w:rPr>
          <w:rFonts w:ascii="Times New Roman" w:hAnsi="Times New Roman" w:cs="Times New Roman"/>
          <w:sz w:val="28"/>
          <w:szCs w:val="28"/>
          <w:lang w:val="sr-Cyrl-CS"/>
        </w:rPr>
        <w:t>Једном.</w:t>
      </w:r>
    </w:p>
    <w:p w:rsidR="00FB705C" w:rsidRDefault="00FB705C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0365" w:rsidRPr="00590365" w:rsidRDefault="000C3A20" w:rsidP="00A038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590365"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Препорука за читање</w:t>
      </w:r>
      <w:r w:rsidR="00350ECE"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из </w:t>
      </w:r>
      <w:r w:rsidR="00350ECE" w:rsidRPr="00590365">
        <w:rPr>
          <w:rFonts w:ascii="Times New Roman" w:hAnsi="Times New Roman" w:cs="Times New Roman"/>
          <w:b/>
          <w:i/>
          <w:sz w:val="28"/>
          <w:szCs w:val="28"/>
          <w:u w:val="single"/>
          <w:lang w:val="sr-Cyrl-CS"/>
        </w:rPr>
        <w:t>Енеада</w:t>
      </w:r>
      <w:r w:rsidR="00350ECE" w:rsidRPr="00590365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</w:p>
    <w:p w:rsidR="00590365" w:rsidRPr="00590365" w:rsidRDefault="00590365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bookmarkStart w:id="0" w:name="_GoBack"/>
      <w:bookmarkEnd w:id="0"/>
    </w:p>
    <w:p w:rsidR="00350ECE" w:rsidRDefault="00E61499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III </w:t>
      </w:r>
      <w:r w:rsidR="00350ECE"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="00350ECE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350ECE" w:rsidRPr="00350ECE">
        <w:rPr>
          <w:rFonts w:ascii="Times New Roman" w:hAnsi="Times New Roman" w:cs="Times New Roman"/>
          <w:sz w:val="28"/>
          <w:szCs w:val="28"/>
          <w:lang w:val="sr-Cyrl-CS"/>
        </w:rPr>
        <w:t>30)</w:t>
      </w:r>
      <w:r w:rsidR="00350EC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V </w:t>
      </w:r>
      <w:r w:rsidR="00350ECE"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350ECE">
        <w:rPr>
          <w:rFonts w:ascii="Times New Roman" w:hAnsi="Times New Roman" w:cs="Times New Roman"/>
          <w:sz w:val="28"/>
          <w:szCs w:val="28"/>
          <w:lang w:val="sr-Cyrl-CS"/>
        </w:rPr>
        <w:t xml:space="preserve"> (1</w:t>
      </w:r>
      <w:r w:rsidR="00350ECE" w:rsidRPr="00350ECE">
        <w:rPr>
          <w:rFonts w:ascii="Times New Roman" w:hAnsi="Times New Roman" w:cs="Times New Roman"/>
          <w:sz w:val="28"/>
          <w:szCs w:val="28"/>
          <w:lang w:val="sr-Cyrl-CS"/>
        </w:rPr>
        <w:t>0),</w:t>
      </w:r>
      <w:r w:rsidR="00350EC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V 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(11</w:t>
      </w:r>
      <w:r w:rsidR="00350ECE" w:rsidRPr="00E61499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V 3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 xml:space="preserve"> (49),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параграфи 1-9 и 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>13-17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V 5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 xml:space="preserve"> ( 32)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параграф 1-2, </w:t>
      </w:r>
      <w:r w:rsidRPr="00E61499">
        <w:rPr>
          <w:rFonts w:ascii="Times New Roman" w:hAnsi="Times New Roman" w:cs="Times New Roman"/>
          <w:b/>
          <w:sz w:val="28"/>
          <w:szCs w:val="28"/>
          <w:lang w:val="sr-Cyrl-CS"/>
        </w:rPr>
        <w:t>VI 4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 xml:space="preserve"> (22), п</w:t>
      </w:r>
      <w:r w:rsidR="00FB705C">
        <w:rPr>
          <w:rFonts w:ascii="Times New Roman" w:hAnsi="Times New Roman" w:cs="Times New Roman"/>
          <w:sz w:val="28"/>
          <w:szCs w:val="28"/>
          <w:lang w:val="sr-Cyrl-CS"/>
        </w:rPr>
        <w:t>араграф 1-11,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VI 7</w:t>
      </w:r>
      <w:r w:rsidR="00166C3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6C38" w:rsidRPr="00166C38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FB70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VI 9</w:t>
      </w:r>
      <w:r w:rsidRPr="00E6149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50ECE" w:rsidRPr="00E6149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D2587" w:rsidRDefault="00FD2587" w:rsidP="00A038E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eorgia" w:hAnsi="Georgia" w:cs="Times-Italic"/>
          <w:sz w:val="28"/>
          <w:szCs w:val="28"/>
          <w:lang w:val="sr-Cyrl-CS"/>
        </w:rPr>
      </w:pPr>
    </w:p>
    <w:p w:rsidR="00FD2587" w:rsidRDefault="00FD2587" w:rsidP="00A038E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Georgia" w:hAnsi="Georgia" w:cs="TrumpMediaeval-Roman"/>
          <w:sz w:val="28"/>
          <w:szCs w:val="28"/>
          <w:lang w:val="sr-Cyrl-CS"/>
        </w:rPr>
      </w:pPr>
    </w:p>
    <w:p w:rsidR="00FD2587" w:rsidRPr="00E61499" w:rsidRDefault="00FD2587" w:rsidP="00A038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FD2587" w:rsidRPr="00E6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mpMediaev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92F"/>
    <w:multiLevelType w:val="hybridMultilevel"/>
    <w:tmpl w:val="52248A84"/>
    <w:lvl w:ilvl="0" w:tplc="86C2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60D55"/>
    <w:multiLevelType w:val="hybridMultilevel"/>
    <w:tmpl w:val="AA5AAB34"/>
    <w:lvl w:ilvl="0" w:tplc="37622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20876"/>
    <w:multiLevelType w:val="hybridMultilevel"/>
    <w:tmpl w:val="8D8EE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2E7D"/>
    <w:multiLevelType w:val="hybridMultilevel"/>
    <w:tmpl w:val="1F901DFE"/>
    <w:lvl w:ilvl="0" w:tplc="6B40FAF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8"/>
    <w:rsid w:val="000C3A20"/>
    <w:rsid w:val="000D5A8D"/>
    <w:rsid w:val="00166C38"/>
    <w:rsid w:val="00233E6A"/>
    <w:rsid w:val="00291A54"/>
    <w:rsid w:val="00350ECE"/>
    <w:rsid w:val="004023D4"/>
    <w:rsid w:val="004A01FA"/>
    <w:rsid w:val="00506A5F"/>
    <w:rsid w:val="00590365"/>
    <w:rsid w:val="005A7C8C"/>
    <w:rsid w:val="00687579"/>
    <w:rsid w:val="006A0B63"/>
    <w:rsid w:val="006C1107"/>
    <w:rsid w:val="006D7F14"/>
    <w:rsid w:val="006E2D4C"/>
    <w:rsid w:val="00847C3E"/>
    <w:rsid w:val="008B3E40"/>
    <w:rsid w:val="009E5C2E"/>
    <w:rsid w:val="00A038EB"/>
    <w:rsid w:val="00AF19C0"/>
    <w:rsid w:val="00D63EA8"/>
    <w:rsid w:val="00E61499"/>
    <w:rsid w:val="00E77E04"/>
    <w:rsid w:val="00F0240C"/>
    <w:rsid w:val="00FB705C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A69A3-2826-4E14-BBAE-75D0BE8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2020-04-08T17:33:00Z</dcterms:created>
  <dcterms:modified xsi:type="dcterms:W3CDTF">2020-04-08T23:40:00Z</dcterms:modified>
</cp:coreProperties>
</file>