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A" w:rsidRPr="00CF3D59" w:rsidRDefault="0023768A" w:rsidP="00237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68A" w:rsidRDefault="00830A4E" w:rsidP="00830A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na vježbama</w:t>
      </w:r>
    </w:p>
    <w:p w:rsidR="0023768A" w:rsidRPr="00CF3D59" w:rsidRDefault="0023768A" w:rsidP="002376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5"/>
        <w:gridCol w:w="3436"/>
      </w:tblGrid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875" w:type="dxa"/>
            <w:vAlign w:val="center"/>
          </w:tcPr>
          <w:p w:rsidR="007F778F" w:rsidRPr="00CF3D59" w:rsidRDefault="007F778F" w:rsidP="0044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Tekst</w:t>
            </w:r>
            <w:r w:rsidR="00376930"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23. IX 2019.</w:t>
            </w:r>
          </w:p>
        </w:tc>
        <w:tc>
          <w:tcPr>
            <w:tcW w:w="3875" w:type="dxa"/>
          </w:tcPr>
          <w:p w:rsidR="007F778F" w:rsidRPr="00CF3D59" w:rsidRDefault="007F778F" w:rsidP="0040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7F778F" w:rsidRPr="00CF3D59" w:rsidRDefault="007F778F" w:rsidP="00376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30. IX 2019.</w:t>
            </w:r>
          </w:p>
        </w:tc>
        <w:tc>
          <w:tcPr>
            <w:tcW w:w="3875" w:type="dxa"/>
          </w:tcPr>
          <w:p w:rsidR="009936EC" w:rsidRDefault="009936EC" w:rsidP="009936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8F" w:rsidRPr="00830A4E" w:rsidRDefault="009936EC" w:rsidP="009936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Uvodni čas vježbi</w:t>
            </w:r>
          </w:p>
        </w:tc>
        <w:tc>
          <w:tcPr>
            <w:tcW w:w="3436" w:type="dxa"/>
          </w:tcPr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78F" w:rsidRPr="00CF3D59" w:rsidRDefault="007F778F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7. X 2019.</w:t>
            </w:r>
          </w:p>
        </w:tc>
        <w:tc>
          <w:tcPr>
            <w:tcW w:w="3875" w:type="dxa"/>
          </w:tcPr>
          <w:p w:rsidR="00830A4E" w:rsidRDefault="00830A4E" w:rsidP="004003F9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:rsidR="007F778F" w:rsidRPr="009936EC" w:rsidRDefault="004451D6" w:rsidP="009936EC">
            <w:pPr>
              <w:pStyle w:val="ListParagraph"/>
              <w:numPr>
                <w:ilvl w:val="0"/>
                <w:numId w:val="8"/>
              </w:num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9936EC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Hirst i Tompson, </w:t>
            </w:r>
            <w:r w:rsidRPr="009936EC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 - nemonovan mit</w:t>
            </w:r>
            <w:r w:rsidRPr="009936EC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112-128</w:t>
            </w:r>
          </w:p>
          <w:p w:rsidR="009936EC" w:rsidRPr="00CF3D59" w:rsidRDefault="009936EC" w:rsidP="009936EC"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Skler, L.,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 xml:space="preserve">Rivalska shvatanja 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globalizacije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31-47.</w:t>
            </w:r>
          </w:p>
          <w:p w:rsidR="009936EC" w:rsidRPr="009936EC" w:rsidRDefault="009936EC" w:rsidP="009936EC">
            <w:pPr>
              <w:pStyle w:val="ListParagraph"/>
              <w:numPr>
                <w:ilvl w:val="0"/>
                <w:numId w:val="5"/>
              </w:num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9936EC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Held, D., </w:t>
            </w:r>
            <w:r w:rsidRPr="009936EC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Debate o globalizaciji</w:t>
            </w:r>
            <w:r w:rsidRPr="009936EC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48-60.</w:t>
            </w:r>
          </w:p>
          <w:p w:rsidR="00830A4E" w:rsidRPr="00CF3D59" w:rsidRDefault="00830A4E" w:rsidP="004003F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37693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F778F" w:rsidRPr="00CF3D59" w:rsidRDefault="00376930" w:rsidP="00830A4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  <w:r w:rsidR="009936E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+ 2</w:t>
            </w: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835B6A" w:rsidRDefault="00835B6A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8F" w:rsidRPr="00CF3D59" w:rsidRDefault="00835B6A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778F" w:rsidRPr="00CF3D59">
              <w:rPr>
                <w:rFonts w:ascii="Times New Roman" w:hAnsi="Times New Roman" w:cs="Times New Roman"/>
                <w:sz w:val="24"/>
                <w:szCs w:val="24"/>
              </w:rPr>
              <w:t>. X 2019.</w:t>
            </w:r>
          </w:p>
        </w:tc>
        <w:tc>
          <w:tcPr>
            <w:tcW w:w="3875" w:type="dxa"/>
          </w:tcPr>
          <w:p w:rsidR="004451D6" w:rsidRPr="00CF3D59" w:rsidRDefault="00835B6A" w:rsidP="00AE04A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AE04A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pl-PL"/>
              </w:rPr>
              <w:t>Vježbe će biti održane u terminu predavanja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="004451D6"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Milanović, B., </w:t>
            </w:r>
            <w:r w:rsidR="004451D6" w:rsidRPr="004451D6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Globalna nejednakost</w:t>
            </w:r>
            <w:r w:rsidR="004451D6"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120-125 i 171-192;</w:t>
            </w:r>
          </w:p>
          <w:p w:rsidR="007F778F" w:rsidRPr="00CF3D59" w:rsidRDefault="007F778F" w:rsidP="00445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78F" w:rsidRPr="00CF3D59" w:rsidRDefault="00376930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21. X 2019.</w:t>
            </w:r>
          </w:p>
        </w:tc>
        <w:tc>
          <w:tcPr>
            <w:tcW w:w="3875" w:type="dxa"/>
          </w:tcPr>
          <w:p w:rsidR="004451D6" w:rsidRPr="00CF3D59" w:rsidRDefault="004451D6" w:rsidP="004451D6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Pečujlić, M., 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Globalizacija, dva lika sveta (Globalna elita moći i forme globalizacije)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93-113;</w:t>
            </w:r>
          </w:p>
          <w:p w:rsidR="007F778F" w:rsidRPr="00CF3D59" w:rsidRDefault="007F778F" w:rsidP="00830A4E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4E" w:rsidRDefault="00830A4E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78F" w:rsidRPr="00CF3D59" w:rsidRDefault="00376930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6930" w:rsidRPr="00CF3D59" w:rsidTr="00830A4E">
        <w:tc>
          <w:tcPr>
            <w:tcW w:w="1705" w:type="dxa"/>
            <w:vAlign w:val="center"/>
          </w:tcPr>
          <w:p w:rsidR="00376930" w:rsidRPr="00CF3D59" w:rsidRDefault="00376930" w:rsidP="0037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28. X 2019.</w:t>
            </w:r>
          </w:p>
        </w:tc>
        <w:tc>
          <w:tcPr>
            <w:tcW w:w="3875" w:type="dxa"/>
          </w:tcPr>
          <w:p w:rsidR="00830A4E" w:rsidRDefault="00830A4E" w:rsidP="00830A4E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:rsidR="00830A4E" w:rsidRPr="00CF3D59" w:rsidRDefault="00830A4E" w:rsidP="00830A4E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Kastels, M., 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Moć identiteta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15-22</w:t>
            </w:r>
          </w:p>
          <w:p w:rsidR="00376930" w:rsidRPr="00CF3D59" w:rsidRDefault="00376930" w:rsidP="00830A4E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76930" w:rsidRPr="00CF3D59" w:rsidRDefault="00376930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76930" w:rsidRPr="00CF3D59" w:rsidTr="00830A4E">
        <w:tc>
          <w:tcPr>
            <w:tcW w:w="1705" w:type="dxa"/>
            <w:vAlign w:val="center"/>
          </w:tcPr>
          <w:p w:rsidR="00376930" w:rsidRPr="00CF3D59" w:rsidRDefault="00376930" w:rsidP="0037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4. XI 2019.</w:t>
            </w:r>
          </w:p>
        </w:tc>
        <w:tc>
          <w:tcPr>
            <w:tcW w:w="3875" w:type="dxa"/>
          </w:tcPr>
          <w:p w:rsidR="00830A4E" w:rsidRDefault="00830A4E" w:rsidP="00376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930" w:rsidRDefault="00376930" w:rsidP="00376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4E">
              <w:rPr>
                <w:rFonts w:ascii="Times New Roman" w:hAnsi="Times New Roman" w:cs="Times New Roman"/>
                <w:b/>
                <w:sz w:val="24"/>
                <w:szCs w:val="24"/>
              </w:rPr>
              <w:t>I kolokvijum</w:t>
            </w:r>
          </w:p>
          <w:p w:rsidR="00830A4E" w:rsidRPr="00830A4E" w:rsidRDefault="00830A4E" w:rsidP="00376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76930" w:rsidRPr="00CF3D59" w:rsidRDefault="00376930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376930" w:rsidRPr="00CF3D59" w:rsidTr="00830A4E">
        <w:tc>
          <w:tcPr>
            <w:tcW w:w="1705" w:type="dxa"/>
            <w:vAlign w:val="center"/>
          </w:tcPr>
          <w:p w:rsidR="00376930" w:rsidRPr="00CF3D59" w:rsidRDefault="00376930" w:rsidP="0037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11. XI 2019.</w:t>
            </w:r>
          </w:p>
        </w:tc>
        <w:tc>
          <w:tcPr>
            <w:tcW w:w="3875" w:type="dxa"/>
          </w:tcPr>
          <w:p w:rsidR="00830A4E" w:rsidRDefault="00830A4E" w:rsidP="00376930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930" w:rsidRDefault="00830A4E" w:rsidP="00376930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4E">
              <w:rPr>
                <w:rFonts w:ascii="Times New Roman" w:hAnsi="Times New Roman" w:cs="Times New Roman"/>
                <w:b/>
                <w:sz w:val="24"/>
                <w:szCs w:val="24"/>
              </w:rPr>
              <w:t>Popravni II kolokvijuma</w:t>
            </w:r>
          </w:p>
          <w:p w:rsidR="00830A4E" w:rsidRPr="00830A4E" w:rsidRDefault="00830A4E" w:rsidP="00376930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AE04AD" w:rsidRDefault="00AE04AD" w:rsidP="0037693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930" w:rsidRPr="00CF3D59" w:rsidRDefault="00376930" w:rsidP="0037693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18. XI 2019.</w:t>
            </w:r>
          </w:p>
        </w:tc>
        <w:tc>
          <w:tcPr>
            <w:tcW w:w="3875" w:type="dxa"/>
          </w:tcPr>
          <w:p w:rsidR="00830A4E" w:rsidRPr="00CF3D59" w:rsidRDefault="00830A4E" w:rsidP="00830A4E">
            <w:pPr>
              <w:numPr>
                <w:ilvl w:val="0"/>
                <w:numId w:val="2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Kastels, M., 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Moć identiteta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248-280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 xml:space="preserve"> i 304-313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</w:p>
          <w:p w:rsidR="00830A4E" w:rsidRPr="00CF3D59" w:rsidRDefault="00830A4E" w:rsidP="00830A4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XI 2019.</w:t>
            </w:r>
          </w:p>
        </w:tc>
        <w:tc>
          <w:tcPr>
            <w:tcW w:w="3875" w:type="dxa"/>
          </w:tcPr>
          <w:p w:rsidR="00830A4E" w:rsidRDefault="00830A4E" w:rsidP="00830A4E">
            <w:pPr>
              <w:jc w:val="both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Pečujlić, M., 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​Globalizacija, dva lika sveta​ (Ekspanzija kulturnih konflikata)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135-142</w:t>
            </w:r>
          </w:p>
          <w:p w:rsidR="00830A4E" w:rsidRDefault="00830A4E" w:rsidP="00830A4E">
            <w:pPr>
              <w:jc w:val="both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:rsidR="00830A4E" w:rsidRPr="00CF3D59" w:rsidRDefault="00830A4E" w:rsidP="0083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2. XII 2019.</w:t>
            </w:r>
          </w:p>
        </w:tc>
        <w:tc>
          <w:tcPr>
            <w:tcW w:w="3875" w:type="dxa"/>
          </w:tcPr>
          <w:p w:rsidR="00830A4E" w:rsidRPr="00830A4E" w:rsidRDefault="00830A4E" w:rsidP="00830A4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Steger, M., </w:t>
            </w:r>
            <w:r w:rsidRPr="00830A4E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 - kratak uvod (Ekološka dimenzija)</w:t>
            </w:r>
            <w:r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81-92.</w:t>
            </w:r>
          </w:p>
          <w:p w:rsidR="00830A4E" w:rsidRPr="00830A4E" w:rsidRDefault="00830A4E" w:rsidP="00830A4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Herman i Mekčesni, </w:t>
            </w:r>
            <w:r w:rsidRPr="00830A4E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Globalni mediji</w:t>
            </w:r>
            <w:r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7-17. i 280-302.</w:t>
            </w:r>
          </w:p>
        </w:tc>
        <w:tc>
          <w:tcPr>
            <w:tcW w:w="3436" w:type="dxa"/>
          </w:tcPr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9. XII 2019.</w:t>
            </w:r>
          </w:p>
        </w:tc>
        <w:tc>
          <w:tcPr>
            <w:tcW w:w="3875" w:type="dxa"/>
          </w:tcPr>
          <w:p w:rsidR="00830A4E" w:rsidRPr="00AE04AD" w:rsidRDefault="00830A4E" w:rsidP="00830A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Bek, U., </w:t>
            </w:r>
            <w:r w:rsidRPr="00AE04AD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Svetsko rizično društvo</w:t>
            </w: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18-39, 77-83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 xml:space="preserve"> i 201-216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</w:p>
          <w:p w:rsidR="00830A4E" w:rsidRPr="00AE04AD" w:rsidRDefault="00830A4E" w:rsidP="00830A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Đurić, D., </w:t>
            </w:r>
            <w:r w:rsidRPr="00AE04AD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Izvan kruga</w:t>
            </w: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 xml:space="preserve">, str. 129 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–</w:t>
            </w: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 xml:space="preserve"> 164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16. XII 2019.</w:t>
            </w:r>
          </w:p>
        </w:tc>
        <w:tc>
          <w:tcPr>
            <w:tcW w:w="3875" w:type="dxa"/>
          </w:tcPr>
          <w:p w:rsidR="00830A4E" w:rsidRPr="00B96DE9" w:rsidRDefault="00830A4E" w:rsidP="00830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E9">
              <w:rPr>
                <w:rFonts w:ascii="Times New Roman" w:hAnsi="Times New Roman" w:cs="Times New Roman"/>
                <w:b/>
                <w:sz w:val="24"/>
                <w:szCs w:val="24"/>
              </w:rPr>
              <w:t>Drugi kolokvijum</w:t>
            </w:r>
          </w:p>
        </w:tc>
        <w:tc>
          <w:tcPr>
            <w:tcW w:w="3436" w:type="dxa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23. XII 2019.</w:t>
            </w:r>
          </w:p>
        </w:tc>
        <w:tc>
          <w:tcPr>
            <w:tcW w:w="3875" w:type="dxa"/>
          </w:tcPr>
          <w:p w:rsidR="00830A4E" w:rsidRPr="00B96DE9" w:rsidRDefault="00830A4E" w:rsidP="00830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Popravni drugog</w:t>
            </w:r>
            <w:r w:rsidRPr="00B9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kolokvijuma</w:t>
            </w:r>
          </w:p>
        </w:tc>
        <w:tc>
          <w:tcPr>
            <w:tcW w:w="3436" w:type="dxa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30. XII 2019.</w:t>
            </w:r>
          </w:p>
        </w:tc>
        <w:tc>
          <w:tcPr>
            <w:tcW w:w="3875" w:type="dxa"/>
          </w:tcPr>
          <w:p w:rsidR="00830A4E" w:rsidRPr="00B96DE9" w:rsidRDefault="00830A4E" w:rsidP="00830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E9">
              <w:rPr>
                <w:rFonts w:ascii="Times New Roman" w:hAnsi="Times New Roman" w:cs="Times New Roman"/>
                <w:b/>
                <w:sz w:val="24"/>
                <w:szCs w:val="24"/>
              </w:rPr>
              <w:t>Rekapitulacija gradiva sa vježbi</w:t>
            </w:r>
          </w:p>
        </w:tc>
        <w:tc>
          <w:tcPr>
            <w:tcW w:w="3436" w:type="dxa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3798" w:rsidRPr="00CF3D59" w:rsidRDefault="002F1FB6">
      <w:pPr>
        <w:rPr>
          <w:rFonts w:ascii="Times New Roman" w:hAnsi="Times New Roman" w:cs="Times New Roman"/>
          <w:sz w:val="24"/>
          <w:szCs w:val="24"/>
        </w:rPr>
      </w:pPr>
    </w:p>
    <w:p w:rsidR="00CF3D59" w:rsidRPr="00CF3D59" w:rsidRDefault="00CF3D59" w:rsidP="00CF3D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  <w:lang w:val="en-US"/>
        </w:rPr>
      </w:pPr>
    </w:p>
    <w:p w:rsidR="00CF3D59" w:rsidRPr="00CF3D59" w:rsidRDefault="00CF3D59" w:rsidP="00CF3D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  <w:lang w:val="en-US"/>
        </w:rPr>
      </w:pPr>
    </w:p>
    <w:p w:rsidR="00CF3D59" w:rsidRPr="00CF3D59" w:rsidRDefault="00CF3D59" w:rsidP="0030679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Za kolokvijume iz Globalizacije se sprema sljedeće gradivo:</w:t>
      </w:r>
    </w:p>
    <w:p w:rsidR="00CF3D59" w:rsidRPr="00CF3D59" w:rsidRDefault="00CF3D59" w:rsidP="0030679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b/>
          <w:bCs/>
          <w:color w:val="434A52"/>
          <w:sz w:val="24"/>
          <w:szCs w:val="24"/>
          <w:bdr w:val="none" w:sz="0" w:space="0" w:color="auto" w:frame="1"/>
        </w:rPr>
        <w:t>I kolokvijum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Skler, L.,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Rivalska shvatanja globalizacije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31-47;</w:t>
      </w:r>
    </w:p>
    <w:p w:rsidR="00CF3D59" w:rsidRPr="00CF3D59" w:rsidRDefault="004451D6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Held, D.,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Debate o globalizaciji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48-6</w:t>
      </w:r>
      <w:r w:rsidR="00CF3D59"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0;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Hirst i Tompson,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 - nemonovan mit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112-128;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b/>
          <w:color w:val="434A52"/>
          <w:sz w:val="24"/>
          <w:szCs w:val="24"/>
        </w:rPr>
        <w:t>Milanović, B., </w:t>
      </w:r>
      <w:r w:rsidRPr="0030679F">
        <w:rPr>
          <w:rFonts w:ascii="Times New Roman" w:eastAsia="Times New Roman" w:hAnsi="Times New Roman" w:cs="Times New Roman"/>
          <w:b/>
          <w:i/>
          <w:iCs/>
          <w:color w:val="434A52"/>
          <w:sz w:val="24"/>
          <w:szCs w:val="24"/>
          <w:bdr w:val="none" w:sz="0" w:space="0" w:color="auto" w:frame="1"/>
        </w:rPr>
        <w:t>Globalna nejednakost</w:t>
      </w:r>
      <w:r w:rsidRPr="00CF3D59">
        <w:rPr>
          <w:rFonts w:ascii="Times New Roman" w:eastAsia="Times New Roman" w:hAnsi="Times New Roman" w:cs="Times New Roman"/>
          <w:b/>
          <w:color w:val="434A52"/>
          <w:sz w:val="24"/>
          <w:szCs w:val="24"/>
        </w:rPr>
        <w:t>, str. 120-125 i 171-192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;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Pečujlić,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Globalizacija, dva lika sveta (Globalna elita moći i forme globalizacije)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93-113;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​Kastels,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Moć identiteta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15-22</w:t>
      </w:r>
    </w:p>
    <w:p w:rsidR="00CF3D59" w:rsidRPr="00CF3D59" w:rsidRDefault="00CF3D59" w:rsidP="0030679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b/>
          <w:bCs/>
          <w:color w:val="434A52"/>
          <w:sz w:val="24"/>
          <w:szCs w:val="24"/>
          <w:bdr w:val="none" w:sz="0" w:space="0" w:color="auto" w:frame="1"/>
        </w:rPr>
        <w:t>II kolokvijum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​Kastels,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Moć identiteta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248-280 i 304-313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Pečujlić,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​Globalizacija, dva lika sveta​ (Ekspanzija kulturnih konflikata)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135-142,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Steger,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 - kratak uvod (Ekološka dimenzija)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81-92,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Herman i Mekčesni,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Globalni mediji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7-17 i 280-302,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Bek, U.,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Svetsko rizično društvo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18-39, 77-83 i 201-216,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Đurić, D.,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Izvan kruga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129 - 164​​</w:t>
      </w:r>
    </w:p>
    <w:p w:rsidR="00830A4E" w:rsidRDefault="00830A4E" w:rsidP="003067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</w:p>
    <w:p w:rsidR="00CF3D59" w:rsidRPr="00CF3D59" w:rsidRDefault="00CF3D59" w:rsidP="003067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lastRenderedPageBreak/>
        <w:t>Završni ispit se sprema iz knjige Jan-Arta Šoltea,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Globalizacija, kritički uvod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CID, Podgorica, 2009. (str. 12-285, 347-369, 380-415), prema ispitnim pitanjima.</w:t>
      </w:r>
    </w:p>
    <w:p w:rsidR="00CF3D59" w:rsidRPr="00CF3D59" w:rsidRDefault="00CF3D59" w:rsidP="0030679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Hrestomatija za kolokvijume i knjiga za završni ispit se mogu naći u kopirnici "Gemelli".</w:t>
      </w:r>
    </w:p>
    <w:p w:rsidR="00CF3D59" w:rsidRPr="00CF3D59" w:rsidRDefault="00CF3D59">
      <w:pPr>
        <w:rPr>
          <w:rFonts w:ascii="Times New Roman" w:hAnsi="Times New Roman" w:cs="Times New Roman"/>
          <w:sz w:val="24"/>
          <w:szCs w:val="24"/>
        </w:rPr>
      </w:pPr>
    </w:p>
    <w:sectPr w:rsidR="00CF3D59" w:rsidRPr="00CF3D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B6" w:rsidRDefault="002F1FB6" w:rsidP="00830A4E">
      <w:pPr>
        <w:spacing w:after="0" w:line="240" w:lineRule="auto"/>
      </w:pPr>
      <w:r>
        <w:separator/>
      </w:r>
    </w:p>
  </w:endnote>
  <w:endnote w:type="continuationSeparator" w:id="0">
    <w:p w:rsidR="002F1FB6" w:rsidRDefault="002F1FB6" w:rsidP="0083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B6" w:rsidRDefault="002F1FB6" w:rsidP="00830A4E">
      <w:pPr>
        <w:spacing w:after="0" w:line="240" w:lineRule="auto"/>
      </w:pPr>
      <w:r>
        <w:separator/>
      </w:r>
    </w:p>
  </w:footnote>
  <w:footnote w:type="continuationSeparator" w:id="0">
    <w:p w:rsidR="002F1FB6" w:rsidRDefault="002F1FB6" w:rsidP="0083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4E" w:rsidRPr="00CF3D59" w:rsidRDefault="00830A4E" w:rsidP="00830A4E">
    <w:pPr>
      <w:jc w:val="both"/>
      <w:rPr>
        <w:rFonts w:ascii="Times New Roman" w:hAnsi="Times New Roman" w:cs="Times New Roman"/>
        <w:sz w:val="24"/>
        <w:szCs w:val="24"/>
      </w:rPr>
    </w:pPr>
    <w:r w:rsidRPr="00CF3D59">
      <w:rPr>
        <w:rFonts w:ascii="Times New Roman" w:hAnsi="Times New Roman" w:cs="Times New Roman"/>
        <w:sz w:val="24"/>
        <w:szCs w:val="24"/>
      </w:rPr>
      <w:t>Globalizacija</w:t>
    </w:r>
  </w:p>
  <w:p w:rsidR="00830A4E" w:rsidRPr="00CF3D59" w:rsidRDefault="00830A4E" w:rsidP="00830A4E">
    <w:pPr>
      <w:jc w:val="both"/>
      <w:rPr>
        <w:rFonts w:ascii="Times New Roman" w:hAnsi="Times New Roman" w:cs="Times New Roman"/>
        <w:sz w:val="24"/>
        <w:szCs w:val="24"/>
      </w:rPr>
    </w:pPr>
    <w:r w:rsidRPr="00CF3D59">
      <w:rPr>
        <w:rFonts w:ascii="Times New Roman" w:hAnsi="Times New Roman" w:cs="Times New Roman"/>
        <w:sz w:val="24"/>
        <w:szCs w:val="24"/>
      </w:rPr>
      <w:t>Zimski semestar, Studijska 2019/20. godina</w:t>
    </w:r>
  </w:p>
  <w:p w:rsidR="00830A4E" w:rsidRDefault="00830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ECA"/>
    <w:multiLevelType w:val="hybridMultilevel"/>
    <w:tmpl w:val="C03A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4E7"/>
    <w:multiLevelType w:val="hybridMultilevel"/>
    <w:tmpl w:val="0C509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3E4B"/>
    <w:multiLevelType w:val="multilevel"/>
    <w:tmpl w:val="0348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175BB"/>
    <w:multiLevelType w:val="multilevel"/>
    <w:tmpl w:val="93B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C47A0"/>
    <w:multiLevelType w:val="hybridMultilevel"/>
    <w:tmpl w:val="2F505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03FB"/>
    <w:multiLevelType w:val="hybridMultilevel"/>
    <w:tmpl w:val="BB1E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F13C8"/>
    <w:multiLevelType w:val="hybridMultilevel"/>
    <w:tmpl w:val="0CF20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97800"/>
    <w:multiLevelType w:val="hybridMultilevel"/>
    <w:tmpl w:val="CBC6F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8A"/>
    <w:rsid w:val="0010332B"/>
    <w:rsid w:val="00122AED"/>
    <w:rsid w:val="001D6F5F"/>
    <w:rsid w:val="0023768A"/>
    <w:rsid w:val="002F1FB6"/>
    <w:rsid w:val="0030679F"/>
    <w:rsid w:val="00376930"/>
    <w:rsid w:val="004101E4"/>
    <w:rsid w:val="004451D6"/>
    <w:rsid w:val="0062048A"/>
    <w:rsid w:val="00656221"/>
    <w:rsid w:val="00782845"/>
    <w:rsid w:val="007F778F"/>
    <w:rsid w:val="00830A4E"/>
    <w:rsid w:val="00835B6A"/>
    <w:rsid w:val="00954A5A"/>
    <w:rsid w:val="009936EC"/>
    <w:rsid w:val="009F14FD"/>
    <w:rsid w:val="00AD72B4"/>
    <w:rsid w:val="00AE04AD"/>
    <w:rsid w:val="00B51293"/>
    <w:rsid w:val="00B96DE9"/>
    <w:rsid w:val="00C443A1"/>
    <w:rsid w:val="00C56B40"/>
    <w:rsid w:val="00CD4085"/>
    <w:rsid w:val="00CF3D59"/>
    <w:rsid w:val="00DC57B4"/>
    <w:rsid w:val="00F43E46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7020"/>
  <w15:chartTrackingRefBased/>
  <w15:docId w15:val="{4F4C454F-4DDE-44C7-84A9-C6C7B39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8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F3D59"/>
    <w:rPr>
      <w:b/>
      <w:bCs/>
    </w:rPr>
  </w:style>
  <w:style w:type="character" w:styleId="Emphasis">
    <w:name w:val="Emphasis"/>
    <w:basedOn w:val="DefaultParagraphFont"/>
    <w:uiPriority w:val="20"/>
    <w:qFormat/>
    <w:rsid w:val="00CF3D59"/>
    <w:rPr>
      <w:i/>
      <w:iCs/>
    </w:rPr>
  </w:style>
  <w:style w:type="paragraph" w:styleId="ListParagraph">
    <w:name w:val="List Paragraph"/>
    <w:basedOn w:val="Normal"/>
    <w:uiPriority w:val="34"/>
    <w:qFormat/>
    <w:rsid w:val="00AE0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4E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3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4E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1FB9-A355-444C-A729-AA4683E6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</cp:lastModifiedBy>
  <cp:revision>15</cp:revision>
  <dcterms:created xsi:type="dcterms:W3CDTF">2018-09-29T17:26:00Z</dcterms:created>
  <dcterms:modified xsi:type="dcterms:W3CDTF">2019-09-30T14:42:00Z</dcterms:modified>
</cp:coreProperties>
</file>