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A100" w14:textId="77777777" w:rsidR="00251097" w:rsidRPr="00B74F39" w:rsidRDefault="006C2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>Predmet: Politički sistem Crne Gore</w:t>
      </w:r>
    </w:p>
    <w:p w14:paraId="40282D8E" w14:textId="77777777" w:rsidR="00251097" w:rsidRPr="00B74F39" w:rsidRDefault="002510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686F09" w14:textId="77777777" w:rsidR="00251097" w:rsidRPr="00B74F39" w:rsidRDefault="006C2FB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4F39">
        <w:rPr>
          <w:rFonts w:ascii="Times New Roman" w:hAnsi="Times New Roman" w:cs="Times New Roman"/>
          <w:sz w:val="24"/>
          <w:szCs w:val="24"/>
        </w:rPr>
        <w:t>Predlozi</w:t>
      </w:r>
      <w:proofErr w:type="spellEnd"/>
      <w:r w:rsidRPr="00B74F39">
        <w:rPr>
          <w:rFonts w:ascii="Times New Roman" w:hAnsi="Times New Roman" w:cs="Times New Roman"/>
          <w:sz w:val="24"/>
          <w:szCs w:val="24"/>
        </w:rPr>
        <w:t xml:space="preserve"> tema seminarskih radova</w:t>
      </w:r>
    </w:p>
    <w:p w14:paraId="21788CEE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>Teokratski režim u Crnoj Gori, 1695-1852. godine</w:t>
      </w:r>
    </w:p>
    <w:p w14:paraId="28C34614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>Sekularizacija vlasti u Crnoj Gori za vrijeme knjaza Danila I, 1852-1860.</w:t>
      </w:r>
    </w:p>
    <w:p w14:paraId="666428E8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>Crnogorska država za vrijeme knjaza Nikole I do sticanja nezavisnosti (1860-1878)</w:t>
      </w:r>
    </w:p>
    <w:p w14:paraId="2B823C9A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 xml:space="preserve">Međunarodno priznanje Crne Gore na Berlinskom </w:t>
      </w:r>
      <w:proofErr w:type="spellStart"/>
      <w:r w:rsidRPr="00B74F39">
        <w:rPr>
          <w:rFonts w:ascii="Times New Roman" w:hAnsi="Times New Roman" w:cs="Times New Roman"/>
          <w:sz w:val="24"/>
          <w:szCs w:val="24"/>
        </w:rPr>
        <w:t>konresu</w:t>
      </w:r>
      <w:proofErr w:type="spellEnd"/>
      <w:r w:rsidRPr="00B74F39">
        <w:rPr>
          <w:rFonts w:ascii="Times New Roman" w:hAnsi="Times New Roman" w:cs="Times New Roman"/>
          <w:sz w:val="24"/>
          <w:szCs w:val="24"/>
        </w:rPr>
        <w:t xml:space="preserve"> 1878. godine</w:t>
      </w:r>
    </w:p>
    <w:p w14:paraId="3E5B9E23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>Uticaj međunarodnog priznanja na institucionalne promjene u Crnoj Gori (1878-1905)</w:t>
      </w:r>
    </w:p>
    <w:p w14:paraId="5BCE7569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 xml:space="preserve">Donošenje Ustava Crne Gore 1905. godine i uticaj na politički sistem </w:t>
      </w:r>
    </w:p>
    <w:p w14:paraId="02C849B6" w14:textId="3B27DE88" w:rsidR="00251097" w:rsidRPr="00B74F39" w:rsidRDefault="006C2FB0" w:rsidP="00B74F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 xml:space="preserve">Proglašavanje Crne Gore za kraljevinu 1910. godine i implikacije na politički sistem u </w:t>
      </w:r>
      <w:r w:rsidR="00B74F39" w:rsidRPr="00B74F39">
        <w:rPr>
          <w:rFonts w:ascii="Times New Roman" w:hAnsi="Times New Roman" w:cs="Times New Roman"/>
          <w:sz w:val="24"/>
          <w:szCs w:val="24"/>
        </w:rPr>
        <w:t>državi</w:t>
      </w:r>
    </w:p>
    <w:p w14:paraId="58C06BA3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>Crna Gora u Kraljevini SHS</w:t>
      </w:r>
    </w:p>
    <w:p w14:paraId="68EE1F9C" w14:textId="0390E8E4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>Crna Gora u narodnooslobodilačkoj borbi</w:t>
      </w:r>
    </w:p>
    <w:p w14:paraId="123F9AE3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>Crna Gora u FNRJ</w:t>
      </w:r>
    </w:p>
    <w:p w14:paraId="2D25A991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>Crna Gora u SFRJ do 1974. godine</w:t>
      </w:r>
    </w:p>
    <w:p w14:paraId="18E6F4DF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>Crna Gora u SFRJ 1974-1992. godine</w:t>
      </w:r>
    </w:p>
    <w:p w14:paraId="6F4CD6A4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>Crna Gora u SRJ i proces tranzicije do 2002. godine</w:t>
      </w:r>
    </w:p>
    <w:p w14:paraId="71D3444A" w14:textId="6943325D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 xml:space="preserve">Crna Gora u državnoj zajednici SCG </w:t>
      </w:r>
    </w:p>
    <w:p w14:paraId="50EFCEAE" w14:textId="034FCE84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 xml:space="preserve">Referendum za nezavisnost Crne Gore 2006. godine </w:t>
      </w:r>
    </w:p>
    <w:p w14:paraId="1AD8D689" w14:textId="27B25BC5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>Učesnici referenduma za nezavisnost Crne Gore 2006. godine</w:t>
      </w:r>
      <w:r w:rsidR="00C341BF" w:rsidRPr="00B74F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AF9C6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 xml:space="preserve">Kampanje </w:t>
      </w:r>
      <w:proofErr w:type="spellStart"/>
      <w:r w:rsidRPr="00B74F39">
        <w:rPr>
          <w:rFonts w:ascii="Times New Roman" w:hAnsi="Times New Roman" w:cs="Times New Roman"/>
          <w:sz w:val="24"/>
          <w:szCs w:val="24"/>
        </w:rPr>
        <w:t>independističkog</w:t>
      </w:r>
      <w:proofErr w:type="spellEnd"/>
      <w:r w:rsidRPr="00B74F3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74F39">
        <w:rPr>
          <w:rFonts w:ascii="Times New Roman" w:hAnsi="Times New Roman" w:cs="Times New Roman"/>
          <w:sz w:val="24"/>
          <w:szCs w:val="24"/>
        </w:rPr>
        <w:t>unionističkog</w:t>
      </w:r>
      <w:proofErr w:type="spellEnd"/>
      <w:r w:rsidRPr="00B74F39">
        <w:rPr>
          <w:rFonts w:ascii="Times New Roman" w:hAnsi="Times New Roman" w:cs="Times New Roman"/>
          <w:sz w:val="24"/>
          <w:szCs w:val="24"/>
        </w:rPr>
        <w:t xml:space="preserve"> bloka u referendumu za nezavisnost Crne Gore 2006. godine</w:t>
      </w:r>
    </w:p>
    <w:p w14:paraId="393CD6A7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>Međunarodni akteri i njihov uticaj na referendum za nezavisnost Crne Gore 2006. godine</w:t>
      </w:r>
    </w:p>
    <w:p w14:paraId="6E03A792" w14:textId="007768CB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 xml:space="preserve">Donošenje Ustava Crne Gore 2007. godine i sadašnji politički sistem  </w:t>
      </w:r>
    </w:p>
    <w:p w14:paraId="1D408341" w14:textId="7FFBDE2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>Podjela i kontrola između zakonodavne izvršne i sudske vlasti u Crnoj Gori(</w:t>
      </w:r>
      <w:proofErr w:type="spellStart"/>
      <w:r w:rsidRPr="00B74F39">
        <w:rPr>
          <w:rFonts w:ascii="Times New Roman" w:hAnsi="Times New Roman" w:cs="Times New Roman"/>
          <w:sz w:val="24"/>
          <w:szCs w:val="24"/>
        </w:rPr>
        <w:t>Nedovic</w:t>
      </w:r>
      <w:proofErr w:type="spellEnd"/>
      <w:r w:rsidRPr="00B74F39">
        <w:rPr>
          <w:rFonts w:ascii="Times New Roman" w:hAnsi="Times New Roman" w:cs="Times New Roman"/>
          <w:sz w:val="24"/>
          <w:szCs w:val="24"/>
        </w:rPr>
        <w:t xml:space="preserve"> Milena)</w:t>
      </w:r>
      <w:r w:rsidR="00940313" w:rsidRPr="00B74F39">
        <w:rPr>
          <w:rFonts w:ascii="Times New Roman" w:hAnsi="Times New Roman" w:cs="Times New Roman"/>
          <w:sz w:val="24"/>
          <w:szCs w:val="24"/>
        </w:rPr>
        <w:t xml:space="preserve"> (Pejović Danica)</w:t>
      </w:r>
    </w:p>
    <w:p w14:paraId="4EF807CA" w14:textId="4D912C79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 xml:space="preserve">Nadležnosti i rad Skupštine Crne Gore </w:t>
      </w:r>
    </w:p>
    <w:p w14:paraId="1C4FAC8C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>Nadležnosti i rad Vlade Crne Gore</w:t>
      </w:r>
    </w:p>
    <w:p w14:paraId="379B3A5F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>Nadležnosti i rad Predsjednika Crne Gore</w:t>
      </w:r>
    </w:p>
    <w:p w14:paraId="591B1B3D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>Crnogorsko sudstvo i sudski sistem</w:t>
      </w:r>
    </w:p>
    <w:p w14:paraId="7FF0CCFF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>Partije i partijski sistem u Crnoj Gori 1991-2006. godine</w:t>
      </w:r>
    </w:p>
    <w:p w14:paraId="53F54AAC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 xml:space="preserve">Partije i partijski </w:t>
      </w:r>
      <w:proofErr w:type="spellStart"/>
      <w:r w:rsidRPr="00B74F39">
        <w:rPr>
          <w:rFonts w:ascii="Times New Roman" w:hAnsi="Times New Roman" w:cs="Times New Roman"/>
          <w:sz w:val="24"/>
          <w:szCs w:val="24"/>
        </w:rPr>
        <w:t>sitem</w:t>
      </w:r>
      <w:proofErr w:type="spellEnd"/>
      <w:r w:rsidRPr="00B74F39">
        <w:rPr>
          <w:rFonts w:ascii="Times New Roman" w:hAnsi="Times New Roman" w:cs="Times New Roman"/>
          <w:sz w:val="24"/>
          <w:szCs w:val="24"/>
        </w:rPr>
        <w:t xml:space="preserve"> u Crnoj Gori od 2006. godine do danas</w:t>
      </w:r>
    </w:p>
    <w:p w14:paraId="043E8207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 xml:space="preserve">Izborni sistem u Crnoj Gori od </w:t>
      </w:r>
      <w:proofErr w:type="spellStart"/>
      <w:r w:rsidRPr="00B74F3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B74F39">
        <w:rPr>
          <w:rFonts w:ascii="Times New Roman" w:hAnsi="Times New Roman" w:cs="Times New Roman"/>
          <w:sz w:val="24"/>
          <w:szCs w:val="24"/>
        </w:rPr>
        <w:t xml:space="preserve"> 1991. do danas</w:t>
      </w:r>
    </w:p>
    <w:p w14:paraId="6D0EFC57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>Veza između partijskog i izbornog sistema u Crnoj Gori</w:t>
      </w:r>
    </w:p>
    <w:p w14:paraId="72F37F7A" w14:textId="75433481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 xml:space="preserve">Ljudska prava i slobode i njihova zaštita u Crnoj Gori </w:t>
      </w:r>
    </w:p>
    <w:p w14:paraId="026E5E7D" w14:textId="3DC7D098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 xml:space="preserve">Položaj nacionalnih manjina u Crnoj Gori </w:t>
      </w:r>
    </w:p>
    <w:p w14:paraId="5F2B9BED" w14:textId="78B4AE78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 xml:space="preserve">Funkcija </w:t>
      </w:r>
      <w:proofErr w:type="spellStart"/>
      <w:r w:rsidRPr="00B74F39">
        <w:rPr>
          <w:rFonts w:ascii="Times New Roman" w:hAnsi="Times New Roman" w:cs="Times New Roman"/>
          <w:sz w:val="24"/>
          <w:szCs w:val="24"/>
        </w:rPr>
        <w:t>ombudsmana</w:t>
      </w:r>
      <w:proofErr w:type="spellEnd"/>
      <w:r w:rsidRPr="00B74F39">
        <w:rPr>
          <w:rFonts w:ascii="Times New Roman" w:hAnsi="Times New Roman" w:cs="Times New Roman"/>
          <w:sz w:val="24"/>
          <w:szCs w:val="24"/>
        </w:rPr>
        <w:t xml:space="preserve"> u zaštiti ljudskih prava i sloboda</w:t>
      </w:r>
    </w:p>
    <w:p w14:paraId="2709CDFC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>Položaj žena u Crnoj Gori</w:t>
      </w:r>
    </w:p>
    <w:p w14:paraId="3E3002D4" w14:textId="0AF2D195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 xml:space="preserve">Položaj LGBT populacije u Crnoj Gori  </w:t>
      </w:r>
    </w:p>
    <w:p w14:paraId="52E96764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>Mladi u Crnoj Gori</w:t>
      </w:r>
    </w:p>
    <w:p w14:paraId="5F304224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>Mediji i medijske slobode u Crnoj Gori</w:t>
      </w:r>
    </w:p>
    <w:p w14:paraId="59663E9C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lastRenderedPageBreak/>
        <w:t xml:space="preserve">Javno mnjenje u Crnoj Gori </w:t>
      </w:r>
    </w:p>
    <w:p w14:paraId="427CD737" w14:textId="205EF056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 xml:space="preserve">Civilno društvo i NVO sektor u Crnoj Gori </w:t>
      </w:r>
    </w:p>
    <w:p w14:paraId="4A592C13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 xml:space="preserve">Promjene političkog sistema Crne Gore u periodu evropskih i </w:t>
      </w:r>
      <w:proofErr w:type="spellStart"/>
      <w:r w:rsidRPr="00B74F39">
        <w:rPr>
          <w:rFonts w:ascii="Times New Roman" w:hAnsi="Times New Roman" w:cs="Times New Roman"/>
          <w:sz w:val="24"/>
          <w:szCs w:val="24"/>
        </w:rPr>
        <w:t>evroatlanstskih</w:t>
      </w:r>
      <w:proofErr w:type="spellEnd"/>
      <w:r w:rsidRPr="00B74F39">
        <w:rPr>
          <w:rFonts w:ascii="Times New Roman" w:hAnsi="Times New Roman" w:cs="Times New Roman"/>
          <w:sz w:val="24"/>
          <w:szCs w:val="24"/>
        </w:rPr>
        <w:t xml:space="preserve"> integracija</w:t>
      </w:r>
    </w:p>
    <w:p w14:paraId="59FCBF99" w14:textId="19BB8FF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 xml:space="preserve">Položaj Crne Gore u </w:t>
      </w:r>
      <w:r w:rsidR="00B74F39" w:rsidRPr="00B74F39">
        <w:rPr>
          <w:rFonts w:ascii="Times New Roman" w:hAnsi="Times New Roman" w:cs="Times New Roman"/>
          <w:sz w:val="24"/>
          <w:szCs w:val="24"/>
        </w:rPr>
        <w:t>međunarodnim</w:t>
      </w:r>
      <w:r w:rsidRPr="00B74F39">
        <w:rPr>
          <w:rFonts w:ascii="Times New Roman" w:hAnsi="Times New Roman" w:cs="Times New Roman"/>
          <w:sz w:val="24"/>
          <w:szCs w:val="24"/>
        </w:rPr>
        <w:t xml:space="preserve"> odnosima od obnove nezavisnosti 2006. godine </w:t>
      </w:r>
    </w:p>
    <w:p w14:paraId="504F4399" w14:textId="77777777" w:rsidR="00251097" w:rsidRPr="00B74F39" w:rsidRDefault="006C2F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sz w:val="24"/>
          <w:szCs w:val="24"/>
        </w:rPr>
        <w:t>Spoljna politika Crne Gore od obnove nezavisnosti 2006. godine</w:t>
      </w:r>
    </w:p>
    <w:p w14:paraId="0BE11775" w14:textId="77777777" w:rsidR="00251097" w:rsidRPr="00B74F39" w:rsidRDefault="002510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4D92EF" w14:textId="39E6BFFB" w:rsidR="00251097" w:rsidRPr="00B74F39" w:rsidRDefault="006C2FB0">
      <w:pPr>
        <w:jc w:val="both"/>
        <w:rPr>
          <w:rFonts w:ascii="Times New Roman" w:hAnsi="Times New Roman" w:cs="Times New Roman"/>
          <w:sz w:val="24"/>
          <w:szCs w:val="24"/>
        </w:rPr>
      </w:pPr>
      <w:r w:rsidRPr="00B74F39">
        <w:rPr>
          <w:rFonts w:ascii="Times New Roman" w:hAnsi="Times New Roman" w:cs="Times New Roman"/>
          <w:b/>
          <w:sz w:val="24"/>
          <w:szCs w:val="24"/>
        </w:rPr>
        <w:t>NAPOMENE:</w:t>
      </w:r>
      <w:r w:rsidRPr="00B74F39">
        <w:rPr>
          <w:rFonts w:ascii="Times New Roman" w:hAnsi="Times New Roman" w:cs="Times New Roman"/>
          <w:sz w:val="24"/>
          <w:szCs w:val="24"/>
        </w:rPr>
        <w:t xml:space="preserve"> Studenti mogu izabrati temu van spiska, u dogovoru sa saradnikom u nastavi. Tema se dogovara putem e-maila </w:t>
      </w:r>
      <w:hyperlink r:id="rId7">
        <w:r w:rsidRPr="00B74F39">
          <w:rPr>
            <w:rStyle w:val="Hyperlink"/>
            <w:rFonts w:ascii="Times New Roman" w:hAnsi="Times New Roman" w:cs="Times New Roman"/>
            <w:sz w:val="24"/>
            <w:szCs w:val="24"/>
          </w:rPr>
          <w:t>todor@ac.me</w:t>
        </w:r>
      </w:hyperlink>
      <w:r w:rsidRPr="00B74F39">
        <w:rPr>
          <w:rFonts w:ascii="Times New Roman" w:hAnsi="Times New Roman" w:cs="Times New Roman"/>
          <w:sz w:val="24"/>
          <w:szCs w:val="24"/>
        </w:rPr>
        <w:t>.</w:t>
      </w:r>
    </w:p>
    <w:p w14:paraId="1C0AB3D7" w14:textId="1F4139EA" w:rsidR="00251097" w:rsidRPr="00B74F39" w:rsidRDefault="006C2FB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74F39">
        <w:rPr>
          <w:rFonts w:ascii="Times New Roman" w:hAnsi="Times New Roman" w:cs="Times New Roman"/>
          <w:b/>
          <w:color w:val="FF0000"/>
          <w:sz w:val="24"/>
          <w:szCs w:val="24"/>
        </w:rPr>
        <w:t>Radovi se šalju 24h prije termina odbrane</w:t>
      </w:r>
      <w:r w:rsidR="00B74F39" w:rsidRPr="00B74F39">
        <w:rPr>
          <w:rFonts w:ascii="Times New Roman" w:hAnsi="Times New Roman" w:cs="Times New Roman"/>
          <w:b/>
          <w:color w:val="FF0000"/>
          <w:sz w:val="24"/>
          <w:szCs w:val="24"/>
        </w:rPr>
        <w:t>, koji studenti sami određuju.</w:t>
      </w:r>
    </w:p>
    <w:p w14:paraId="216D5B8E" w14:textId="77777777" w:rsidR="00251097" w:rsidRDefault="006C2FB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74F39">
        <w:rPr>
          <w:rFonts w:ascii="Times New Roman" w:hAnsi="Times New Roman" w:cs="Times New Roman"/>
          <w:b/>
          <w:color w:val="FF0000"/>
          <w:sz w:val="24"/>
          <w:szCs w:val="24"/>
        </w:rPr>
        <w:t>Teme za radove se prijavljuju do kraja februara.</w:t>
      </w:r>
    </w:p>
    <w:p w14:paraId="7B5E20B0" w14:textId="5BB04542" w:rsidR="00251097" w:rsidRDefault="0025109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51097">
      <w:headerReference w:type="default" r:id="rId8"/>
      <w:pgSz w:w="12240" w:h="15840"/>
      <w:pgMar w:top="1440" w:right="1440" w:bottom="1440" w:left="144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A57B1" w14:textId="77777777" w:rsidR="0077544C" w:rsidRDefault="0077544C">
      <w:pPr>
        <w:spacing w:after="0" w:line="240" w:lineRule="auto"/>
      </w:pPr>
      <w:r>
        <w:separator/>
      </w:r>
    </w:p>
  </w:endnote>
  <w:endnote w:type="continuationSeparator" w:id="0">
    <w:p w14:paraId="467FB6AD" w14:textId="77777777" w:rsidR="0077544C" w:rsidRDefault="0077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A385" w14:textId="77777777" w:rsidR="0077544C" w:rsidRDefault="0077544C">
      <w:pPr>
        <w:spacing w:after="0" w:line="240" w:lineRule="auto"/>
      </w:pPr>
      <w:r>
        <w:separator/>
      </w:r>
    </w:p>
  </w:footnote>
  <w:footnote w:type="continuationSeparator" w:id="0">
    <w:p w14:paraId="777FC606" w14:textId="77777777" w:rsidR="0077544C" w:rsidRDefault="00775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229C" w14:textId="77777777" w:rsidR="00251097" w:rsidRDefault="006C2FB0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UNIVERZITET CRNE GORE</w:t>
    </w:r>
  </w:p>
  <w:p w14:paraId="55FD64EE" w14:textId="77777777" w:rsidR="00251097" w:rsidRDefault="006C2FB0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FAKULTET POLITIČKIH NAUKA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113"/>
    <w:multiLevelType w:val="multilevel"/>
    <w:tmpl w:val="D23CFE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9B1C05"/>
    <w:multiLevelType w:val="multilevel"/>
    <w:tmpl w:val="3E800B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CDB6F0F"/>
    <w:multiLevelType w:val="multilevel"/>
    <w:tmpl w:val="D7F427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F5B2E60"/>
    <w:multiLevelType w:val="multilevel"/>
    <w:tmpl w:val="8EEA31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23F741C"/>
    <w:multiLevelType w:val="multilevel"/>
    <w:tmpl w:val="52223F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6C1788E"/>
    <w:multiLevelType w:val="multilevel"/>
    <w:tmpl w:val="691025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02D670C"/>
    <w:multiLevelType w:val="multilevel"/>
    <w:tmpl w:val="EC90D4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2C2035F"/>
    <w:multiLevelType w:val="multilevel"/>
    <w:tmpl w:val="FAE6F8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AFD4B1B"/>
    <w:multiLevelType w:val="multilevel"/>
    <w:tmpl w:val="2B085C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2D355BA"/>
    <w:multiLevelType w:val="multilevel"/>
    <w:tmpl w:val="EE3E62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5C0210A"/>
    <w:multiLevelType w:val="multilevel"/>
    <w:tmpl w:val="582874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6A563CF"/>
    <w:multiLevelType w:val="multilevel"/>
    <w:tmpl w:val="A09E79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97"/>
    <w:rsid w:val="00251097"/>
    <w:rsid w:val="00450324"/>
    <w:rsid w:val="00605B04"/>
    <w:rsid w:val="006C2FB0"/>
    <w:rsid w:val="0077544C"/>
    <w:rsid w:val="00940313"/>
    <w:rsid w:val="00955FCC"/>
    <w:rsid w:val="00B74F39"/>
    <w:rsid w:val="00C341BF"/>
    <w:rsid w:val="00F3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CB15"/>
  <w15:docId w15:val="{9D9A7839-3875-42D0-A078-9D7464CE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93D20"/>
    <w:rPr>
      <w:lang w:val="sr-Latn-M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93D20"/>
    <w:rPr>
      <w:lang w:val="sr-Latn-ME"/>
    </w:rPr>
  </w:style>
  <w:style w:type="character" w:styleId="Hyperlink">
    <w:name w:val="Hyperlink"/>
    <w:basedOn w:val="DefaultParagraphFont"/>
    <w:uiPriority w:val="99"/>
    <w:unhideWhenUsed/>
    <w:rsid w:val="009B40A5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87C60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93D2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93D20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8D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dor@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Perun Lakic</cp:lastModifiedBy>
  <cp:revision>15</cp:revision>
  <dcterms:created xsi:type="dcterms:W3CDTF">2017-02-17T12:18:00Z</dcterms:created>
  <dcterms:modified xsi:type="dcterms:W3CDTF">2022-02-27T09:14:00Z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