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DC" w:rsidRPr="00C431DC" w:rsidRDefault="00810EC9" w:rsidP="00EF5BF4">
      <w:pPr>
        <w:spacing w:after="0" w:line="240" w:lineRule="exact"/>
        <w:ind w:right="-33" w:firstLine="700"/>
        <w:jc w:val="center"/>
        <w:rPr>
          <w:rFonts w:ascii="DejaVu Sans" w:eastAsia="DejaVu Sans" w:hAnsi="DejaVu Sans" w:cs="DejaVu Sans"/>
          <w:szCs w:val="16"/>
          <w:lang w:val="en-US"/>
        </w:rPr>
      </w:pPr>
      <w:r w:rsidRPr="00810EC9">
        <w:rPr>
          <w:noProof/>
          <w:lang w:val="en-US"/>
        </w:rPr>
        <w:pict>
          <v:group id="Group 1" o:spid="_x0000_s1026" style="position:absolute;left:0;text-align:left;margin-left:50.05pt;margin-top:26.15pt;width:525.25pt;height:35.8pt;z-index:-251658240;mso-position-horizontal-relative:page;mso-position-vertical-relative:page" coordorigin="558,283" coordsize="10505,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567;top:283;width:1701;height:6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gR7AAAAA2gAAAA8AAABkcnMvZG93bnJldi54bWxEj0GLwjAUhO+C/yE8wZumelCppkXdFb2J&#10;3f0Bj+bZVpuX2kTt/vuNIHgcZuYbZpV2phYPal1lWcFkHIEgzq2uuFDw+7MbLUA4j6yxtkwK/shB&#10;mvR7K4y1ffKJHpkvRICwi1FB6X0TS+nykgy6sW2Ig3e2rUEfZFtI3eIzwE0tp1E0kwYrDgslNrQt&#10;Kb9md6Og3lRf2W3LlMlz8b05XvY8m7NSw0G3XoLw1PlP+N0+aAVTeF0JN0A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+SBHsAAAADaAAAADwAAAAAAAAAAAAAAAACfAgAA&#10;ZHJzL2Rvd25yZXYueG1sUEsFBgAAAAAEAAQA9wAAAIwDAAAAAA==&#10;">
              <v:imagedata r:id="rId5" o:title=""/>
            </v:shape>
            <v:shape id="Freeform 4" o:spid="_x0000_s1028" style="position:absolute;left:567;top:990;width:10488;height:0;visibility:visible;mso-wrap-style:square;v-text-anchor:top" coordsize="10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1KcQA&#10;AADaAAAADwAAAGRycy9kb3ducmV2LnhtbESPwWrDMBBE74X8g9hALiWRa0NpnCghLQRa8MFN8gGL&#10;tbGcWCtjqbb791Wh0OMwM2+Y7X6yrRio941jBU+rBARx5XTDtYLL+bh8AeEDssbWMSn4Jg/73exh&#10;i7l2I3/ScAq1iBD2OSowIXS5lL4yZNGvXEccvavrLYYo+1rqHscIt61Mk+RZWmw4Lhjs6M1QdT99&#10;WQXXxyK7nYs2KYe16cz4YdevZarUYj4dNiACTeE//Nd+1woy+L0Sb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QNSnEAAAA2gAAAA8AAAAAAAAAAAAAAAAAmAIAAGRycy9k&#10;b3ducmV2LnhtbFBLBQYAAAAABAAEAPUAAACJAwAAAAA=&#10;" path="m,l10488,e" filled="f" strokeweight=".85pt">
              <v:path arrowok="t" o:connecttype="custom" o:connectlocs="0,0;10488,0" o:connectangles="0,0"/>
            </v:shape>
            <w10:wrap anchorx="page" anchory="page"/>
          </v:group>
        </w:pict>
      </w:r>
      <w:r w:rsidR="00C431DC" w:rsidRPr="00C431DC">
        <w:rPr>
          <w:rFonts w:ascii="DejaVu Sans" w:eastAsia="DejaVu Sans" w:hAnsi="DejaVu Sans" w:cs="DejaVu Sans"/>
          <w:b/>
          <w:szCs w:val="16"/>
          <w:lang w:val="en-US"/>
        </w:rPr>
        <w:t>ECTS KATALOG SA ISHODIMA UČENJA</w:t>
      </w:r>
    </w:p>
    <w:p w:rsidR="00C431DC" w:rsidRPr="00C431DC" w:rsidRDefault="00C431DC" w:rsidP="00EF5BF4">
      <w:pPr>
        <w:spacing w:before="18" w:after="0" w:line="240" w:lineRule="auto"/>
        <w:ind w:firstLine="700"/>
        <w:jc w:val="center"/>
        <w:rPr>
          <w:rFonts w:ascii="DejaVu Sans" w:eastAsia="DejaVu Sans" w:hAnsi="DejaVu Sans" w:cs="DejaVu Sans"/>
          <w:szCs w:val="16"/>
          <w:lang w:val="en-US"/>
        </w:rPr>
      </w:pPr>
      <w:r w:rsidRPr="00C431DC">
        <w:rPr>
          <w:rFonts w:ascii="DejaVu Sans" w:eastAsia="DejaVu Sans" w:hAnsi="DejaVu Sans" w:cs="DejaVu Sans"/>
          <w:b/>
          <w:szCs w:val="16"/>
          <w:lang w:val="en-US"/>
        </w:rPr>
        <w:t>Univerzitet Crne Gore</w:t>
      </w:r>
    </w:p>
    <w:p w:rsidR="00B11C52" w:rsidRDefault="00B11C52" w:rsidP="006E3A3A">
      <w:pPr>
        <w:spacing w:before="34" w:after="0" w:line="257" w:lineRule="auto"/>
        <w:ind w:left="127" w:right="177"/>
        <w:jc w:val="center"/>
        <w:rPr>
          <w:rFonts w:ascii="DejaVu Sans" w:eastAsia="DejaVu Sans" w:hAnsi="DejaVu Sans" w:cs="DejaVu Sans"/>
          <w:b/>
        </w:rPr>
      </w:pPr>
    </w:p>
    <w:p w:rsidR="00B11C52" w:rsidRDefault="00B11C52" w:rsidP="006E3A3A">
      <w:pPr>
        <w:spacing w:before="34" w:after="0" w:line="257" w:lineRule="auto"/>
        <w:ind w:left="127" w:right="177"/>
        <w:jc w:val="center"/>
        <w:rPr>
          <w:rFonts w:ascii="DejaVu Sans" w:eastAsia="DejaVu Sans" w:hAnsi="DejaVu Sans" w:cs="DejaVu Sans"/>
          <w:b/>
        </w:rPr>
      </w:pPr>
    </w:p>
    <w:p w:rsidR="005040A0" w:rsidRPr="006E3A3A" w:rsidRDefault="00C431DC" w:rsidP="006E3A3A">
      <w:pPr>
        <w:spacing w:before="34" w:after="0" w:line="257" w:lineRule="auto"/>
        <w:ind w:left="127" w:right="177"/>
        <w:jc w:val="center"/>
        <w:rPr>
          <w:rFonts w:ascii="DejaVu Sans" w:eastAsia="DejaVu Sans" w:hAnsi="DejaVu Sans" w:cs="DejaVu Sans"/>
          <w:b/>
        </w:rPr>
      </w:pPr>
      <w:r w:rsidRPr="006E3A3A">
        <w:rPr>
          <w:rFonts w:ascii="DejaVu Sans" w:eastAsia="DejaVu Sans" w:hAnsi="DejaVu Sans" w:cs="DejaVu Sans"/>
          <w:b/>
        </w:rPr>
        <w:t>Medicinski fakultet / Integrisani akademski studijski program Farmacija</w:t>
      </w:r>
      <w:r w:rsidR="005040A0" w:rsidRPr="006E3A3A">
        <w:rPr>
          <w:rFonts w:ascii="DejaVu Sans" w:eastAsia="DejaVu Sans" w:hAnsi="DejaVu Sans" w:cs="DejaVu Sans"/>
          <w:b/>
        </w:rPr>
        <w:t xml:space="preserve"> (2017)</w:t>
      </w:r>
    </w:p>
    <w:p w:rsidR="00C431DC" w:rsidRPr="006E3A3A" w:rsidRDefault="00C431DC" w:rsidP="006E3A3A">
      <w:pPr>
        <w:spacing w:before="34" w:after="0" w:line="257" w:lineRule="auto"/>
        <w:ind w:left="127" w:right="177"/>
        <w:jc w:val="center"/>
        <w:rPr>
          <w:rFonts w:ascii="DejaVu Sans" w:eastAsia="DejaVu Sans" w:hAnsi="DejaVu Sans" w:cs="DejaVu Sans"/>
          <w:b/>
        </w:rPr>
      </w:pPr>
      <w:r w:rsidRPr="006E3A3A">
        <w:rPr>
          <w:rFonts w:ascii="DejaVu Sans" w:eastAsia="DejaVu Sans" w:hAnsi="DejaVu Sans" w:cs="DejaVu Sans"/>
          <w:b/>
        </w:rPr>
        <w:t xml:space="preserve">Oksidativni </w:t>
      </w:r>
      <w:r w:rsidR="006E3A3A">
        <w:rPr>
          <w:rFonts w:ascii="DejaVu Sans" w:eastAsia="DejaVu Sans" w:hAnsi="DejaVu Sans" w:cs="DejaVu Sans"/>
          <w:b/>
        </w:rPr>
        <w:t>stres</w:t>
      </w:r>
      <w:r w:rsidRPr="006E3A3A">
        <w:rPr>
          <w:rFonts w:ascii="DejaVu Sans" w:eastAsia="DejaVu Sans" w:hAnsi="DejaVu Sans" w:cs="DejaVu Sans"/>
          <w:b/>
        </w:rPr>
        <w:t xml:space="preserve"> u humanoj patologiji</w:t>
      </w:r>
    </w:p>
    <w:p w:rsidR="005040A0" w:rsidRDefault="005040A0" w:rsidP="00C431DC">
      <w:pPr>
        <w:spacing w:before="34" w:line="257" w:lineRule="auto"/>
        <w:ind w:left="127" w:right="177"/>
        <w:jc w:val="center"/>
        <w:rPr>
          <w:rFonts w:ascii="DejaVu Sans" w:eastAsia="DejaVu Sans" w:hAnsi="DejaVu Sans" w:cs="DejaVu Sans"/>
          <w:sz w:val="24"/>
        </w:rPr>
      </w:pPr>
    </w:p>
    <w:tbl>
      <w:tblPr>
        <w:tblStyle w:val="TableGrid"/>
        <w:tblW w:w="0" w:type="auto"/>
        <w:tblInd w:w="127" w:type="dxa"/>
        <w:tblLook w:val="04A0"/>
      </w:tblPr>
      <w:tblGrid>
        <w:gridCol w:w="2533"/>
        <w:gridCol w:w="7563"/>
      </w:tblGrid>
      <w:tr w:rsidR="00EF5BF4" w:rsidTr="002633DB">
        <w:trPr>
          <w:trHeight w:val="465"/>
        </w:trPr>
        <w:tc>
          <w:tcPr>
            <w:tcW w:w="2533" w:type="dxa"/>
            <w:vAlign w:val="center"/>
          </w:tcPr>
          <w:p w:rsidR="00EF5BF4" w:rsidRPr="002633DB" w:rsidRDefault="00EF5BF4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Uslovljenost drugim predmetima</w:t>
            </w:r>
          </w:p>
        </w:tc>
        <w:tc>
          <w:tcPr>
            <w:tcW w:w="7563" w:type="dxa"/>
            <w:vAlign w:val="center"/>
          </w:tcPr>
          <w:p w:rsidR="00EF5BF4" w:rsidRPr="00EF5BF4" w:rsidRDefault="003D715A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Nema. Poželjno je da studenti prije slušanja ovog predmeta odslušaju Opštu biohemiju.</w:t>
            </w:r>
          </w:p>
        </w:tc>
      </w:tr>
      <w:tr w:rsidR="00EF5BF4" w:rsidTr="002633DB">
        <w:trPr>
          <w:trHeight w:val="476"/>
        </w:trPr>
        <w:tc>
          <w:tcPr>
            <w:tcW w:w="2533" w:type="dxa"/>
            <w:vAlign w:val="center"/>
          </w:tcPr>
          <w:p w:rsidR="00EF5BF4" w:rsidRPr="002633DB" w:rsidRDefault="00EF5BF4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  <w:lang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Ciljevi i</w:t>
            </w:r>
            <w:r w:rsidRPr="002633DB">
              <w:rPr>
                <w:rFonts w:ascii="DejaVu Sans" w:eastAsia="DejaVu Sans" w:hAnsi="DejaVu Sans" w:cs="DejaVu Sans"/>
                <w:b/>
                <w:sz w:val="20"/>
                <w:lang/>
              </w:rPr>
              <w:t>zučavanja predmeta</w:t>
            </w:r>
          </w:p>
        </w:tc>
        <w:tc>
          <w:tcPr>
            <w:tcW w:w="7563" w:type="dxa"/>
            <w:vAlign w:val="center"/>
          </w:tcPr>
          <w:p w:rsidR="00EF5BF4" w:rsidRPr="00EF5BF4" w:rsidRDefault="003D715A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Cilj izučavanja ovog predmeta jeste da se student</w:t>
            </w:r>
            <w:r w:rsidR="00B11C52">
              <w:rPr>
                <w:rFonts w:ascii="DejaVu Sans" w:eastAsia="DejaVu Sans" w:hAnsi="DejaVu Sans" w:cs="DejaVu Sans"/>
              </w:rPr>
              <w:t xml:space="preserve">i studijskog programa Farmacija upoznaju </w:t>
            </w:r>
            <w:r w:rsidR="002633DB">
              <w:rPr>
                <w:rFonts w:ascii="DejaVu Sans" w:eastAsia="DejaVu Sans" w:hAnsi="DejaVu Sans" w:cs="DejaVu Sans"/>
              </w:rPr>
              <w:t xml:space="preserve">sa osnovnim mehanizmima nastanka slobodnih radikala u organizmu kao i sistemom antioksidanasa u ljudskom organizmu i farmaceutskim saplementima. Takođe, studenti će se upoznati i sa osnovnim mehanizmima nastanka oboljenja različitih organskih sistema u čijoj patogenezi značajno ili dominantno mjesto ima oksidativni stres. </w:t>
            </w:r>
          </w:p>
        </w:tc>
      </w:tr>
      <w:tr w:rsidR="00EF5BF4" w:rsidTr="002633DB">
        <w:trPr>
          <w:trHeight w:val="686"/>
        </w:trPr>
        <w:tc>
          <w:tcPr>
            <w:tcW w:w="2533" w:type="dxa"/>
            <w:vAlign w:val="center"/>
          </w:tcPr>
          <w:p w:rsidR="00EF5BF4" w:rsidRPr="002633DB" w:rsidRDefault="00EF5BF4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Ime i prezime nastavnika i saradnika</w:t>
            </w:r>
          </w:p>
        </w:tc>
        <w:tc>
          <w:tcPr>
            <w:tcW w:w="7563" w:type="dxa"/>
            <w:vAlign w:val="center"/>
          </w:tcPr>
          <w:p w:rsidR="00EF5BF4" w:rsidRPr="00EF5BF4" w:rsidRDefault="003D715A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Doc. dr Snežana Pantović i saradnici angažovani na Katedri za Medicinsku biohemiju Medicinskog fakulteta Univerziteta Crne Gore</w:t>
            </w:r>
          </w:p>
        </w:tc>
      </w:tr>
      <w:tr w:rsidR="00EF5BF4" w:rsidTr="002633DB">
        <w:trPr>
          <w:trHeight w:val="465"/>
        </w:trPr>
        <w:tc>
          <w:tcPr>
            <w:tcW w:w="2533" w:type="dxa"/>
            <w:vAlign w:val="center"/>
          </w:tcPr>
          <w:p w:rsidR="00EF5BF4" w:rsidRPr="002633DB" w:rsidRDefault="00EF5BF4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Metod nastave i savladavanja gradiva</w:t>
            </w:r>
          </w:p>
        </w:tc>
        <w:tc>
          <w:tcPr>
            <w:tcW w:w="7563" w:type="dxa"/>
            <w:vAlign w:val="center"/>
          </w:tcPr>
          <w:p w:rsidR="00EF5BF4" w:rsidRPr="00EF5BF4" w:rsidRDefault="002633DB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Predavanja, vježbe, izrada seminarskih radova, konsultacije</w:t>
            </w:r>
            <w:r w:rsidR="00E55883">
              <w:rPr>
                <w:rFonts w:ascii="DejaVu Sans" w:eastAsia="DejaVu Sans" w:hAnsi="DejaVu Sans" w:cs="DejaVu Sans"/>
              </w:rPr>
              <w:t xml:space="preserve">. </w:t>
            </w:r>
          </w:p>
        </w:tc>
      </w:tr>
      <w:tr w:rsidR="00EF5BF4" w:rsidTr="002633DB">
        <w:trPr>
          <w:trHeight w:val="244"/>
        </w:trPr>
        <w:tc>
          <w:tcPr>
            <w:tcW w:w="2533" w:type="dxa"/>
            <w:vAlign w:val="center"/>
          </w:tcPr>
          <w:p w:rsidR="00EF5BF4" w:rsidRPr="002633DB" w:rsidRDefault="00EF5BF4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 nedjelja, predavanja</w:t>
            </w:r>
          </w:p>
        </w:tc>
        <w:tc>
          <w:tcPr>
            <w:tcW w:w="7563" w:type="dxa"/>
            <w:vAlign w:val="center"/>
          </w:tcPr>
          <w:p w:rsidR="00EF5BF4" w:rsidRPr="00EF5BF4" w:rsidRDefault="00E55883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Uvodno predavanje. Upoznavanje studenata sa planom i programom</w:t>
            </w:r>
            <w:r w:rsidR="00487F00">
              <w:rPr>
                <w:rFonts w:ascii="DejaVu Sans" w:eastAsia="DejaVu Sans" w:hAnsi="DejaVu Sans" w:cs="DejaVu Sans"/>
              </w:rPr>
              <w:t>, obavezama u toku semestra i načinom ocjenjivanja i polaganja ispita.</w:t>
            </w:r>
          </w:p>
        </w:tc>
      </w:tr>
      <w:tr w:rsidR="00EF5BF4" w:rsidTr="002633DB">
        <w:trPr>
          <w:trHeight w:val="244"/>
        </w:trPr>
        <w:tc>
          <w:tcPr>
            <w:tcW w:w="2533" w:type="dxa"/>
            <w:vAlign w:val="center"/>
          </w:tcPr>
          <w:p w:rsidR="00EF5BF4" w:rsidRPr="002633DB" w:rsidRDefault="00EF5BF4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 nedjelja, vježbe</w:t>
            </w:r>
          </w:p>
        </w:tc>
        <w:tc>
          <w:tcPr>
            <w:tcW w:w="7563" w:type="dxa"/>
            <w:vAlign w:val="center"/>
          </w:tcPr>
          <w:p w:rsidR="00EF5BF4" w:rsidRPr="00EF5BF4" w:rsidRDefault="00487F00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/</w:t>
            </w:r>
          </w:p>
        </w:tc>
      </w:tr>
      <w:tr w:rsidR="00EF5BF4" w:rsidTr="002633DB">
        <w:trPr>
          <w:trHeight w:val="244"/>
        </w:trPr>
        <w:tc>
          <w:tcPr>
            <w:tcW w:w="2533" w:type="dxa"/>
            <w:vAlign w:val="center"/>
          </w:tcPr>
          <w:p w:rsidR="00EF5BF4" w:rsidRPr="002633DB" w:rsidRDefault="00EF5BF4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II nedjelja, predavanja</w:t>
            </w:r>
          </w:p>
        </w:tc>
        <w:tc>
          <w:tcPr>
            <w:tcW w:w="7563" w:type="dxa"/>
            <w:vAlign w:val="center"/>
          </w:tcPr>
          <w:p w:rsidR="00EF5BF4" w:rsidRPr="00EF5BF4" w:rsidRDefault="00487F00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Reaktivne hemijske vrste i oksidativni stres: Slobodni radikali; Reaktivne vrste; Stvaranje reaktivnih vrsta/slobodnih radikala u organizmu; Najznačajnije reaktivne vrste; Pojam oksidativnog stresa</w:t>
            </w:r>
            <w:r w:rsidR="00431F69">
              <w:rPr>
                <w:rFonts w:ascii="DejaVu Sans" w:eastAsia="DejaVu Sans" w:hAnsi="DejaVu Sans" w:cs="DejaVu Sans"/>
              </w:rPr>
              <w:t xml:space="preserve">. </w:t>
            </w:r>
          </w:p>
        </w:tc>
      </w:tr>
      <w:tr w:rsidR="00EF5BF4" w:rsidTr="002633DB">
        <w:trPr>
          <w:trHeight w:val="244"/>
        </w:trPr>
        <w:tc>
          <w:tcPr>
            <w:tcW w:w="2533" w:type="dxa"/>
            <w:vAlign w:val="center"/>
          </w:tcPr>
          <w:p w:rsidR="00EF5BF4" w:rsidRPr="002633DB" w:rsidRDefault="00EF5BF4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II nedjelja, vježbe</w:t>
            </w:r>
          </w:p>
        </w:tc>
        <w:tc>
          <w:tcPr>
            <w:tcW w:w="7563" w:type="dxa"/>
            <w:vAlign w:val="center"/>
          </w:tcPr>
          <w:p w:rsidR="00EF5BF4" w:rsidRPr="00EF5BF4" w:rsidRDefault="00152006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totalnog oksidativnog statusa (TOS) i totalnog antioksidativnog statusa (TAS). Izračunavanje indeksa oksidativnog stresa. </w:t>
            </w:r>
          </w:p>
        </w:tc>
      </w:tr>
      <w:tr w:rsidR="00EF5BF4" w:rsidTr="002633DB">
        <w:trPr>
          <w:trHeight w:val="254"/>
        </w:trPr>
        <w:tc>
          <w:tcPr>
            <w:tcW w:w="2533" w:type="dxa"/>
            <w:vAlign w:val="center"/>
          </w:tcPr>
          <w:p w:rsidR="00EF5BF4" w:rsidRPr="002633DB" w:rsidRDefault="00EF5BF4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III nedjelja, predavanja</w:t>
            </w:r>
          </w:p>
        </w:tc>
        <w:tc>
          <w:tcPr>
            <w:tcW w:w="7563" w:type="dxa"/>
            <w:vAlign w:val="center"/>
          </w:tcPr>
          <w:p w:rsidR="00EF5BF4" w:rsidRPr="00EF5BF4" w:rsidRDefault="00487F00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Azot oksid: sinteza, metabolizam, funkcija.</w:t>
            </w:r>
          </w:p>
        </w:tc>
      </w:tr>
      <w:tr w:rsidR="00152006" w:rsidTr="002633DB">
        <w:trPr>
          <w:trHeight w:val="244"/>
        </w:trPr>
        <w:tc>
          <w:tcPr>
            <w:tcW w:w="2533" w:type="dxa"/>
            <w:vAlign w:val="center"/>
          </w:tcPr>
          <w:p w:rsidR="00152006" w:rsidRPr="002633DB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III nedjelja, vježbe</w:t>
            </w:r>
          </w:p>
        </w:tc>
        <w:tc>
          <w:tcPr>
            <w:tcW w:w="7563" w:type="dxa"/>
            <w:vAlign w:val="center"/>
          </w:tcPr>
          <w:p w:rsidR="00152006" w:rsidRPr="00EF5BF4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Određivanje totalnog oksidativnog statusa (TOS) i totalnog antioksidativnog statusa (TAS). Izračunavanje indeksa oksidativnog stresa.</w:t>
            </w:r>
          </w:p>
        </w:tc>
      </w:tr>
      <w:tr w:rsidR="00152006" w:rsidTr="002633DB">
        <w:trPr>
          <w:trHeight w:val="244"/>
        </w:trPr>
        <w:tc>
          <w:tcPr>
            <w:tcW w:w="2533" w:type="dxa"/>
            <w:vAlign w:val="center"/>
          </w:tcPr>
          <w:p w:rsidR="00152006" w:rsidRPr="002633DB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IV nedjelja, predavanja</w:t>
            </w:r>
          </w:p>
        </w:tc>
        <w:tc>
          <w:tcPr>
            <w:tcW w:w="7563" w:type="dxa"/>
            <w:vAlign w:val="center"/>
          </w:tcPr>
          <w:p w:rsidR="00152006" w:rsidRPr="00EF5BF4" w:rsidRDefault="00152006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Antioksidativna zaštita i preparati sa antioksidativnim djelovanjem.</w:t>
            </w:r>
          </w:p>
        </w:tc>
      </w:tr>
      <w:tr w:rsidR="00152006" w:rsidTr="002633DB">
        <w:trPr>
          <w:trHeight w:val="244"/>
        </w:trPr>
        <w:tc>
          <w:tcPr>
            <w:tcW w:w="2533" w:type="dxa"/>
            <w:vAlign w:val="center"/>
          </w:tcPr>
          <w:p w:rsidR="00152006" w:rsidRPr="002633DB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IV nedjelja, vježbe</w:t>
            </w:r>
          </w:p>
        </w:tc>
        <w:tc>
          <w:tcPr>
            <w:tcW w:w="7563" w:type="dxa"/>
            <w:vAlign w:val="center"/>
          </w:tcPr>
          <w:p w:rsidR="00152006" w:rsidRPr="00EF5BF4" w:rsidRDefault="00152006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aktivnosti katalaze i superoksid dizmutaze (SOD). </w:t>
            </w:r>
          </w:p>
        </w:tc>
      </w:tr>
      <w:tr w:rsidR="00152006" w:rsidTr="002633DB">
        <w:trPr>
          <w:trHeight w:val="244"/>
        </w:trPr>
        <w:tc>
          <w:tcPr>
            <w:tcW w:w="2533" w:type="dxa"/>
            <w:vAlign w:val="center"/>
          </w:tcPr>
          <w:p w:rsidR="00152006" w:rsidRPr="002633DB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V nedjelja, predavanja</w:t>
            </w:r>
          </w:p>
        </w:tc>
        <w:tc>
          <w:tcPr>
            <w:tcW w:w="7563" w:type="dxa"/>
            <w:vAlign w:val="center"/>
          </w:tcPr>
          <w:p w:rsidR="00152006" w:rsidRPr="00EF5BF4" w:rsidRDefault="00152006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Dijetetski preparati. Antioksidativni potencijal ljekovitog bilja. </w:t>
            </w:r>
          </w:p>
        </w:tc>
      </w:tr>
      <w:tr w:rsidR="00152006" w:rsidTr="002633DB">
        <w:trPr>
          <w:trHeight w:val="254"/>
        </w:trPr>
        <w:tc>
          <w:tcPr>
            <w:tcW w:w="2533" w:type="dxa"/>
            <w:vAlign w:val="center"/>
          </w:tcPr>
          <w:p w:rsidR="00152006" w:rsidRPr="002633DB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V nedjelja, vježbe</w:t>
            </w:r>
          </w:p>
        </w:tc>
        <w:tc>
          <w:tcPr>
            <w:tcW w:w="7563" w:type="dxa"/>
            <w:vAlign w:val="center"/>
          </w:tcPr>
          <w:p w:rsidR="00152006" w:rsidRPr="00EF5BF4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aktivnosti katalaze i superoksid dizmutaze (SOD). </w:t>
            </w:r>
          </w:p>
        </w:tc>
      </w:tr>
      <w:tr w:rsidR="00152006" w:rsidTr="002633DB">
        <w:trPr>
          <w:trHeight w:val="244"/>
        </w:trPr>
        <w:tc>
          <w:tcPr>
            <w:tcW w:w="2533" w:type="dxa"/>
            <w:vAlign w:val="center"/>
          </w:tcPr>
          <w:p w:rsidR="00152006" w:rsidRPr="002633DB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VI nedjelja, predavanja</w:t>
            </w:r>
          </w:p>
        </w:tc>
        <w:tc>
          <w:tcPr>
            <w:tcW w:w="7563" w:type="dxa"/>
            <w:vAlign w:val="center"/>
          </w:tcPr>
          <w:p w:rsidR="00152006" w:rsidRPr="00EF5BF4" w:rsidRDefault="00152006" w:rsidP="00487F00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Fitopreparati sa antioksidativnim djelovanjem </w:t>
            </w:r>
          </w:p>
        </w:tc>
      </w:tr>
      <w:tr w:rsidR="00152006" w:rsidTr="002633DB">
        <w:trPr>
          <w:trHeight w:val="244"/>
        </w:trPr>
        <w:tc>
          <w:tcPr>
            <w:tcW w:w="2533" w:type="dxa"/>
            <w:vAlign w:val="center"/>
          </w:tcPr>
          <w:p w:rsidR="00152006" w:rsidRPr="002633DB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VI nedjelja, vježbe</w:t>
            </w:r>
          </w:p>
        </w:tc>
        <w:tc>
          <w:tcPr>
            <w:tcW w:w="7563" w:type="dxa"/>
            <w:vAlign w:val="center"/>
          </w:tcPr>
          <w:p w:rsidR="00152006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aktivnosti glutation peroksidaze. Određivanje koncentracije CRP-a. </w:t>
            </w:r>
          </w:p>
        </w:tc>
      </w:tr>
      <w:tr w:rsidR="00152006" w:rsidTr="002633DB">
        <w:trPr>
          <w:trHeight w:val="244"/>
        </w:trPr>
        <w:tc>
          <w:tcPr>
            <w:tcW w:w="2533" w:type="dxa"/>
            <w:vAlign w:val="center"/>
          </w:tcPr>
          <w:p w:rsidR="00152006" w:rsidRPr="002633DB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VII nedjelja, predavanja</w:t>
            </w:r>
          </w:p>
        </w:tc>
        <w:tc>
          <w:tcPr>
            <w:tcW w:w="7563" w:type="dxa"/>
            <w:vAlign w:val="center"/>
          </w:tcPr>
          <w:p w:rsidR="00152006" w:rsidRPr="00EF5BF4" w:rsidRDefault="00152006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Dermokozmetički preparati – prevencija i tretman oksidativnih oštećenja kože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VII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aktivnosti glutation peroksidaze. Određivanje koncentracije CRP-a.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VIII nedjelja, predavanja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Ljekovi sa prooksidativnim i antioksidativnim djelovanjem.</w:t>
            </w:r>
          </w:p>
        </w:tc>
      </w:tr>
      <w:tr w:rsidR="007D4BD1" w:rsidTr="002633DB">
        <w:trPr>
          <w:trHeight w:val="25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VIII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Određivanje koncentracije malondialdehida (MDA). Određivanje</w:t>
            </w:r>
            <w:r w:rsidR="00A1177E">
              <w:rPr>
                <w:rFonts w:ascii="DejaVu Sans" w:eastAsia="DejaVu Sans" w:hAnsi="DejaVu Sans" w:cs="DejaVu Sans"/>
              </w:rPr>
              <w:t xml:space="preserve"> aktivnosti glutation reduktaz</w:t>
            </w:r>
            <w:r>
              <w:rPr>
                <w:rFonts w:ascii="DejaVu Sans" w:eastAsia="DejaVu Sans" w:hAnsi="DejaVu Sans" w:cs="DejaVu Sans"/>
              </w:rPr>
              <w:t xml:space="preserve">e.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IX nedjelja, predavanja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Prooksidativno djelovanje metala.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IX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A1177E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koncentracije malondialdehida (MDA). Određivanje aktivnosti glutation </w:t>
            </w:r>
            <w:r w:rsidR="00A1177E">
              <w:rPr>
                <w:rFonts w:ascii="DejaVu Sans" w:eastAsia="DejaVu Sans" w:hAnsi="DejaVu Sans" w:cs="DejaVu Sans"/>
              </w:rPr>
              <w:t xml:space="preserve">reduktaze. </w:t>
            </w:r>
            <w:bookmarkStart w:id="0" w:name="_GoBack"/>
            <w:bookmarkEnd w:id="0"/>
            <w:r>
              <w:rPr>
                <w:rFonts w:ascii="DejaVu Sans" w:eastAsia="DejaVu Sans" w:hAnsi="DejaVu Sans" w:cs="DejaVu Sans"/>
              </w:rPr>
              <w:t xml:space="preserve">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 nedjelja, predavanja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Lipidna peroksidacija indukovana slobodnim radikalima. Oksidativna </w:t>
            </w:r>
            <w:r>
              <w:rPr>
                <w:rFonts w:ascii="DejaVu Sans" w:eastAsia="DejaVu Sans" w:hAnsi="DejaVu Sans" w:cs="DejaVu Sans"/>
              </w:rPr>
              <w:lastRenderedPageBreak/>
              <w:t xml:space="preserve">modifikacija proteina i DNK.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lastRenderedPageBreak/>
              <w:t>X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koncentracije pojedinih antioksidanasa u humanoj plazmi: cinka, vitamina C, vitamina E.  </w:t>
            </w:r>
          </w:p>
        </w:tc>
      </w:tr>
      <w:tr w:rsidR="007D4BD1" w:rsidTr="002633DB">
        <w:trPr>
          <w:trHeight w:val="25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XI nedjelja, predavanja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Mjesto i uloga slobodnih radikala u signalnoj transdukciji. Patofiziološki aspekti oksidativnog stresa.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XI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152006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koncentracije pojedinih antioksidanasa u humanoj plazmi: cinka, vitamina C, vitamina E. 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XII nedjelja, predavanja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Oksidativni stres u centralnom nervnom sistemu.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XII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koncentracije pojedinih antioksidanasa u humanoj plazmi: glutation, prealbumin, transferin, feritin.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XIII nedjelja, predavanja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Kardiovaskularna oboljenja i oksidativni stres.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XIII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Određivanje koncentracije pojedinih antioksidanasa u humanoj plazmi: glutation, prealbumin, transferin, feritin. </w:t>
            </w:r>
          </w:p>
        </w:tc>
      </w:tr>
      <w:tr w:rsidR="007D4BD1" w:rsidTr="002633DB">
        <w:trPr>
          <w:trHeight w:val="25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XIV nedjelja, predavanja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Oksidativni stres i bolesti pluća.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XIV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Mini test za provjeru znanja sa vježbi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XV nedjelja, predavanja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Oksidativna oštećenja kože.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XV nedjelja, vježbe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Mini test za provjeru znanja sa vježbi.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Obaveze studenata u toku semestra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Studenti su u obavezi da redovno pohađaju predavanja (dozvoljena max. 2 odsustva) i vježbe (dozvoljeno max. 1 odsustvo). Takođe, studenti su u obavezi da odrade seminarski rad na zadatu temu.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Konsultacije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Po dogovoru sa studentima.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Opterećenje studenata u časovima</w:t>
            </w:r>
          </w:p>
        </w:tc>
        <w:tc>
          <w:tcPr>
            <w:tcW w:w="7563" w:type="dxa"/>
            <w:vAlign w:val="center"/>
          </w:tcPr>
          <w:p w:rsidR="007D4BD1" w:rsidRPr="00EF5BF4" w:rsidRDefault="00AF14D0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2</w:t>
            </w:r>
            <w:r w:rsidR="007D4BD1">
              <w:rPr>
                <w:rFonts w:ascii="DejaVu Sans" w:eastAsia="DejaVu Sans" w:hAnsi="DejaVu Sans" w:cs="DejaVu Sans"/>
              </w:rPr>
              <w:t xml:space="preserve"> čas</w:t>
            </w:r>
            <w:r>
              <w:rPr>
                <w:rFonts w:ascii="DejaVu Sans" w:eastAsia="DejaVu Sans" w:hAnsi="DejaVu Sans" w:cs="DejaVu Sans"/>
              </w:rPr>
              <w:t>a</w:t>
            </w:r>
            <w:r w:rsidR="007D4BD1">
              <w:rPr>
                <w:rFonts w:ascii="DejaVu Sans" w:eastAsia="DejaVu Sans" w:hAnsi="DejaVu Sans" w:cs="DejaVu Sans"/>
              </w:rPr>
              <w:t xml:space="preserve"> predavanja sedmično; 1 čas vježbi sedmično. Napomena: Iz razloga bolje orga</w:t>
            </w:r>
            <w:r>
              <w:rPr>
                <w:rFonts w:ascii="DejaVu Sans" w:eastAsia="DejaVu Sans" w:hAnsi="DejaVu Sans" w:cs="DejaVu Sans"/>
              </w:rPr>
              <w:t xml:space="preserve">nizacije predmeta, </w:t>
            </w:r>
            <w:r w:rsidR="007D4BD1">
              <w:rPr>
                <w:rFonts w:ascii="DejaVu Sans" w:eastAsia="DejaVu Sans" w:hAnsi="DejaVu Sans" w:cs="DejaVu Sans"/>
              </w:rPr>
              <w:t xml:space="preserve">vježbe će se održavati svake druge sedmice sa po 2 časa.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Literatura</w:t>
            </w:r>
          </w:p>
        </w:tc>
        <w:tc>
          <w:tcPr>
            <w:tcW w:w="7563" w:type="dxa"/>
            <w:vAlign w:val="center"/>
          </w:tcPr>
          <w:p w:rsidR="007D4BD1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1. Mirjana M. Đukić: Oksidativni stres – slobodni radikali, prooksidansi, antioksidansi. Mono i Manjana, 2008.</w:t>
            </w:r>
          </w:p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2. Mirjana M. Đukić: Oksidativni stres – kliničko-dijagnostički značaj. Mono i Manjana, 2008.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Oblici provjere znanja i ocjenjivanje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Prisustvo predavanjima: do 5 bodova; Prisustvo vježbama: do 5 bodova; Mini test za provjru znanja sa vježbi: do 10 bodova; Seminarski rad: do 30 bodova; Završni ispit: do 50 bodova. Završni ispit se polaže kao pisani. Ispit se organizuje u terminima definisanim Pravilima studiranja. Završna ocjena se formira prema kriterijumima koje propisuju Pravila studiranja.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Posebne naznake za predmet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Nema. 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Napomena</w:t>
            </w:r>
          </w:p>
        </w:tc>
        <w:tc>
          <w:tcPr>
            <w:tcW w:w="7563" w:type="dxa"/>
            <w:vAlign w:val="center"/>
          </w:tcPr>
          <w:p w:rsidR="007D4BD1" w:rsidRPr="00EF5BF4" w:rsidRDefault="007D4BD1" w:rsidP="00EF5BF4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Iz razloga bolje orga</w:t>
            </w:r>
            <w:r w:rsidR="00AF14D0">
              <w:rPr>
                <w:rFonts w:ascii="DejaVu Sans" w:eastAsia="DejaVu Sans" w:hAnsi="DejaVu Sans" w:cs="DejaVu Sans"/>
              </w:rPr>
              <w:t xml:space="preserve">nizacije predmeta, </w:t>
            </w:r>
            <w:r>
              <w:rPr>
                <w:rFonts w:ascii="DejaVu Sans" w:eastAsia="DejaVu Sans" w:hAnsi="DejaVu Sans" w:cs="DejaVu Sans"/>
              </w:rPr>
              <w:t>vježbe će se održavati svake druge sedmice sa po 2 časa.</w:t>
            </w:r>
          </w:p>
        </w:tc>
      </w:tr>
      <w:tr w:rsidR="007D4BD1" w:rsidTr="002633DB">
        <w:trPr>
          <w:trHeight w:val="244"/>
        </w:trPr>
        <w:tc>
          <w:tcPr>
            <w:tcW w:w="2533" w:type="dxa"/>
            <w:vAlign w:val="center"/>
          </w:tcPr>
          <w:p w:rsidR="007D4BD1" w:rsidRPr="002633DB" w:rsidRDefault="007D4BD1" w:rsidP="003E422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  <w:b/>
                <w:sz w:val="20"/>
              </w:rPr>
            </w:pPr>
            <w:r w:rsidRPr="002633DB">
              <w:rPr>
                <w:rFonts w:ascii="DejaVu Sans" w:eastAsia="DejaVu Sans" w:hAnsi="DejaVu Sans" w:cs="DejaVu Sans"/>
                <w:b/>
                <w:sz w:val="20"/>
              </w:rPr>
              <w:t>Ishodi učenja</w:t>
            </w:r>
          </w:p>
        </w:tc>
        <w:tc>
          <w:tcPr>
            <w:tcW w:w="7563" w:type="dxa"/>
            <w:vAlign w:val="center"/>
          </w:tcPr>
          <w:p w:rsidR="007D4BD1" w:rsidRDefault="007D4BD1" w:rsidP="002633DB">
            <w:pPr>
              <w:spacing w:before="34" w:line="257" w:lineRule="auto"/>
              <w:ind w:right="177"/>
              <w:rPr>
                <w:rFonts w:ascii="DejaVu Sans" w:eastAsia="DejaVu Sans" w:hAnsi="DejaVu Sans" w:cs="DejaVu Sans"/>
              </w:rPr>
            </w:pPr>
            <w:r w:rsidRPr="002633DB">
              <w:rPr>
                <w:rFonts w:ascii="DejaVu Sans" w:eastAsia="DejaVu Sans" w:hAnsi="DejaVu Sans" w:cs="DejaVu Sans"/>
              </w:rPr>
              <w:t xml:space="preserve">Po završetku nastave iz ovog predmeta student studijskog programa Farmacija će moći da: </w:t>
            </w:r>
          </w:p>
          <w:p w:rsidR="007D4BD1" w:rsidRDefault="007D4BD1" w:rsidP="002633DB">
            <w:pPr>
              <w:pStyle w:val="ListParagraph"/>
              <w:numPr>
                <w:ilvl w:val="0"/>
                <w:numId w:val="2"/>
              </w:numPr>
              <w:spacing w:before="34" w:line="257" w:lineRule="auto"/>
              <w:ind w:left="317"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Definiše pojmove: oksidativni stres, oksidacija, redukcija, oksidans, antioksidans i sl.</w:t>
            </w:r>
          </w:p>
          <w:p w:rsidR="007D4BD1" w:rsidRDefault="007D4BD1" w:rsidP="002633DB">
            <w:pPr>
              <w:pStyle w:val="ListParagraph"/>
              <w:numPr>
                <w:ilvl w:val="0"/>
                <w:numId w:val="2"/>
              </w:numPr>
              <w:spacing w:before="34" w:line="257" w:lineRule="auto"/>
              <w:ind w:left="317"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Razumije osnove uloge oksidativnog stresa u patofiziologiji različitih bolesti i stanja;</w:t>
            </w:r>
          </w:p>
          <w:p w:rsidR="007D4BD1" w:rsidRDefault="007D4BD1" w:rsidP="002633DB">
            <w:pPr>
              <w:pStyle w:val="ListParagraph"/>
              <w:numPr>
                <w:ilvl w:val="0"/>
                <w:numId w:val="2"/>
              </w:numPr>
              <w:spacing w:before="34" w:line="257" w:lineRule="auto"/>
              <w:ind w:left="317"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Shvati značaj primjene antioksidanasa u prevenciji/liječenju različitih bolesti i stanja;</w:t>
            </w:r>
          </w:p>
          <w:p w:rsidR="007D4BD1" w:rsidRPr="002633DB" w:rsidRDefault="007D4BD1" w:rsidP="002633DB">
            <w:pPr>
              <w:pStyle w:val="ListParagraph"/>
              <w:numPr>
                <w:ilvl w:val="0"/>
                <w:numId w:val="2"/>
              </w:numPr>
              <w:spacing w:before="34" w:line="257" w:lineRule="auto"/>
              <w:ind w:left="317" w:right="177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Aktivno pretražuje literaturu i izrađuje pregledne članke iz ove oblasti. </w:t>
            </w:r>
          </w:p>
        </w:tc>
      </w:tr>
    </w:tbl>
    <w:p w:rsidR="0012382A" w:rsidRDefault="0012382A" w:rsidP="00C431DC">
      <w:pPr>
        <w:jc w:val="center"/>
      </w:pPr>
    </w:p>
    <w:sectPr w:rsidR="0012382A" w:rsidSect="00C431DC">
      <w:pgSz w:w="12240" w:h="15840"/>
      <w:pgMar w:top="284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EDB"/>
    <w:multiLevelType w:val="hybridMultilevel"/>
    <w:tmpl w:val="58807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A01D5"/>
    <w:multiLevelType w:val="hybridMultilevel"/>
    <w:tmpl w:val="EC74D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069B2"/>
    <w:rsid w:val="000D2F25"/>
    <w:rsid w:val="0012382A"/>
    <w:rsid w:val="00152006"/>
    <w:rsid w:val="001D5D70"/>
    <w:rsid w:val="002633DB"/>
    <w:rsid w:val="003D715A"/>
    <w:rsid w:val="004069B2"/>
    <w:rsid w:val="00431F69"/>
    <w:rsid w:val="00487F00"/>
    <w:rsid w:val="005040A0"/>
    <w:rsid w:val="006E3A3A"/>
    <w:rsid w:val="007D4BD1"/>
    <w:rsid w:val="00810EC9"/>
    <w:rsid w:val="00A1177E"/>
    <w:rsid w:val="00AC560F"/>
    <w:rsid w:val="00AF14D0"/>
    <w:rsid w:val="00B11C52"/>
    <w:rsid w:val="00C431DC"/>
    <w:rsid w:val="00E55883"/>
    <w:rsid w:val="00E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C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718</Words>
  <Characters>5013</Characters>
  <Application>Microsoft Office Word</Application>
  <DocSecurity>0</DocSecurity>
  <Lines>143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Roganovic</dc:creator>
  <cp:keywords/>
  <dc:description/>
  <cp:lastModifiedBy>Win 7</cp:lastModifiedBy>
  <cp:revision>11</cp:revision>
  <dcterms:created xsi:type="dcterms:W3CDTF">2018-12-30T20:55:00Z</dcterms:created>
  <dcterms:modified xsi:type="dcterms:W3CDTF">2020-02-02T09:36:00Z</dcterms:modified>
</cp:coreProperties>
</file>