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5F" w:rsidRPr="00A04B3F" w:rsidRDefault="000C795F">
      <w:pPr>
        <w:rPr>
          <w:rFonts w:ascii="Arial" w:hAnsi="Arial" w:cs="Arial"/>
          <w:b/>
          <w:sz w:val="28"/>
          <w:szCs w:val="28"/>
          <w:lang w:val="it-IT"/>
        </w:rPr>
      </w:pPr>
      <w:r w:rsidRPr="00A04B3F">
        <w:rPr>
          <w:rFonts w:ascii="Arial" w:hAnsi="Arial" w:cs="Arial"/>
          <w:b/>
          <w:sz w:val="28"/>
          <w:szCs w:val="28"/>
          <w:lang w:val="it-IT"/>
        </w:rPr>
        <w:t>PRIVREDNI RAZVOJ</w:t>
      </w:r>
    </w:p>
    <w:p w:rsidR="000C795F" w:rsidRPr="00844163" w:rsidRDefault="000C795F">
      <w:pPr>
        <w:rPr>
          <w:rFonts w:ascii="Arial" w:hAnsi="Arial" w:cs="Arial"/>
          <w:b/>
          <w:lang w:val="it-IT"/>
        </w:rPr>
      </w:pPr>
    </w:p>
    <w:p w:rsidR="000C795F" w:rsidRPr="0058152D" w:rsidRDefault="000C795F">
      <w:pPr>
        <w:rPr>
          <w:rFonts w:ascii="Arial" w:hAnsi="Arial" w:cs="Arial"/>
          <w:b/>
          <w:sz w:val="40"/>
          <w:szCs w:val="40"/>
          <w:lang w:val="it-IT"/>
        </w:rPr>
      </w:pPr>
      <w:r w:rsidRPr="0058152D">
        <w:rPr>
          <w:rFonts w:ascii="Arial" w:hAnsi="Arial" w:cs="Arial"/>
          <w:b/>
          <w:sz w:val="40"/>
          <w:szCs w:val="40"/>
          <w:lang w:val="it-IT"/>
        </w:rPr>
        <w:t>ISPITNA PITANJA</w:t>
      </w:r>
      <w:r w:rsidR="00A6165E" w:rsidRPr="0058152D">
        <w:rPr>
          <w:rFonts w:ascii="Arial" w:hAnsi="Arial" w:cs="Arial"/>
          <w:b/>
          <w:sz w:val="40"/>
          <w:szCs w:val="40"/>
          <w:lang w:val="it-IT"/>
        </w:rPr>
        <w:t xml:space="preserve"> ZA USMENI ZAVRŠNI ISPIT</w:t>
      </w:r>
      <w:r w:rsidRPr="0058152D">
        <w:rPr>
          <w:rFonts w:ascii="Arial" w:hAnsi="Arial" w:cs="Arial"/>
          <w:b/>
          <w:sz w:val="40"/>
          <w:szCs w:val="40"/>
          <w:lang w:val="it-IT"/>
        </w:rPr>
        <w:t xml:space="preserve">, </w:t>
      </w:r>
      <w:r w:rsidR="00466C2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Januar 20</w:t>
      </w:r>
      <w:r w:rsidR="00B507A8">
        <w:rPr>
          <w:rFonts w:ascii="Arial" w:hAnsi="Arial" w:cs="Arial"/>
          <w:b/>
          <w:color w:val="FF0000"/>
          <w:sz w:val="40"/>
          <w:szCs w:val="40"/>
          <w:lang w:val="it-IT"/>
        </w:rPr>
        <w:t>20</w:t>
      </w:r>
      <w:bookmarkStart w:id="0" w:name="_GoBack"/>
      <w:bookmarkEnd w:id="0"/>
    </w:p>
    <w:p w:rsidR="00AC4142" w:rsidRDefault="00AC4142">
      <w:pPr>
        <w:rPr>
          <w:rFonts w:ascii="Arial" w:hAnsi="Arial" w:cs="Arial"/>
          <w:b/>
          <w:lang w:val="it-IT"/>
        </w:rPr>
      </w:pPr>
    </w:p>
    <w:p w:rsidR="00BC456C" w:rsidRPr="00B507A8" w:rsidRDefault="00BC456C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>II DIO: MAKROEKONOMSKA RAZVOJNA POLITIKA</w:t>
      </w:r>
      <w:r w:rsidR="008E7F45" w:rsidRPr="0058152D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(jedno pitanje)</w:t>
      </w:r>
    </w:p>
    <w:p w:rsidR="00BC456C" w:rsidRPr="00244B2D" w:rsidRDefault="00BC456C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Razvojna funkcija savremene drž</w:t>
      </w:r>
      <w:r w:rsidR="009E1631">
        <w:rPr>
          <w:rFonts w:ascii="Arial" w:hAnsi="Arial" w:cs="Arial"/>
          <w:sz w:val="22"/>
          <w:szCs w:val="22"/>
          <w:lang w:val="it-IT"/>
        </w:rPr>
        <w:t>a</w:t>
      </w:r>
      <w:r w:rsidRPr="00244B2D">
        <w:rPr>
          <w:rFonts w:ascii="Arial" w:hAnsi="Arial" w:cs="Arial"/>
          <w:sz w:val="22"/>
          <w:szCs w:val="22"/>
          <w:lang w:val="it-IT"/>
        </w:rPr>
        <w:t>ve – privreda kao sistem</w:t>
      </w:r>
    </w:p>
    <w:p w:rsidR="00BC456C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Žak Atali – Teorija regulacije (k</w:t>
      </w:r>
      <w:r w:rsidR="00BC456C" w:rsidRPr="00244B2D">
        <w:rPr>
          <w:rFonts w:ascii="Arial" w:hAnsi="Arial" w:cs="Arial"/>
          <w:sz w:val="22"/>
          <w:szCs w:val="22"/>
          <w:lang w:val="it-IT"/>
        </w:rPr>
        <w:t>oegzistencija spontanog i svj</w:t>
      </w:r>
      <w:r w:rsidRPr="00244B2D">
        <w:rPr>
          <w:rFonts w:ascii="Arial" w:hAnsi="Arial" w:cs="Arial"/>
          <w:sz w:val="22"/>
          <w:szCs w:val="22"/>
          <w:lang w:val="it-IT"/>
        </w:rPr>
        <w:t>esnog upravljačkog podsistema )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Superioronost tržišta u alokaciji ograničenih resursa – ključna pitanja na koje tržište treba da da odgovor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Fijasko tržišta – pojam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</w:t>
      </w:r>
      <w:r w:rsidRPr="00244B2D">
        <w:rPr>
          <w:rFonts w:ascii="Arial" w:hAnsi="Arial" w:cs="Arial"/>
          <w:sz w:val="22"/>
          <w:szCs w:val="22"/>
          <w:lang w:val="pl-PL"/>
        </w:rPr>
        <w:t>etiri oblasti, koje uzrokuju da tržište slabije funkcioniše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</w:t>
      </w:r>
      <w:r w:rsidR="00B507A8">
        <w:rPr>
          <w:rFonts w:ascii="Arial" w:hAnsi="Arial" w:cs="Arial"/>
          <w:sz w:val="22"/>
          <w:szCs w:val="22"/>
          <w:lang w:val="pl-PL"/>
        </w:rPr>
        <w:t>s</w:t>
      </w:r>
      <w:r w:rsidRPr="00244B2D">
        <w:rPr>
          <w:rFonts w:ascii="Arial" w:hAnsi="Arial" w:cs="Arial"/>
          <w:sz w:val="22"/>
          <w:szCs w:val="22"/>
          <w:lang w:val="pl-PL"/>
        </w:rPr>
        <w:t>ko tržišta – monopoli i eksterni efekti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Fijasko tržišta – javna dobra i javna potrošnja; nejednaka raspodjela dohotka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Važnost / uloga države i njen uticaj na kvalitet makroekonomske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razvojne</w:t>
      </w:r>
      <w:r w:rsidRPr="00244B2D">
        <w:rPr>
          <w:rFonts w:ascii="Arial" w:hAnsi="Arial" w:cs="Arial"/>
          <w:sz w:val="22"/>
          <w:szCs w:val="22"/>
          <w:lang w:val="pl-PL"/>
        </w:rPr>
        <w:t xml:space="preserve"> performanse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Država može popraviti nedostatke tržišta – koje su najčešće intervencije?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Rastuća neizvjesnost i upravljanje privrednim razvojem</w:t>
      </w:r>
    </w:p>
    <w:p w:rsidR="004C7EB0" w:rsidRPr="00244B2D" w:rsidRDefault="00B507A8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Osnovne komponente svjesnog</w:t>
      </w:r>
      <w:r w:rsidR="004C7EB0" w:rsidRPr="00244B2D">
        <w:rPr>
          <w:rFonts w:ascii="Arial" w:hAnsi="Arial" w:cs="Arial"/>
          <w:sz w:val="22"/>
          <w:szCs w:val="22"/>
          <w:lang w:val="it-IT"/>
        </w:rPr>
        <w:t xml:space="preserve"> upravljačkog podsistema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 Marer – Modeli savremenih tržišnih privreda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Sistemska i procesna ekonomska politika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Ključni atributi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instrumenata makroekonomske politike i njihova podjela prema načinu djelovanja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Četiri osnovna uzroka ograničenja makroekonomske politike 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Efikasnost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Vremensko zaostajanje u realizaciji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Pravila i diskrecija u kreiranju i primjeni makroekonomske politike </w:t>
      </w:r>
    </w:p>
    <w:p w:rsidR="004C7EB0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Stabilizaciona i razvojna funkcija fiskalne politike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Budžetski rashodi i prihodi kao instrumenti fiskalne politike – </w:t>
      </w:r>
      <w:r w:rsidR="00FD1C0A">
        <w:rPr>
          <w:rFonts w:ascii="Arial" w:hAnsi="Arial" w:cs="Arial"/>
          <w:sz w:val="22"/>
          <w:szCs w:val="22"/>
          <w:lang w:val="it-IT"/>
        </w:rPr>
        <w:t>uravnoteženi budžet, budžetski multiplikator</w:t>
      </w:r>
      <w:r w:rsidRPr="00244B2D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Premještanje kapitala kao posljedica rasta javnog duga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Deficitno finansiranje, budžetski deficit, primarni deficit i strukturni deficit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Četiri indikatora zaduženosti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pacing w:val="-3"/>
          <w:sz w:val="22"/>
          <w:szCs w:val="22"/>
          <w:lang w:val="pl-PL"/>
        </w:rPr>
        <w:t>Tri o</w:t>
      </w:r>
      <w:r w:rsidR="00B507A8">
        <w:rPr>
          <w:rFonts w:ascii="Arial" w:hAnsi="Arial" w:cs="Arial"/>
          <w:spacing w:val="-3"/>
          <w:sz w:val="22"/>
          <w:szCs w:val="22"/>
          <w:lang w:val="pl-PL"/>
        </w:rPr>
        <w:t>snovna instrumenta putem kojih se</w:t>
      </w:r>
      <w:r w:rsidRPr="00244B2D">
        <w:rPr>
          <w:rFonts w:ascii="Arial" w:hAnsi="Arial" w:cs="Arial"/>
          <w:spacing w:val="-3"/>
          <w:sz w:val="22"/>
          <w:szCs w:val="22"/>
          <w:lang w:val="pl-PL"/>
        </w:rPr>
        <w:t xml:space="preserve"> kontroliše količinu novca u opticaju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eurizacije i primjer Crne Gore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Osnovni transmisioni mehanizmi monetarne politike i njihov uticaj na ekonomsku dinamiku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Stimulisanje investicija (crowding in efekat)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Oblici međunarodnih ekonomskih transakcija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WTO kao subjekt funkcionisanja savremenog multilateralnog sistema (načela funkcionisanja i pravni osnov)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Organizaciona struktura WTO i uslovi pristupanja (postupak)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Regionalna integracija u svjetskoj trgovini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Makroekonomska međunarodna konkurentnost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Politika razvoja bazirana na supstituciji uvoza i politika razvoja bazirana na promociji izvoza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instrumenti i mjere politike spoljnoekonomskih odnosa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Spoljnotrgoivnska politika male otvorene privrede (dejstvo carina)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lastRenderedPageBreak/>
        <w:t>Pojam, komponente i najvažniji instrumenti politike inovacija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Metodi evaluacije efikasnosti inovacione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Koncept i principi održivog razvoja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ekonomski instrumenti ekološke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Osnovni oblici savremenog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Tipovi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Supranacionalno planiranje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(EU kao primjer)</w:t>
      </w:r>
      <w:r>
        <w:rPr>
          <w:rFonts w:ascii="Arial" w:hAnsi="Arial" w:cs="Arial"/>
          <w:lang w:val="it-IT"/>
        </w:rPr>
        <w:t xml:space="preserve"> </w:t>
      </w:r>
    </w:p>
    <w:p w:rsidR="00BC456C" w:rsidRDefault="00BC456C">
      <w:pPr>
        <w:rPr>
          <w:rFonts w:ascii="Arial" w:hAnsi="Arial" w:cs="Arial"/>
          <w:b/>
          <w:lang w:val="it-IT"/>
        </w:rPr>
      </w:pPr>
    </w:p>
    <w:p w:rsidR="00FF64EB" w:rsidRPr="00B507A8" w:rsidRDefault="00FF64EB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 xml:space="preserve">III DIO: </w:t>
      </w:r>
      <w:r w:rsidR="00702226" w:rsidRPr="0058152D">
        <w:rPr>
          <w:rFonts w:ascii="Arial" w:hAnsi="Arial" w:cs="Arial"/>
          <w:b/>
          <w:sz w:val="32"/>
          <w:szCs w:val="32"/>
          <w:lang w:val="it-IT"/>
        </w:rPr>
        <w:t>UPRAVLJANJE RAZVOJEM I EVROPSKE INTEGRACIJE</w:t>
      </w:r>
      <w:r w:rsidR="008E7F45">
        <w:rPr>
          <w:rFonts w:ascii="Arial" w:hAnsi="Arial" w:cs="Arial"/>
          <w:b/>
          <w:lang w:val="it-IT"/>
        </w:rPr>
        <w:t xml:space="preserve"> 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(dva pitanja)</w:t>
      </w:r>
    </w:p>
    <w:p w:rsidR="00FF64EB" w:rsidRPr="00844163" w:rsidRDefault="00FF64EB">
      <w:pPr>
        <w:rPr>
          <w:rFonts w:ascii="Arial" w:hAnsi="Arial" w:cs="Arial"/>
          <w:lang w:val="it-IT"/>
        </w:rPr>
      </w:pPr>
    </w:p>
    <w:p w:rsidR="00466C21" w:rsidRPr="00844163" w:rsidRDefault="00466C21">
      <w:pPr>
        <w:rPr>
          <w:rFonts w:ascii="Arial" w:hAnsi="Arial" w:cs="Arial"/>
          <w:b/>
          <w:sz w:val="22"/>
          <w:szCs w:val="22"/>
          <w:lang w:val="it-IT"/>
        </w:rPr>
      </w:pPr>
      <w:r w:rsidRPr="00844163">
        <w:rPr>
          <w:rFonts w:ascii="Arial" w:hAnsi="Arial" w:cs="Arial"/>
          <w:b/>
          <w:sz w:val="22"/>
          <w:szCs w:val="22"/>
          <w:lang w:val="it-IT"/>
        </w:rPr>
        <w:t xml:space="preserve">I.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>KRATAK OSVRT NA PRIVREDNU RAZVIJENOST</w:t>
      </w:r>
      <w:r w:rsidR="00B507A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 xml:space="preserve"> I RAZVOJNU POLITIKU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Okvir privredne razvijenosti Crne Gore u prvoj polovini XX vijeka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Periodizacija razvoja energetskog sistema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</w:t>
      </w:r>
      <w:r w:rsidR="00466C21" w:rsidRPr="00844163">
        <w:rPr>
          <w:rFonts w:ascii="Arial" w:hAnsi="Arial" w:cs="Arial"/>
          <w:sz w:val="22"/>
          <w:szCs w:val="22"/>
          <w:lang w:val="pt-BR"/>
        </w:rPr>
        <w:t>dizacija sistema planiranja do raspada SFRJ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Dinami</w:t>
      </w:r>
      <w:r w:rsidRPr="00844163">
        <w:rPr>
          <w:rFonts w:ascii="Arial" w:hAnsi="Arial" w:cs="Arial"/>
          <w:sz w:val="22"/>
          <w:szCs w:val="22"/>
        </w:rPr>
        <w:t>čne strukturne promjene crnogorske ekonomije u okviru SFRJ (struktura DP, primarni, sekundarni i tercijarni sektor</w:t>
      </w:r>
      <w:r w:rsidR="00F150D8" w:rsidRPr="00844163">
        <w:rPr>
          <w:rFonts w:ascii="Arial" w:hAnsi="Arial" w:cs="Arial"/>
          <w:sz w:val="22"/>
          <w:szCs w:val="22"/>
        </w:rPr>
        <w:t>, investicije</w:t>
      </w:r>
      <w:r w:rsidRPr="00844163">
        <w:rPr>
          <w:rFonts w:ascii="Arial" w:hAnsi="Arial" w:cs="Arial"/>
          <w:sz w:val="22"/>
          <w:szCs w:val="22"/>
        </w:rPr>
        <w:t>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Formirane strukturne i razvojne disproporcije Crne Gore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na pragu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XX</w:t>
      </w:r>
      <w:r w:rsidR="00F150D8" w:rsidRPr="00844163">
        <w:rPr>
          <w:rFonts w:ascii="Arial" w:hAnsi="Arial" w:cs="Arial"/>
          <w:sz w:val="22"/>
          <w:szCs w:val="22"/>
          <w:lang w:val="pt-BR"/>
        </w:rPr>
        <w:t>I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vijeka</w:t>
      </w:r>
      <w:r w:rsidR="00F150D8" w:rsidRPr="00844163">
        <w:rPr>
          <w:rFonts w:ascii="Arial" w:hAnsi="Arial" w:cs="Arial"/>
          <w:sz w:val="22"/>
          <w:szCs w:val="22"/>
          <w:lang w:val="pt-BR"/>
        </w:rPr>
        <w:t xml:space="preserve"> (6)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Posljedice primijenjene razvojne strategije </w:t>
      </w:r>
      <w:r w:rsidR="00D860D8" w:rsidRPr="00844163">
        <w:rPr>
          <w:rFonts w:ascii="Arial" w:hAnsi="Arial" w:cs="Arial"/>
          <w:sz w:val="22"/>
          <w:szCs w:val="22"/>
          <w:lang w:val="pt-BR"/>
        </w:rPr>
        <w:t>Crne Gore 1945-1990.</w:t>
      </w:r>
      <w:r w:rsidR="00B507A8">
        <w:rPr>
          <w:rFonts w:ascii="Arial" w:hAnsi="Arial" w:cs="Arial"/>
          <w:sz w:val="22"/>
          <w:szCs w:val="22"/>
          <w:lang w:val="pt-BR"/>
        </w:rPr>
        <w:t xml:space="preserve">godine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(5)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Veličina zemlje kao faktor privrednog razvoja i osnovni pokazatelji prilikom formiranja SRJ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Položaj male zemlje u globalnoj ekonomiji (SWOT analiza)</w:t>
      </w:r>
    </w:p>
    <w:p w:rsidR="00FF64EB" w:rsidRPr="00844163" w:rsidRDefault="00F150D8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Proces tranzicije sistema – osnovne pretpostavke i pet ključnih elemenata</w:t>
      </w:r>
      <w:r w:rsidR="00FF64EB" w:rsidRPr="00844163">
        <w:rPr>
          <w:rFonts w:ascii="Arial" w:hAnsi="Arial" w:cs="Arial"/>
          <w:sz w:val="22"/>
          <w:szCs w:val="22"/>
          <w:lang w:val="it-IT"/>
        </w:rPr>
        <w:t xml:space="preserve"> programa </w:t>
      </w:r>
      <w:r w:rsidRPr="00844163">
        <w:rPr>
          <w:rFonts w:ascii="Arial" w:hAnsi="Arial" w:cs="Arial"/>
          <w:sz w:val="22"/>
          <w:szCs w:val="22"/>
          <w:lang w:val="it-IT"/>
        </w:rPr>
        <w:t>tranzicije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Razvojna ograničenja 90-ih godina XX vijeka (tzv. pet iskušenja</w:t>
      </w:r>
      <w:r w:rsidR="0050280B" w:rsidRPr="00844163">
        <w:rPr>
          <w:rFonts w:ascii="Arial" w:hAnsi="Arial" w:cs="Arial"/>
          <w:sz w:val="22"/>
          <w:szCs w:val="22"/>
          <w:lang w:val="it-IT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Ključni makroekonomski trendovi u Crnoj Gori tokom tranzicone recesije 90-ih godina XX vijeka</w:t>
      </w:r>
      <w:r w:rsidR="00F150D8" w:rsidRPr="0084416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Efekti tranzicione recesije: ekonomski, socijalni i etički kontekst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Osnivanje Državne zajednice Srbija i Crna Gora</w:t>
      </w:r>
      <w:r w:rsidR="00F150D8" w:rsidRPr="00844163">
        <w:rPr>
          <w:rFonts w:ascii="Arial" w:hAnsi="Arial" w:cs="Arial"/>
          <w:sz w:val="22"/>
          <w:szCs w:val="22"/>
          <w:lang w:val="pl-PL"/>
        </w:rPr>
        <w:t xml:space="preserve"> 2003.g.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– ključni dokumenti i osnov uređenja ekonomskih odnosa država članica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Razvojna politika Crne Gore u prvoj deceniji XX vijeka – tri faze reformi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Makroekonomski trendovi u uslovima ekonomske krize</w:t>
      </w:r>
      <w:r w:rsidR="00844163" w:rsidRPr="00844163">
        <w:rPr>
          <w:rFonts w:ascii="Arial" w:hAnsi="Arial" w:cs="Arial"/>
          <w:sz w:val="22"/>
          <w:szCs w:val="22"/>
          <w:lang w:val="pl-PL"/>
        </w:rPr>
        <w:t xml:space="preserve"> i pravac daljih, strukturnih reformi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Pravci razvoja Crne Gore </w:t>
      </w:r>
      <w:r w:rsidR="00B507A8">
        <w:rPr>
          <w:rFonts w:ascii="Arial" w:hAnsi="Arial" w:cs="Arial"/>
          <w:sz w:val="22"/>
          <w:szCs w:val="22"/>
          <w:lang w:val="pl-PL"/>
        </w:rPr>
        <w:t>-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kao odgovor na Strategiju Evropa 2020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unutrašnjih faktora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spoljnih faktora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Srednjoročne razvojne projekcije i ključni razvojni projekti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Crne Gore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Koji su to ključni makroekonomski indikatori dugog roka</w:t>
      </w:r>
    </w:p>
    <w:p w:rsidR="00AC4142" w:rsidRDefault="00AC4142" w:rsidP="00844163">
      <w:pPr>
        <w:rPr>
          <w:rFonts w:ascii="Arial" w:hAnsi="Arial" w:cs="Arial"/>
          <w:b/>
          <w:sz w:val="22"/>
          <w:szCs w:val="22"/>
          <w:lang w:val="pl-PL"/>
        </w:rPr>
      </w:pPr>
    </w:p>
    <w:p w:rsidR="00844163" w:rsidRPr="00844163" w:rsidRDefault="00844163" w:rsidP="00844163">
      <w:pPr>
        <w:rPr>
          <w:rFonts w:ascii="Arial" w:hAnsi="Arial" w:cs="Arial"/>
          <w:b/>
          <w:sz w:val="22"/>
          <w:szCs w:val="22"/>
          <w:lang w:val="pl-PL"/>
        </w:rPr>
      </w:pPr>
      <w:r w:rsidRPr="00844163">
        <w:rPr>
          <w:rFonts w:ascii="Arial" w:hAnsi="Arial" w:cs="Arial"/>
          <w:b/>
          <w:sz w:val="22"/>
          <w:szCs w:val="22"/>
          <w:lang w:val="pl-PL"/>
        </w:rPr>
        <w:t>II. EVROPSKA UNIJA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Integracija u evropske i evroatlanske strukture kao strateški spoljnopolitički prioritet (osnovni ciljevi)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Motivi integracija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Hronologija evropskih integracija kroz evropske ugovore (od </w:t>
      </w:r>
      <w:r w:rsidR="00844163">
        <w:rPr>
          <w:rFonts w:ascii="Arial" w:hAnsi="Arial" w:cs="Arial"/>
          <w:sz w:val="22"/>
          <w:szCs w:val="22"/>
          <w:lang w:val="sv-SE"/>
        </w:rPr>
        <w:t>Šumanove deklaracije do Lisabonskog ugovora</w:t>
      </w:r>
      <w:r w:rsidRPr="00844163">
        <w:rPr>
          <w:rFonts w:ascii="Arial" w:hAnsi="Arial" w:cs="Arial"/>
          <w:sz w:val="22"/>
          <w:szCs w:val="22"/>
          <w:lang w:val="sv-SE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ciljevi osnivanja EEZ i Euroatoma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(Evropske zajednice)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Osnovne karakteristike: Mastriht, Amsterdam, Nica i Ustav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Prvi i drugi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6 do10)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Treći i četvrti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10 do 15)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Peti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15 do 25 odnosno 27)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lastRenderedPageBreak/>
        <w:t xml:space="preserve">Lisabonski ugovor </w:t>
      </w:r>
      <w:r w:rsidR="00844163">
        <w:rPr>
          <w:rFonts w:ascii="Arial" w:hAnsi="Arial" w:cs="Arial"/>
          <w:sz w:val="22"/>
          <w:szCs w:val="22"/>
          <w:lang w:val="sv-SE"/>
        </w:rPr>
        <w:t xml:space="preserve">– osnovne novine koje donosi Evropskoj uniji kao nadnacionalnoj organizacije evropskih država </w:t>
      </w:r>
      <w:r w:rsidR="00844163" w:rsidRPr="00844163">
        <w:rPr>
          <w:rFonts w:ascii="Arial" w:hAnsi="Arial" w:cs="Arial"/>
          <w:i/>
          <w:sz w:val="22"/>
          <w:szCs w:val="22"/>
          <w:lang w:val="sv-SE"/>
        </w:rPr>
        <w:t>sui generis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Vrijednosti i ciljevi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principi pravnog poretka</w:t>
      </w:r>
      <w:r w:rsidR="00D65086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Pravna tekovina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Jedinstveni institucionalni okvir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</w:t>
      </w:r>
      <w:r w:rsidR="006A301E" w:rsidRPr="00844163">
        <w:rPr>
          <w:rFonts w:ascii="Arial" w:hAnsi="Arial" w:cs="Arial"/>
          <w:sz w:val="22"/>
          <w:szCs w:val="22"/>
          <w:lang w:val="sv-SE"/>
        </w:rPr>
        <w:t xml:space="preserve">ropski parlament 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Evropski savjet i Savjet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Evropska komisija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Evropska centralna banka (ECB) i Euro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Sud pravde EU i Revizorski sud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 xml:space="preserve">Perspektive daljeg 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širenja </w:t>
      </w:r>
      <w:r w:rsidRPr="001775FC">
        <w:rPr>
          <w:rFonts w:ascii="Arial" w:hAnsi="Arial" w:cs="Arial"/>
          <w:sz w:val="22"/>
          <w:szCs w:val="22"/>
          <w:lang w:val="sv-SE"/>
        </w:rPr>
        <w:t>EU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>Perspektive daljeg</w:t>
      </w:r>
      <w:r w:rsidR="009E1631" w:rsidRPr="001775FC">
        <w:rPr>
          <w:rFonts w:ascii="Arial" w:hAnsi="Arial" w:cs="Arial"/>
          <w:sz w:val="22"/>
          <w:szCs w:val="22"/>
          <w:lang w:val="sv-SE"/>
        </w:rPr>
        <w:t xml:space="preserve"> </w:t>
      </w:r>
      <w:r w:rsidR="009E1631" w:rsidRPr="00D00525">
        <w:rPr>
          <w:rFonts w:ascii="Arial" w:hAnsi="Arial" w:cs="Arial"/>
          <w:b/>
          <w:sz w:val="22"/>
          <w:szCs w:val="22"/>
          <w:lang w:val="sv-SE"/>
        </w:rPr>
        <w:t>jačanja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1775FC">
        <w:rPr>
          <w:rFonts w:ascii="Arial" w:hAnsi="Arial" w:cs="Arial"/>
          <w:sz w:val="22"/>
          <w:szCs w:val="22"/>
          <w:lang w:val="sv-SE"/>
        </w:rPr>
        <w:t>E</w:t>
      </w:r>
      <w:r w:rsidR="001775FC">
        <w:rPr>
          <w:rFonts w:ascii="Arial" w:hAnsi="Arial" w:cs="Arial"/>
          <w:sz w:val="22"/>
          <w:szCs w:val="22"/>
          <w:lang w:val="sv-SE"/>
        </w:rPr>
        <w:t>vropske unije</w:t>
      </w:r>
    </w:p>
    <w:p w:rsidR="006B598F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EU: osnovni demografski i ekonomski indikatori</w:t>
      </w:r>
    </w:p>
    <w:p w:rsidR="00AC4142" w:rsidRDefault="00AC4142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  <w:r w:rsidRPr="004E34CE">
        <w:rPr>
          <w:rFonts w:ascii="Arial" w:hAnsi="Arial" w:cs="Arial"/>
          <w:b/>
          <w:sz w:val="22"/>
          <w:szCs w:val="22"/>
          <w:lang w:val="sv-SE"/>
        </w:rPr>
        <w:t>III. EU: STRATEGIJA RAZVOJA I KOORDINACIJA EKONOMSKIH POLITIKA U USLOVIMA EKONOMSKE KRIZE</w:t>
      </w:r>
    </w:p>
    <w:p w:rsidR="00834134" w:rsidRPr="004E34CE" w:rsidRDefault="00834134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Kategorizacija EU država po nivou zaduženosti</w:t>
      </w: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Demografska i ekonomska snaga država članica EU (prostor i za male države članice)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Grupisanje država članica: geografsko, po dinamici pristupanja, po ekono</w:t>
      </w:r>
      <w:r w:rsidR="00C97D8A" w:rsidRPr="00844163">
        <w:rPr>
          <w:rFonts w:ascii="Arial" w:hAnsi="Arial" w:cs="Arial"/>
          <w:sz w:val="22"/>
          <w:szCs w:val="22"/>
          <w:lang w:val="sv-SE"/>
        </w:rPr>
        <w:t>m</w:t>
      </w:r>
      <w:r w:rsidRPr="00844163">
        <w:rPr>
          <w:rFonts w:ascii="Arial" w:hAnsi="Arial" w:cs="Arial"/>
          <w:sz w:val="22"/>
          <w:szCs w:val="22"/>
          <w:lang w:val="sv-SE"/>
        </w:rPr>
        <w:t>skoj razvijenosti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Ciljevi Razvojne strategije Evropa 2020</w:t>
      </w:r>
    </w:p>
    <w:p w:rsidR="006B598F" w:rsidRPr="00844163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Razvojna strategija</w:t>
      </w:r>
      <w:r w:rsidR="006B598F" w:rsidRPr="00844163">
        <w:rPr>
          <w:rFonts w:ascii="Arial" w:hAnsi="Arial" w:cs="Arial"/>
          <w:sz w:val="22"/>
          <w:szCs w:val="22"/>
          <w:lang w:val="it-IT"/>
        </w:rPr>
        <w:t xml:space="preserve"> Evropa 2020</w:t>
      </w:r>
      <w:r>
        <w:rPr>
          <w:rFonts w:ascii="Arial" w:hAnsi="Arial" w:cs="Arial"/>
          <w:sz w:val="22"/>
          <w:szCs w:val="22"/>
          <w:lang w:val="it-IT"/>
        </w:rPr>
        <w:t>: tri prioriteta</w:t>
      </w:r>
    </w:p>
    <w:p w:rsidR="00AC1BCE" w:rsidRPr="00844163" w:rsidRDefault="00AC1B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Inicijative Razvojne strategije Evropa 2020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– sedam inicijativa za II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dekadu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XX stolj</w:t>
      </w:r>
      <w:r w:rsidR="00B507A8">
        <w:rPr>
          <w:rFonts w:ascii="Arial" w:hAnsi="Arial" w:cs="Arial"/>
          <w:sz w:val="22"/>
          <w:szCs w:val="22"/>
          <w:lang w:val="sr-Latn-ME"/>
        </w:rPr>
        <w:t>eća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Pristup koordinaciji ekonomskih politika na nadnacionalnom nivou (prije Lisabona</w:t>
      </w:r>
      <w:r w:rsidR="004E34CE">
        <w:rPr>
          <w:rFonts w:ascii="Arial" w:hAnsi="Arial" w:cs="Arial"/>
          <w:sz w:val="22"/>
          <w:szCs w:val="22"/>
          <w:lang w:val="it-IT"/>
        </w:rPr>
        <w:t>, specijalni proceduralni mehanizmi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) 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Podjela nadležnosti u vođenju politika između Evropske komisije i država članica EU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Smjernice ekonomske politike u Strategiji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(opšta institucionalna strutura i integrisane smjernice)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Novo ekonomsko upravljanje u uslovima krize – osnovne odrednice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Instrumenti finansijskog nadzora i privremeni instrumenti za obezbjedjenje finansijske stabilnosti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(u okviru modela novog ekonomskog upravljanja EU)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mehanizam za stabilnost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Programi finansijske podrške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za države članice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 </w:t>
      </w:r>
      <w:r w:rsidR="004E34CE">
        <w:rPr>
          <w:rFonts w:ascii="Arial" w:hAnsi="Arial" w:cs="Arial"/>
          <w:sz w:val="22"/>
          <w:szCs w:val="22"/>
          <w:lang w:val="it-IT"/>
        </w:rPr>
        <w:t>(El, PT, IE, ES, CY)</w:t>
      </w:r>
    </w:p>
    <w:p w:rsidR="006B598F" w:rsidRPr="00844163" w:rsidRDefault="006B598F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semestar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osnovne faze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Fiskalni nadzor u mehanizmu novog ekonomskog upravljanja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Nadzor makroekonomskih politika i strukturnih reformi (preventivna i korektivna akcija)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Evropski fiskalni pakt</w:t>
      </w:r>
      <w:r w:rsidR="00906D56">
        <w:rPr>
          <w:rFonts w:ascii="Arial" w:hAnsi="Arial" w:cs="Arial"/>
          <w:sz w:val="22"/>
          <w:szCs w:val="22"/>
          <w:lang w:val="pl-PL"/>
        </w:rPr>
        <w:t xml:space="preserve"> (Fiskalni ugovor) </w:t>
      </w:r>
      <w:r w:rsidR="004E34CE">
        <w:rPr>
          <w:rFonts w:ascii="Arial" w:hAnsi="Arial" w:cs="Arial"/>
          <w:sz w:val="22"/>
          <w:szCs w:val="22"/>
          <w:lang w:val="pl-PL"/>
        </w:rPr>
        <w:t xml:space="preserve"> – osnovne kara</w:t>
      </w:r>
      <w:r w:rsidR="00823145" w:rsidRPr="00844163">
        <w:rPr>
          <w:rFonts w:ascii="Arial" w:hAnsi="Arial" w:cs="Arial"/>
          <w:sz w:val="22"/>
          <w:szCs w:val="22"/>
          <w:lang w:val="pl-PL"/>
        </w:rPr>
        <w:t>k</w:t>
      </w:r>
      <w:r w:rsidR="004E34CE">
        <w:rPr>
          <w:rFonts w:ascii="Arial" w:hAnsi="Arial" w:cs="Arial"/>
          <w:sz w:val="22"/>
          <w:szCs w:val="22"/>
          <w:lang w:val="pl-PL"/>
        </w:rPr>
        <w:t>t</w:t>
      </w:r>
      <w:r w:rsidR="00823145" w:rsidRPr="00844163">
        <w:rPr>
          <w:rFonts w:ascii="Arial" w:hAnsi="Arial" w:cs="Arial"/>
          <w:sz w:val="22"/>
          <w:szCs w:val="22"/>
          <w:lang w:val="pl-PL"/>
        </w:rPr>
        <w:t>eristike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Prioriteti za rast i zaposlenost </w:t>
      </w:r>
      <w:r w:rsidR="00CC4E07" w:rsidRPr="00844163">
        <w:rPr>
          <w:rFonts w:ascii="Arial" w:hAnsi="Arial" w:cs="Arial"/>
          <w:sz w:val="22"/>
          <w:szCs w:val="22"/>
          <w:lang w:val="pl-PL"/>
        </w:rPr>
        <w:t>(fiskalna konsolidacija, banke, konkurentnost)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Prioriteti za rast i zaposlenost (nezaposlenost, socijala politika, javna administracija)</w:t>
      </w:r>
    </w:p>
    <w:p w:rsidR="00906D56" w:rsidRDefault="00CC4E07" w:rsidP="00906D56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Četiri ključne oblasti na koje se odnose preporuke za države članice EU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(evropski semestar)</w:t>
      </w:r>
    </w:p>
    <w:p w:rsidR="00906D56" w:rsidRPr="00906D56" w:rsidRDefault="00906D56" w:rsidP="00906D56">
      <w:pPr>
        <w:numPr>
          <w:ilvl w:val="0"/>
          <w:numId w:val="1"/>
        </w:numPr>
        <w:tabs>
          <w:tab w:val="clear" w:pos="720"/>
          <w:tab w:val="num" w:pos="851"/>
        </w:tabs>
        <w:ind w:left="851" w:hanging="518"/>
        <w:jc w:val="both"/>
        <w:rPr>
          <w:rFonts w:ascii="Arial" w:hAnsi="Arial" w:cs="Arial"/>
          <w:sz w:val="22"/>
          <w:szCs w:val="22"/>
          <w:lang w:val="it-IT"/>
        </w:rPr>
      </w:pPr>
      <w:r w:rsidRPr="00906D56">
        <w:rPr>
          <w:rFonts w:ascii="Arial" w:hAnsi="Arial" w:cs="Arial"/>
          <w:sz w:val="22"/>
          <w:szCs w:val="22"/>
          <w:lang w:val="it-IT"/>
        </w:rPr>
        <w:t xml:space="preserve">Objasni pojam </w:t>
      </w:r>
      <w:r w:rsidRPr="00906D56">
        <w:rPr>
          <w:rFonts w:ascii="Arial" w:hAnsi="Arial" w:cs="Arial"/>
          <w:b/>
          <w:sz w:val="22"/>
          <w:szCs w:val="22"/>
          <w:lang w:val="it-IT"/>
        </w:rPr>
        <w:t>Bankarske unije</w:t>
      </w:r>
      <w:r w:rsidRPr="00906D56">
        <w:rPr>
          <w:rFonts w:ascii="Arial" w:hAnsi="Arial" w:cs="Arial"/>
          <w:sz w:val="22"/>
          <w:szCs w:val="22"/>
          <w:lang w:val="it-IT"/>
        </w:rPr>
        <w:t>, koja nastaje 2014.g. (PPT 16)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Ključni ekonomski indikatori dužničke krize zemalja EU i eurozone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(nezaposlenost, javni dug, budžetski deficit – trendovi)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Pojam kriznog i pragmatičnog federalizma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(analiza krize povjerenja i krize dugova unutar EU, novi predlozi)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C4E07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Refleksije ekonomskog upravljanja EU na države kandidate</w:t>
      </w:r>
    </w:p>
    <w:p w:rsidR="00252E9E" w:rsidRDefault="00252E9E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Nacionalni program ekonomskih </w:t>
      </w:r>
      <w:r w:rsidR="00C00B9D">
        <w:rPr>
          <w:rFonts w:ascii="Arial" w:hAnsi="Arial" w:cs="Arial"/>
          <w:sz w:val="22"/>
          <w:szCs w:val="22"/>
          <w:lang w:val="pl-PL"/>
        </w:rPr>
        <w:t>reformi (ključne sektorske stru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C00B9D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>urne reforme)</w:t>
      </w:r>
    </w:p>
    <w:p w:rsidR="00AC4142" w:rsidRDefault="00AC4142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52E9E" w:rsidRDefault="00252E9E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52E9E">
        <w:rPr>
          <w:rFonts w:ascii="Arial" w:hAnsi="Arial" w:cs="Arial"/>
          <w:b/>
          <w:sz w:val="22"/>
          <w:szCs w:val="22"/>
          <w:lang w:val="pl-PL"/>
        </w:rPr>
        <w:lastRenderedPageBreak/>
        <w:t>IV. EVORPSKA UNIJA I ZEMLJE ZAPADNOG BALKANA</w:t>
      </w:r>
    </w:p>
    <w:p w:rsidR="00834134" w:rsidRPr="00252E9E" w:rsidRDefault="00834134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Kriterijumi pristupanja EU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Proces stabilizacije i pridruživanja (PSP)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Novi okvir poliltike proširenja EU</w:t>
      </w:r>
    </w:p>
    <w:p w:rsidR="00823145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Evropska perspektiva zemalja Zapadnog Balkana – osnovne faze procesa </w:t>
      </w:r>
      <w:r w:rsidR="00823145" w:rsidRPr="00844163">
        <w:rPr>
          <w:rFonts w:ascii="Arial" w:hAnsi="Arial" w:cs="Arial"/>
          <w:sz w:val="22"/>
          <w:szCs w:val="22"/>
          <w:lang w:val="pl-PL"/>
        </w:rPr>
        <w:t>stabilzacije i pridruživanja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</w:t>
      </w:r>
      <w:r w:rsidR="00252E9E" w:rsidRPr="0011170D">
        <w:rPr>
          <w:rFonts w:ascii="Arial" w:hAnsi="Arial" w:cs="Arial"/>
          <w:i/>
          <w:sz w:val="22"/>
          <w:szCs w:val="22"/>
          <w:lang w:val="pl-PL"/>
        </w:rPr>
        <w:t>Tabela procesa stabilizacije i pridruživanja predstavlja faze procesa u prvoj koloni</w:t>
      </w:r>
      <w:r w:rsidR="00252E9E">
        <w:rPr>
          <w:rFonts w:ascii="Arial" w:hAnsi="Arial" w:cs="Arial"/>
          <w:sz w:val="22"/>
          <w:szCs w:val="22"/>
          <w:lang w:val="pl-PL"/>
        </w:rPr>
        <w:t>)</w:t>
      </w:r>
    </w:p>
    <w:p w:rsidR="00CC4E07" w:rsidRPr="00844163" w:rsidRDefault="00823145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Evropska perspektiva zemalja Zapadnog Balkana -</w:t>
      </w:r>
      <w:r w:rsidR="00CC4E07" w:rsidRPr="00844163">
        <w:rPr>
          <w:rFonts w:ascii="Arial" w:hAnsi="Arial" w:cs="Arial"/>
          <w:sz w:val="22"/>
          <w:szCs w:val="22"/>
          <w:lang w:val="pl-PL"/>
        </w:rPr>
        <w:t xml:space="preserve"> dinamika integracija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zemalja regiona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(zemlje kandidati za članstvo i zemlje potencijalni kandidati)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Koja su tri ključna izazova koja se nalaze u strategiji proširenja EU, upućena kandidatima i potencijalnim kadidatima za članstvo u Uniji</w:t>
      </w:r>
    </w:p>
    <w:p w:rsidR="00CC4E07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="00CC4E07" w:rsidRPr="00844163">
        <w:rPr>
          <w:rFonts w:ascii="Arial" w:hAnsi="Arial" w:cs="Arial"/>
          <w:sz w:val="22"/>
          <w:szCs w:val="22"/>
          <w:lang w:val="pl-PL"/>
        </w:rPr>
        <w:t>inamika pristupnih pregovora</w:t>
      </w:r>
      <w:r>
        <w:rPr>
          <w:rFonts w:ascii="Arial" w:hAnsi="Arial" w:cs="Arial"/>
          <w:sz w:val="22"/>
          <w:szCs w:val="22"/>
          <w:lang w:val="pl-PL"/>
        </w:rPr>
        <w:t xml:space="preserve"> (ko pregovara članstvo u Uniji u našem regionu?)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834134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A04B3F">
        <w:rPr>
          <w:rFonts w:ascii="Arial" w:hAnsi="Arial" w:cs="Arial"/>
          <w:b/>
          <w:sz w:val="22"/>
          <w:szCs w:val="22"/>
          <w:lang w:val="pl-PL"/>
        </w:rPr>
        <w:t>V. EVROPSKA UNIJA I CRNA GORA</w:t>
      </w:r>
      <w:r w:rsidR="00D65086">
        <w:rPr>
          <w:rFonts w:ascii="Arial" w:hAnsi="Arial" w:cs="Arial"/>
          <w:b/>
          <w:sz w:val="22"/>
          <w:szCs w:val="22"/>
          <w:lang w:val="pl-PL"/>
        </w:rPr>
        <w:t xml:space="preserve">         </w:t>
      </w:r>
    </w:p>
    <w:p w:rsidR="00252E9E" w:rsidRPr="00A04B3F" w:rsidRDefault="00D65086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Faze procesa evropskih integracija Crne Gore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 </w:t>
      </w:r>
      <w:r w:rsidR="00B507A8">
        <w:rPr>
          <w:rFonts w:ascii="Arial" w:hAnsi="Arial" w:cs="Arial"/>
          <w:sz w:val="22"/>
          <w:szCs w:val="22"/>
          <w:lang w:val="pl-PL"/>
        </w:rPr>
        <w:t>priprema za pregov</w:t>
      </w:r>
      <w:r w:rsidR="00252E9E">
        <w:rPr>
          <w:rFonts w:ascii="Arial" w:hAnsi="Arial" w:cs="Arial"/>
          <w:sz w:val="22"/>
          <w:szCs w:val="22"/>
          <w:lang w:val="pl-PL"/>
        </w:rPr>
        <w:t xml:space="preserve">ore: 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tim, </w:t>
      </w:r>
      <w:r w:rsidRPr="00844163">
        <w:rPr>
          <w:rFonts w:ascii="Arial" w:hAnsi="Arial" w:cs="Arial"/>
          <w:sz w:val="22"/>
          <w:szCs w:val="22"/>
          <w:lang w:val="pl-PL"/>
        </w:rPr>
        <w:t>platforma</w:t>
      </w:r>
      <w:r w:rsidR="000C795F" w:rsidRPr="00844163">
        <w:rPr>
          <w:rFonts w:ascii="Arial" w:hAnsi="Arial" w:cs="Arial"/>
          <w:sz w:val="22"/>
          <w:szCs w:val="22"/>
          <w:lang w:val="pl-PL"/>
        </w:rPr>
        <w:t>, model izvještavanja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 tok pregovora i struktura ispregovaranog sporazuma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industrijske proizvode – kategorizacija i dinamika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poljoprivredne proizvode – kategorizacija i dinamika</w:t>
      </w:r>
    </w:p>
    <w:p w:rsidR="000C795F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Najosjetljiviji poljoprivredni proizvodi i nivo carinske zaštite koji ostaje do punopravnog članstva (zaštita poljoprivredne proizvodnje u 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Kvote u Sporazumu o stabilizaciji i pridruživanju</w:t>
      </w:r>
    </w:p>
    <w:p w:rsidR="00CC4E07" w:rsidRPr="004A0FF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Model „5+5”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Mehanizam praćenja sprovođenja Sporazuma o stabilizaciji i pridruživanju</w:t>
      </w:r>
    </w:p>
    <w:p w:rsidR="00CC4E07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Kandidatura za članstvo u Uniji – mapa puta od statusa zemlje potencijalnog kandidata do statusa zemlje kandidata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Mišljenje Evropske komisije</w:t>
      </w:r>
      <w:r w:rsidR="00A04B3F">
        <w:rPr>
          <w:rFonts w:ascii="Arial" w:hAnsi="Arial" w:cs="Arial"/>
          <w:sz w:val="22"/>
          <w:szCs w:val="22"/>
          <w:lang w:val="pl-PL"/>
        </w:rPr>
        <w:t xml:space="preserve"> o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spremnosti Crne Gore da pregovara članstvo u Evropskoj uniji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(2010)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Uslovna odluka o početku pristupnih pregovora sa Crnom Gorom (</w:t>
      </w:r>
      <w:r w:rsidRPr="00FD1C0A">
        <w:rPr>
          <w:rFonts w:ascii="Arial" w:hAnsi="Arial" w:cs="Arial"/>
          <w:sz w:val="22"/>
          <w:szCs w:val="22"/>
          <w:lang w:val="pl-PL"/>
        </w:rPr>
        <w:t>2011)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Početak pristupnih pregovora Crne Gore i EU – pregovaračka struktura</w:t>
      </w:r>
      <w:r w:rsidR="004A0FF3" w:rsidRPr="00FD1C0A">
        <w:rPr>
          <w:rFonts w:ascii="Arial" w:hAnsi="Arial" w:cs="Arial"/>
          <w:sz w:val="22"/>
          <w:szCs w:val="22"/>
          <w:lang w:val="pl-PL"/>
        </w:rPr>
        <w:t xml:space="preserve"> (NAVESTI VAZECU STRUKTURU SA SLAJDA)</w:t>
      </w:r>
    </w:p>
    <w:p w:rsidR="00A04B3F" w:rsidRPr="00FD1C0A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Pregovaračka pozicija EU (Zajednički pregovarački okvir država članica EU u pregovorima o pristupanju Crne Gore u EU)</w:t>
      </w:r>
    </w:p>
    <w:p w:rsidR="00A04B3F" w:rsidRPr="00FD1C0A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Generalna pozicija Crne Gore za pregovore sa EU</w:t>
      </w:r>
    </w:p>
    <w:p w:rsidR="009E1631" w:rsidRPr="00FD1C0A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Faze pristupnog procesa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Status pristupnih pregovora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>Crne Gore sa Evropskom unijom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Sljedeće faze pristupnog procesa do punopravnog članstva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 xml:space="preserve">Crne Gore </w:t>
      </w:r>
      <w:r w:rsidRPr="00FD1C0A">
        <w:rPr>
          <w:rFonts w:ascii="Arial" w:hAnsi="Arial" w:cs="Arial"/>
          <w:sz w:val="22"/>
          <w:szCs w:val="22"/>
          <w:lang w:val="pl-PL"/>
        </w:rPr>
        <w:t>u EU</w:t>
      </w:r>
    </w:p>
    <w:p w:rsidR="009E1631" w:rsidRPr="00FD1C0A" w:rsidRDefault="00B507A8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Ključni izazovi u naredni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m </w:t>
      </w:r>
      <w:r w:rsidRPr="00FD1C0A">
        <w:rPr>
          <w:rFonts w:ascii="Arial" w:hAnsi="Arial" w:cs="Arial"/>
          <w:sz w:val="22"/>
          <w:szCs w:val="22"/>
          <w:lang w:val="pl-PL"/>
        </w:rPr>
        <w:t>fazama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 procesa evrointegracija</w:t>
      </w:r>
      <w:r w:rsidR="00D65086" w:rsidRPr="00FD1C0A">
        <w:rPr>
          <w:rFonts w:ascii="Arial" w:hAnsi="Arial" w:cs="Arial"/>
          <w:sz w:val="22"/>
          <w:szCs w:val="22"/>
          <w:lang w:val="pl-PL"/>
        </w:rPr>
        <w:t xml:space="preserve"> Crne Gore u EU</w:t>
      </w:r>
    </w:p>
    <w:sectPr w:rsidR="009E1631" w:rsidRPr="00FD1C0A" w:rsidSect="00B507A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37E"/>
    <w:multiLevelType w:val="hybridMultilevel"/>
    <w:tmpl w:val="EEC24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148C"/>
    <w:multiLevelType w:val="hybridMultilevel"/>
    <w:tmpl w:val="E1A2A54C"/>
    <w:lvl w:ilvl="0" w:tplc="FC3C4802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571C3"/>
    <w:multiLevelType w:val="hybridMultilevel"/>
    <w:tmpl w:val="4ACE2534"/>
    <w:lvl w:ilvl="0" w:tplc="FC3C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52504"/>
    <w:multiLevelType w:val="hybridMultilevel"/>
    <w:tmpl w:val="237A4BA4"/>
    <w:lvl w:ilvl="0" w:tplc="37A4DDA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EB"/>
    <w:rsid w:val="00001D75"/>
    <w:rsid w:val="000C795F"/>
    <w:rsid w:val="0011170D"/>
    <w:rsid w:val="0013583D"/>
    <w:rsid w:val="001434C1"/>
    <w:rsid w:val="001775FC"/>
    <w:rsid w:val="00244B2D"/>
    <w:rsid w:val="00252E9E"/>
    <w:rsid w:val="002F6A4E"/>
    <w:rsid w:val="00331DDB"/>
    <w:rsid w:val="00366A28"/>
    <w:rsid w:val="003804D5"/>
    <w:rsid w:val="003A3A81"/>
    <w:rsid w:val="003D4647"/>
    <w:rsid w:val="003E3B89"/>
    <w:rsid w:val="00466C21"/>
    <w:rsid w:val="004A0FF3"/>
    <w:rsid w:val="004C7EB0"/>
    <w:rsid w:val="004E34CE"/>
    <w:rsid w:val="0050280B"/>
    <w:rsid w:val="00543025"/>
    <w:rsid w:val="0058152D"/>
    <w:rsid w:val="006A301E"/>
    <w:rsid w:val="006A42E7"/>
    <w:rsid w:val="006B598F"/>
    <w:rsid w:val="00702226"/>
    <w:rsid w:val="00702B0B"/>
    <w:rsid w:val="007C282A"/>
    <w:rsid w:val="007D4786"/>
    <w:rsid w:val="00823145"/>
    <w:rsid w:val="00824DF3"/>
    <w:rsid w:val="00834134"/>
    <w:rsid w:val="00844163"/>
    <w:rsid w:val="00895953"/>
    <w:rsid w:val="008E7F45"/>
    <w:rsid w:val="00906D56"/>
    <w:rsid w:val="009126EC"/>
    <w:rsid w:val="00934DDD"/>
    <w:rsid w:val="009E1631"/>
    <w:rsid w:val="009E6791"/>
    <w:rsid w:val="00A04B3F"/>
    <w:rsid w:val="00A25EEF"/>
    <w:rsid w:val="00A3039B"/>
    <w:rsid w:val="00A6165E"/>
    <w:rsid w:val="00AC1BCE"/>
    <w:rsid w:val="00AC4142"/>
    <w:rsid w:val="00AF49AB"/>
    <w:rsid w:val="00B507A8"/>
    <w:rsid w:val="00BC456C"/>
    <w:rsid w:val="00BC5DB0"/>
    <w:rsid w:val="00C00B9D"/>
    <w:rsid w:val="00C06909"/>
    <w:rsid w:val="00C97D8A"/>
    <w:rsid w:val="00CC4E07"/>
    <w:rsid w:val="00D00525"/>
    <w:rsid w:val="00D65086"/>
    <w:rsid w:val="00D860D8"/>
    <w:rsid w:val="00DF7AAD"/>
    <w:rsid w:val="00F150D8"/>
    <w:rsid w:val="00F40DBE"/>
    <w:rsid w:val="00F659EB"/>
    <w:rsid w:val="00FD1C0A"/>
    <w:rsid w:val="00FD7631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1389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MEOIEI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Gordana Djurovic</dc:creator>
  <cp:lastModifiedBy>Gordana Djurovic</cp:lastModifiedBy>
  <cp:revision>9</cp:revision>
  <cp:lastPrinted>2019-12-22T08:59:00Z</cp:lastPrinted>
  <dcterms:created xsi:type="dcterms:W3CDTF">2019-12-21T09:37:00Z</dcterms:created>
  <dcterms:modified xsi:type="dcterms:W3CDTF">2019-12-22T08:59:00Z</dcterms:modified>
</cp:coreProperties>
</file>