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1A" w:rsidRDefault="00D12E1A" w:rsidP="00D12E1A">
      <w:bookmarkStart w:id="0" w:name="_GoBack"/>
      <w:bookmarkEnd w:id="0"/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Značaj i zadaci građanskog sudskog postupka (str. 47-53 / </w:t>
      </w:r>
      <w:r w:rsidRPr="00D12E1A">
        <w:rPr>
          <w:b/>
        </w:rPr>
        <w:t>br. 23-26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Spor i parnica (str. 56-60)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O pravnoj prirodi parnice (str. 57-60)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Pravo na sudsku zaštitu (str. 61-67 /</w:t>
      </w:r>
      <w:r w:rsidR="00ED4172">
        <w:t xml:space="preserve"> </w:t>
      </w:r>
      <w:r w:rsidRPr="00D12E1A">
        <w:rPr>
          <w:b/>
        </w:rPr>
        <w:t>br. 89-98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Građansko sudski postupak i upravni postupak (str. 70-75 / </w:t>
      </w:r>
      <w:r w:rsidRPr="00D12E1A">
        <w:rPr>
          <w:b/>
        </w:rPr>
        <w:t>br. 142-154</w:t>
      </w:r>
      <w:r>
        <w:t>)</w:t>
      </w:r>
    </w:p>
    <w:p w:rsidR="00EA4A0B" w:rsidRDefault="00D12E1A" w:rsidP="00EA4A0B">
      <w:pPr>
        <w:pStyle w:val="ListParagraph"/>
        <w:numPr>
          <w:ilvl w:val="0"/>
          <w:numId w:val="1"/>
        </w:numPr>
      </w:pPr>
      <w:r>
        <w:t>Građansko sudski postupak i krivični postupak</w:t>
      </w:r>
      <w:r w:rsidR="00EA4A0B">
        <w:t>; tačke dodira (str. 77-80</w:t>
      </w:r>
      <w:r>
        <w:t>)</w:t>
      </w:r>
    </w:p>
    <w:p w:rsidR="00EA4A0B" w:rsidRDefault="00EA4A0B" w:rsidP="00EA4A0B">
      <w:pPr>
        <w:pStyle w:val="ListParagraph"/>
        <w:numPr>
          <w:ilvl w:val="0"/>
          <w:numId w:val="1"/>
        </w:numPr>
      </w:pPr>
      <w:r>
        <w:t>Dejstvo presude krivičnog suda u građansko sudskom postupku (str. 80-84)</w:t>
      </w:r>
    </w:p>
    <w:p w:rsidR="00EA4A0B" w:rsidRDefault="00EA4A0B" w:rsidP="00EA4A0B">
      <w:pPr>
        <w:pStyle w:val="ListParagraph"/>
        <w:numPr>
          <w:ilvl w:val="0"/>
          <w:numId w:val="1"/>
        </w:numPr>
      </w:pPr>
      <w:r>
        <w:t>Krivično djelo kao prethodno pitanje u građanskom postupku; činjenično dejstvo presude krivičnog suda; dejstvo presude građanskog suda u k. Postupku (str. 84-86)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Građansko sudski postupak i vanparnični postupak (str. 86-91)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Ustav CG i EKLjP kao izvor građanskog procesnog prava (str. 93-111)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Sudska praksa kao izvor građanskog procesnog prava? (str. 116-119)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Važenje normi građansko sudskog postupka (</w:t>
      </w:r>
      <w:r>
        <w:rPr>
          <w:i/>
        </w:rPr>
        <w:t>ratione loci, rationae personae, ratione temporis</w:t>
      </w:r>
      <w:r>
        <w:t xml:space="preserve">) (str. 120-123).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Sud i ogranizacija sudova u Crnoj Gori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Nezavisnost sudova </w:t>
      </w:r>
      <w:r w:rsidR="00C26455">
        <w:t>i sudije (str. 131-137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Izuzeće sudije (str. 138-145</w:t>
      </w:r>
      <w:r w:rsidR="003A28A7">
        <w:t xml:space="preserve"> /</w:t>
      </w:r>
      <w:r w:rsidR="003A28A7" w:rsidRPr="003A28A7">
        <w:rPr>
          <w:b/>
        </w:rPr>
        <w:t>br. 509-518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Državni dužilac u parnici (str. 147-151</w:t>
      </w:r>
      <w:r w:rsidR="00714198">
        <w:t xml:space="preserve"> / </w:t>
      </w:r>
      <w:r w:rsidR="00714198" w:rsidRPr="00714198">
        <w:rPr>
          <w:b/>
        </w:rPr>
        <w:t>br. 545-552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Organ starateljstva u parnici (str. 151-152)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Ad</w:t>
      </w:r>
      <w:r>
        <w:rPr>
          <w:lang w:val="sr-Latn-BA"/>
        </w:rPr>
        <w:t>v</w:t>
      </w:r>
      <w:r w:rsidR="00F14FF8">
        <w:t>okatura, Zakon o advokaturi, Etički kodeks (str. 153-156</w:t>
      </w:r>
      <w:r>
        <w:t>)</w:t>
      </w:r>
    </w:p>
    <w:p w:rsidR="00714198" w:rsidRDefault="00714198" w:rsidP="00D12E1A">
      <w:pPr>
        <w:pStyle w:val="ListParagraph"/>
        <w:numPr>
          <w:ilvl w:val="0"/>
          <w:numId w:val="1"/>
        </w:numPr>
      </w:pPr>
      <w:r>
        <w:t>Odnos advokata i klijenta, profesionalna odgovornost advokata (</w:t>
      </w:r>
      <w:r w:rsidR="00F14FF8">
        <w:t>156-157)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Notarijat </w:t>
      </w:r>
      <w:r w:rsidR="00ED4172">
        <w:t xml:space="preserve">/ Zakon o notarima CG </w:t>
      </w:r>
      <w:r>
        <w:t>(str. 158-162)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Struktura parničnog postupka i struktura ZPP-a (str. 165-168)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Načelo dispozicije /odstupanja (str. 169-175)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Raspravno načelo/ odstupanja (str. 175-189</w:t>
      </w:r>
      <w:r w:rsidR="00F14FF8">
        <w:t xml:space="preserve">, </w:t>
      </w:r>
      <w:r w:rsidR="00F14FF8" w:rsidRPr="00F14FF8">
        <w:rPr>
          <w:b/>
        </w:rPr>
        <w:t>br. 725-729</w:t>
      </w:r>
      <w:r>
        <w:t xml:space="preserve">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Načelo kombinacije usmenosti i pismenosti (str. 189-192)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Načelo neposrednosti (str. 193-194</w:t>
      </w:r>
      <w:r w:rsidR="004F4750">
        <w:t xml:space="preserve">, </w:t>
      </w:r>
      <w:r w:rsidR="004F4750" w:rsidRPr="004F4750">
        <w:rPr>
          <w:b/>
        </w:rPr>
        <w:t>br. 762-763</w:t>
      </w:r>
      <w:r>
        <w:t xml:space="preserve">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Načelo javnosti (str. 194-196)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Načelo obostranog saslušanja (196-201)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 Načelo savjesnosti i poštenja (str. 201-205)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Načelo efikasnosti</w:t>
      </w:r>
      <w:r w:rsidR="008C27A9">
        <w:t xml:space="preserve">, ZZP na suđenje u razumnom roku (str. 216-219, </w:t>
      </w:r>
      <w:r w:rsidR="008C27A9" w:rsidRPr="008C27A9">
        <w:rPr>
          <w:b/>
        </w:rPr>
        <w:t>br.893-895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Načelo slobodnog sudijskog uverenja (str. 239-240)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Pojam i kl</w:t>
      </w:r>
      <w:r w:rsidR="008C27A9">
        <w:t xml:space="preserve">asifikacija parničnih subjekata, parnične stranke </w:t>
      </w:r>
      <w:r>
        <w:t>(str. 243</w:t>
      </w:r>
      <w:r w:rsidR="008C27A9">
        <w:t>-248</w:t>
      </w:r>
      <w:r>
        <w:t>)</w:t>
      </w:r>
    </w:p>
    <w:p w:rsidR="008C27A9" w:rsidRPr="001C66C5" w:rsidRDefault="008C27A9" w:rsidP="00D12E1A">
      <w:pPr>
        <w:pStyle w:val="ListParagraph"/>
        <w:numPr>
          <w:ilvl w:val="0"/>
          <w:numId w:val="1"/>
        </w:numPr>
        <w:rPr>
          <w:sz w:val="18"/>
        </w:rPr>
      </w:pPr>
      <w:r w:rsidRPr="008C27A9">
        <w:rPr>
          <w:sz w:val="22"/>
        </w:rPr>
        <w:t>Sticanje svojstva i identitet parnične stranke, naknadno sticanje i prestanak svo</w:t>
      </w:r>
      <w:r w:rsidR="001C66C5">
        <w:rPr>
          <w:sz w:val="22"/>
        </w:rPr>
        <w:t>j</w:t>
      </w:r>
      <w:r w:rsidRPr="008C27A9">
        <w:rPr>
          <w:sz w:val="22"/>
        </w:rPr>
        <w:t xml:space="preserve">stva </w:t>
      </w:r>
      <w:r w:rsidRPr="001C66C5">
        <w:rPr>
          <w:sz w:val="20"/>
        </w:rPr>
        <w:t>(</w:t>
      </w:r>
      <w:r w:rsidRPr="001C66C5">
        <w:rPr>
          <w:sz w:val="18"/>
        </w:rPr>
        <w:t xml:space="preserve">str. 248-253)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Stranačka sposobnost (str. 254-257)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Parnična sposobnost (str. 258-261)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Postulaciona sposobnost (str. 262)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Stvarna i procesna legitimacija (str. 263-270)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Pojam, podjela i karakteristike zastupništva</w:t>
      </w:r>
      <w:r w:rsidR="001C66C5">
        <w:t>, zakonski zastupnik (str. 270-275)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Punomoćnik (str. 275-282)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Pojam i vrste parničnih radnji (str. 283-284)</w:t>
      </w:r>
    </w:p>
    <w:p w:rsidR="001C66C5" w:rsidRDefault="00D12E1A" w:rsidP="001C66C5">
      <w:pPr>
        <w:pStyle w:val="ListParagraph"/>
        <w:numPr>
          <w:ilvl w:val="0"/>
          <w:numId w:val="1"/>
        </w:numPr>
      </w:pPr>
      <w:r>
        <w:t>Parnične radnje stranaka</w:t>
      </w:r>
      <w:r w:rsidR="001C66C5">
        <w:t>, pojam, vrste, razlike u odnosu na mat.iz.v. (str. 284-290)</w:t>
      </w:r>
    </w:p>
    <w:p w:rsidR="001C66C5" w:rsidRDefault="001C66C5" w:rsidP="001C66C5">
      <w:pPr>
        <w:pStyle w:val="ListParagraph"/>
        <w:numPr>
          <w:ilvl w:val="0"/>
          <w:numId w:val="1"/>
        </w:numPr>
      </w:pPr>
      <w:r>
        <w:t>Uslovi za punovažnost p.r., tumačenje i nedostaci parničnih radnji,p.u. (str.290-294)</w:t>
      </w:r>
    </w:p>
    <w:p w:rsidR="00D12E1A" w:rsidRDefault="00D12E1A" w:rsidP="001C66C5">
      <w:pPr>
        <w:pStyle w:val="ListParagraph"/>
        <w:numPr>
          <w:ilvl w:val="0"/>
          <w:numId w:val="1"/>
        </w:numPr>
      </w:pPr>
      <w:r>
        <w:t xml:space="preserve">Oblik </w:t>
      </w:r>
      <w:r w:rsidR="001C66C5">
        <w:t>parničnih radnji (str. 294-297)</w:t>
      </w:r>
    </w:p>
    <w:p w:rsidR="001C66C5" w:rsidRDefault="00D12E1A" w:rsidP="00D12E1A">
      <w:pPr>
        <w:pStyle w:val="ListParagraph"/>
        <w:numPr>
          <w:ilvl w:val="0"/>
          <w:numId w:val="1"/>
        </w:numPr>
      </w:pPr>
      <w:r>
        <w:t>Mjesto i vrijeme parn</w:t>
      </w:r>
      <w:r w:rsidR="001C66C5">
        <w:t>ičnih radnji / rokovi, ročišta (str.298-</w:t>
      </w:r>
      <w:r w:rsidR="00095E82">
        <w:t>304)</w:t>
      </w:r>
    </w:p>
    <w:p w:rsidR="00D12E1A" w:rsidRDefault="00095E82" w:rsidP="00D12E1A">
      <w:pPr>
        <w:pStyle w:val="ListParagraph"/>
        <w:numPr>
          <w:ilvl w:val="0"/>
          <w:numId w:val="1"/>
        </w:numPr>
      </w:pPr>
      <w:r>
        <w:t>Propuštanje parničnih radnji i</w:t>
      </w:r>
      <w:r w:rsidR="00D12E1A">
        <w:t xml:space="preserve"> povra</w:t>
      </w:r>
      <w:r>
        <w:t>ćaj u pređašnje stanje (str. 305</w:t>
      </w:r>
      <w:r w:rsidR="00D12E1A">
        <w:t xml:space="preserve">-310)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Parnične radnje suda (str. 310-318)</w:t>
      </w:r>
    </w:p>
    <w:p w:rsidR="00095E82" w:rsidRDefault="00095E82" w:rsidP="00D12E1A">
      <w:pPr>
        <w:pStyle w:val="ListParagraph"/>
        <w:numPr>
          <w:ilvl w:val="0"/>
          <w:numId w:val="1"/>
        </w:numPr>
      </w:pPr>
      <w:r>
        <w:t>Sudske odluke (str. 310-314)</w:t>
      </w:r>
    </w:p>
    <w:p w:rsidR="00095E82" w:rsidRDefault="00095E82" w:rsidP="00D12E1A">
      <w:pPr>
        <w:pStyle w:val="ListParagraph"/>
        <w:numPr>
          <w:ilvl w:val="0"/>
          <w:numId w:val="1"/>
        </w:numPr>
      </w:pPr>
      <w:r>
        <w:t xml:space="preserve">Upravljanje parnicom (str. 314-316, </w:t>
      </w:r>
      <w:r w:rsidRPr="00095E82">
        <w:rPr>
          <w:b/>
        </w:rPr>
        <w:t>br.1470-1479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lastRenderedPageBreak/>
        <w:t>Dostavljanje / vrste /</w:t>
      </w:r>
      <w:r w:rsidR="008C2E04">
        <w:t xml:space="preserve"> ZPP</w:t>
      </w:r>
      <w:r>
        <w:t xml:space="preserve"> (str. 319-332</w:t>
      </w:r>
      <w:r w:rsidR="00924C6A">
        <w:t xml:space="preserve">, </w:t>
      </w:r>
      <w:r w:rsidR="00461DE6">
        <w:rPr>
          <w:b/>
        </w:rPr>
        <w:t>br.1505-1573</w:t>
      </w:r>
      <w:r>
        <w:t xml:space="preserve">) </w:t>
      </w:r>
    </w:p>
    <w:p w:rsidR="008C2E04" w:rsidRDefault="008C2E04" w:rsidP="00D12E1A">
      <w:pPr>
        <w:pStyle w:val="ListParagraph"/>
        <w:numPr>
          <w:ilvl w:val="0"/>
          <w:numId w:val="1"/>
        </w:numPr>
      </w:pPr>
      <w:r>
        <w:t>Način dostavljnja (str. 327-332)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Zapisnici (str. 333-336)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Tužba -  Pojam i Vrste</w:t>
      </w:r>
      <w:r>
        <w:rPr>
          <w:lang w:val="sr-Latn-BA"/>
        </w:rPr>
        <w:t xml:space="preserve">; </w:t>
      </w:r>
      <w:r>
        <w:t>Pravni interes za tužbu (str. 337-340)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Kondemnatorna tužba (str. 340-343)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Deklaratorna tužba (str. 344-352)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Preobražajna (konstitutivna) tužba (str. 353-354)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Sadržina tužbe  (str. 355-361)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Identitet tužbenog zahteva (spora) (str. 362-369)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Preinačenje tužbe</w:t>
      </w:r>
      <w:r w:rsidR="006E43FE">
        <w:t>, ZPP</w:t>
      </w:r>
      <w:r>
        <w:t xml:space="preserve"> (str. 369-376)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 Dejstva podnošenja tužbe sudu (str. 377-378)</w:t>
      </w:r>
    </w:p>
    <w:p w:rsidR="00D12E1A" w:rsidRDefault="009A540B" w:rsidP="00D12E1A">
      <w:pPr>
        <w:pStyle w:val="ListParagraph"/>
        <w:numPr>
          <w:ilvl w:val="0"/>
          <w:numId w:val="1"/>
        </w:numPr>
      </w:pPr>
      <w:r>
        <w:t>Procesne pretpostavke – pojam i</w:t>
      </w:r>
      <w:r w:rsidR="00D12E1A">
        <w:t xml:space="preserve"> podjela </w:t>
      </w:r>
      <w:r>
        <w:t>(str. 380-383</w:t>
      </w:r>
      <w:r w:rsidR="00D12E1A">
        <w:t>)</w:t>
      </w:r>
    </w:p>
    <w:p w:rsidR="009A540B" w:rsidRDefault="009A540B" w:rsidP="00D12E1A">
      <w:pPr>
        <w:pStyle w:val="ListParagraph"/>
        <w:numPr>
          <w:ilvl w:val="0"/>
          <w:numId w:val="1"/>
        </w:numPr>
      </w:pPr>
      <w:r>
        <w:t>Značaj procesnih pretpostavki i redosljed ispitivanja (str. 384-387)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Pojam i vrste sudske nadležnosti (str. 287-388)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St</w:t>
      </w:r>
      <w:r w:rsidR="009A540B">
        <w:t xml:space="preserve">varna i funkcionalna nadležnost, Zakon o sudovima </w:t>
      </w:r>
      <w:r>
        <w:t xml:space="preserve">(str. 388- 393). </w:t>
      </w:r>
    </w:p>
    <w:p w:rsidR="00D12E1A" w:rsidRDefault="009A540B" w:rsidP="00D12E1A">
      <w:pPr>
        <w:pStyle w:val="ListParagraph"/>
        <w:numPr>
          <w:ilvl w:val="0"/>
          <w:numId w:val="1"/>
        </w:numPr>
      </w:pPr>
      <w:r>
        <w:t>Opšta m</w:t>
      </w:r>
      <w:r w:rsidR="00D12E1A">
        <w:t>jesna nadležnost</w:t>
      </w:r>
      <w:r>
        <w:t>,</w:t>
      </w:r>
      <w:r w:rsidR="00D12E1A">
        <w:t xml:space="preserve"> </w:t>
      </w:r>
      <w:r w:rsidR="00381EBB">
        <w:t xml:space="preserve">isključiva, </w:t>
      </w:r>
      <w:r>
        <w:t>elektivna</w:t>
      </w:r>
      <w:r w:rsidR="00381EBB">
        <w:t xml:space="preserve"> i pomoćna</w:t>
      </w:r>
      <w:r>
        <w:t>, Zakon o sudovima</w:t>
      </w:r>
      <w:r w:rsidR="00381EBB">
        <w:t xml:space="preserve"> (str. 393-401</w:t>
      </w:r>
      <w:r w:rsidR="00D12E1A">
        <w:t>)</w:t>
      </w:r>
    </w:p>
    <w:p w:rsidR="00381EBB" w:rsidRDefault="00381EBB" w:rsidP="00D12E1A">
      <w:pPr>
        <w:pStyle w:val="ListParagraph"/>
        <w:numPr>
          <w:ilvl w:val="0"/>
          <w:numId w:val="1"/>
        </w:numPr>
      </w:pPr>
      <w:r>
        <w:t>Nadležnost po sporazumu i određivanje mjesne nadležnosti od strane suda, Zakon o sudovima (čl. 402-406)</w:t>
      </w:r>
    </w:p>
    <w:p w:rsidR="00381EBB" w:rsidRDefault="00381EBB" w:rsidP="00D12E1A">
      <w:pPr>
        <w:pStyle w:val="ListParagraph"/>
        <w:numPr>
          <w:ilvl w:val="0"/>
          <w:numId w:val="1"/>
        </w:numPr>
      </w:pPr>
      <w:r>
        <w:t xml:space="preserve">Privlačenje nadležnosti, ispitivanje nadležnosti i </w:t>
      </w:r>
      <w:r w:rsidRPr="005A7CD3">
        <w:rPr>
          <w:i/>
        </w:rPr>
        <w:t>perpetuatio fori</w:t>
      </w:r>
      <w:r>
        <w:t xml:space="preserve"> (str. 406-410)</w:t>
      </w:r>
    </w:p>
    <w:p w:rsidR="00D12E1A" w:rsidRDefault="00381EBB" w:rsidP="00381EBB">
      <w:pPr>
        <w:pStyle w:val="ListParagraph"/>
        <w:numPr>
          <w:ilvl w:val="0"/>
          <w:numId w:val="1"/>
        </w:numPr>
      </w:pPr>
      <w:r>
        <w:t>Pravne posljedice nenadležnosti i sukob nadležnosti (str. 410-415)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Vrijednost predmeta spora (str. 418-421)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Tuživost subjektivnog prava (str. 422-423)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Prethodno ispitivanje </w:t>
      </w:r>
      <w:r w:rsidR="00381EBB">
        <w:t xml:space="preserve">tužbe (ZPP čl. 274-277) </w:t>
      </w:r>
      <w:r>
        <w:t>(str. 423-425)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Litispendencija (str. 428-431)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Odgovor na tužbu (str. 431-433)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Stav tuženog prema tužbi i tužbenom zahtevu (str. 433-435)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Prigovor kompenzacije (str. 436-443)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Protivtužba (str. 443-446)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Postupanje suda nakon odgovora na tužbu: Meritorno odlučivanje i okončanje parnice (str. 447-448) 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Pripremno ročište</w:t>
      </w:r>
      <w:r w:rsidR="005A7CD3">
        <w:t>, ZPP</w:t>
      </w:r>
      <w:r>
        <w:t xml:space="preserve"> (str. 448-451)</w:t>
      </w:r>
    </w:p>
    <w:p w:rsidR="005A7CD3" w:rsidRDefault="00D12E1A" w:rsidP="00D12E1A">
      <w:pPr>
        <w:pStyle w:val="ListParagraph"/>
        <w:numPr>
          <w:ilvl w:val="0"/>
          <w:numId w:val="1"/>
        </w:numPr>
      </w:pPr>
      <w:r>
        <w:t xml:space="preserve">Glavna rasprava </w:t>
      </w:r>
      <w:r w:rsidR="005A7CD3">
        <w:t>ZPP – tok (str. 451-457)</w:t>
      </w:r>
    </w:p>
    <w:p w:rsidR="00D12E1A" w:rsidRDefault="005A7CD3" w:rsidP="00D12E1A">
      <w:pPr>
        <w:pStyle w:val="ListParagraph"/>
        <w:numPr>
          <w:ilvl w:val="0"/>
          <w:numId w:val="1"/>
        </w:numPr>
      </w:pPr>
      <w:r>
        <w:t>R</w:t>
      </w:r>
      <w:r w:rsidR="00D12E1A">
        <w:t>aspravljanje i odlučivanje o procesnim pretpostavkama, zaključ</w:t>
      </w:r>
      <w:r>
        <w:t>enje, spajanje parnica (str. 457</w:t>
      </w:r>
      <w:r w:rsidR="00D12E1A">
        <w:t>-460)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Predmet i zadatak dokazivanja (str. 467-470)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Neophodnost dokazivanja i kada dokazivanje nije neophodno (str. 470-475)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Necjelishodnost dokazivanja (str. 475-477)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Slučajevi u kojima se dokazivanje ne izvodi (str. 477)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Vrste dokaza (dokaznih sredstava) (str. 477-480)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Izvođenje dokaza (dokazni postupak-ročište za</w:t>
      </w:r>
      <w:r w:rsidR="00BF7B42">
        <w:t xml:space="preserve"> izvođenje dokaza) (str. 480-485</w:t>
      </w:r>
      <w:r>
        <w:t>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Uviđaj (str. 486-488)</w:t>
      </w:r>
    </w:p>
    <w:p w:rsidR="00D12E1A" w:rsidRDefault="00BF7B42" w:rsidP="00D12E1A">
      <w:pPr>
        <w:pStyle w:val="ListParagraph"/>
        <w:numPr>
          <w:ilvl w:val="0"/>
          <w:numId w:val="1"/>
        </w:numPr>
      </w:pPr>
      <w:r>
        <w:t>Isprava (str. 489-494</w:t>
      </w:r>
      <w:r w:rsidR="00D12E1A">
        <w:t>)</w:t>
      </w:r>
    </w:p>
    <w:p w:rsidR="00BF7B42" w:rsidRDefault="00BF7B42" w:rsidP="00D12E1A">
      <w:pPr>
        <w:pStyle w:val="ListParagraph"/>
        <w:numPr>
          <w:ilvl w:val="0"/>
          <w:numId w:val="1"/>
        </w:numPr>
      </w:pPr>
      <w:r>
        <w:t>Pribavljanje isprava (494-497)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Svjedok (str. 497-506)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Vještak (str. 507-514)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Saslušanje stranaka (str. 515-517)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Teret tvrdnje i teret dokazivanja (str. 518-527)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Ocjena dokaza (str. 529-533)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>Obezbjeđenje dokaza (str. 533-535)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lastRenderedPageBreak/>
        <w:t>Prekid i zastoj u postupku (i obustava</w:t>
      </w:r>
      <w:r w:rsidR="003A095D">
        <w:t xml:space="preserve"> ZPP</w:t>
      </w:r>
      <w:r>
        <w:t>) (str. 535-539)</w:t>
      </w:r>
    </w:p>
    <w:p w:rsidR="00D12E1A" w:rsidRDefault="00D12E1A" w:rsidP="00D12E1A">
      <w:pPr>
        <w:pStyle w:val="ListParagraph"/>
        <w:numPr>
          <w:ilvl w:val="0"/>
          <w:numId w:val="1"/>
        </w:numPr>
      </w:pPr>
      <w:r>
        <w:t xml:space="preserve">Prethodno pitanje (str. 539-542) </w:t>
      </w:r>
    </w:p>
    <w:p w:rsidR="00DF6183" w:rsidRDefault="00DF6183"/>
    <w:sectPr w:rsidR="00DF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F0B42"/>
    <w:multiLevelType w:val="multilevel"/>
    <w:tmpl w:val="1D9F0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4E"/>
    <w:rsid w:val="00095E82"/>
    <w:rsid w:val="001C66C5"/>
    <w:rsid w:val="0032576D"/>
    <w:rsid w:val="00381EBB"/>
    <w:rsid w:val="003A095D"/>
    <w:rsid w:val="003A28A7"/>
    <w:rsid w:val="00461DE6"/>
    <w:rsid w:val="004F4750"/>
    <w:rsid w:val="005A7CD3"/>
    <w:rsid w:val="006E43FE"/>
    <w:rsid w:val="00714198"/>
    <w:rsid w:val="008C27A9"/>
    <w:rsid w:val="008C2E04"/>
    <w:rsid w:val="00924C6A"/>
    <w:rsid w:val="00961B7A"/>
    <w:rsid w:val="009A540B"/>
    <w:rsid w:val="00A54DCC"/>
    <w:rsid w:val="00A95D59"/>
    <w:rsid w:val="00B83B4E"/>
    <w:rsid w:val="00BF7B42"/>
    <w:rsid w:val="00C246FF"/>
    <w:rsid w:val="00C26455"/>
    <w:rsid w:val="00D12E1A"/>
    <w:rsid w:val="00DF6183"/>
    <w:rsid w:val="00EA4A0B"/>
    <w:rsid w:val="00ED4172"/>
    <w:rsid w:val="00F1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AD4C2-04DA-4155-A54D-15670C79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M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2023-10-28T15:19:00Z</dcterms:created>
  <dcterms:modified xsi:type="dcterms:W3CDTF">2023-11-27T06:47:00Z</dcterms:modified>
</cp:coreProperties>
</file>