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2438" w14:textId="53635E77" w:rsidR="00000000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Spoljna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EU</w:t>
      </w:r>
    </w:p>
    <w:p w14:paraId="4E780C26" w14:textId="0BE29A88" w:rsidR="0079336D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Plan </w:t>
      </w:r>
      <w:proofErr w:type="spellStart"/>
      <w:r w:rsidRPr="00770AC1">
        <w:rPr>
          <w:rFonts w:ascii="Book Antiqua" w:hAnsi="Book Antiqua"/>
          <w:sz w:val="24"/>
          <w:szCs w:val="24"/>
        </w:rPr>
        <w:t>rada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po </w:t>
      </w:r>
      <w:proofErr w:type="spellStart"/>
      <w:r w:rsidRPr="00770AC1">
        <w:rPr>
          <w:rFonts w:ascii="Book Antiqua" w:hAnsi="Book Antiqua"/>
          <w:sz w:val="24"/>
          <w:szCs w:val="24"/>
        </w:rPr>
        <w:t>sedmicama</w:t>
      </w:r>
      <w:proofErr w:type="spellEnd"/>
    </w:p>
    <w:p w14:paraId="17D6084D" w14:textId="77F67F23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770AC1">
        <w:rPr>
          <w:rFonts w:ascii="Book Antiqua" w:hAnsi="Book Antiqua"/>
          <w:b/>
          <w:bCs/>
          <w:sz w:val="24"/>
          <w:szCs w:val="24"/>
        </w:rPr>
        <w:t>Literatura</w:t>
      </w:r>
      <w:proofErr w:type="spellEnd"/>
      <w:r w:rsidRPr="00770AC1">
        <w:rPr>
          <w:rFonts w:ascii="Book Antiqua" w:hAnsi="Book Antiqua"/>
          <w:b/>
          <w:bCs/>
          <w:sz w:val="24"/>
          <w:szCs w:val="24"/>
        </w:rPr>
        <w:t>:</w:t>
      </w:r>
    </w:p>
    <w:p w14:paraId="61CC386F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</w:t>
      </w:r>
    </w:p>
    <w:p w14:paraId="729DE0C0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 xml:space="preserve">. Beograd: Službeni glasnik </w:t>
      </w:r>
    </w:p>
    <w:p w14:paraId="2DC40B34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Vukadinović, Radovan i Lidija Čehulić. 2011.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Politika europskih integracija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Zagreb: Ljevak</w:t>
      </w:r>
    </w:p>
    <w:p w14:paraId="54EEA1A1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Đurović, Gordana. 2012.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Evropska unija i Crna Gora: politika proširenja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. Podgorica: Ekonomski fakultet.  </w:t>
      </w:r>
    </w:p>
    <w:p w14:paraId="4678673D" w14:textId="7777777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</w:rPr>
      </w:pPr>
    </w:p>
    <w:p w14:paraId="5E2FF8E9" w14:textId="0E028D42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</w:rPr>
        <w:t xml:space="preserve">1.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Ideje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evropskog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ujedinjenje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izme</w:t>
      </w:r>
      <w:proofErr w:type="spellEnd"/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đu dva svjetska rata</w:t>
      </w:r>
    </w:p>
    <w:p w14:paraId="096223FF" w14:textId="77777777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 xml:space="preserve">Politika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14-27</w:t>
      </w:r>
    </w:p>
    <w:p w14:paraId="6502DB32" w14:textId="4C527176" w:rsidR="0079336D" w:rsidRPr="00DB6CA8" w:rsidRDefault="002E4136" w:rsidP="00DB6CA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Hoffmann, Stanley. "De Gaulle, Europe, and the Atlantic Alliance." </w:t>
      </w:r>
      <w:r w:rsidRPr="00DB6CA8">
        <w:rPr>
          <w:rFonts w:ascii="Book Antiqua" w:hAnsi="Book Antiqua"/>
          <w:i/>
          <w:iCs/>
          <w:sz w:val="24"/>
          <w:szCs w:val="24"/>
        </w:rPr>
        <w:t>International Organization</w:t>
      </w:r>
      <w:r w:rsidRPr="00DB6CA8">
        <w:rPr>
          <w:rFonts w:ascii="Book Antiqua" w:hAnsi="Book Antiqua"/>
          <w:sz w:val="24"/>
          <w:szCs w:val="24"/>
        </w:rPr>
        <w:t xml:space="preserve"> 18.1 (1964): 1-28.</w:t>
      </w:r>
    </w:p>
    <w:p w14:paraId="3426240F" w14:textId="7A0E28C1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2. Prve dvije decenije procesa evropske integracije</w:t>
      </w:r>
    </w:p>
    <w:p w14:paraId="7BF5DBDE" w14:textId="446627F5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 xml:space="preserve">Politika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28-81</w:t>
      </w:r>
    </w:p>
    <w:p w14:paraId="1E17C284" w14:textId="1E43DF35" w:rsidR="008C4304" w:rsidRPr="00770AC1" w:rsidRDefault="008C4304" w:rsidP="00CF11E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>. Beograd: Službeni glasnik, str. 27-80</w:t>
      </w:r>
    </w:p>
    <w:p w14:paraId="47AFD48D" w14:textId="0A1FAB28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Larres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, Klaus, ed. </w:t>
      </w:r>
      <w:r w:rsidRPr="00770AC1">
        <w:rPr>
          <w:rFonts w:ascii="Book Antiqua" w:hAnsi="Book Antiqua"/>
          <w:i/>
          <w:iCs/>
          <w:sz w:val="24"/>
          <w:szCs w:val="24"/>
        </w:rPr>
        <w:t>A companion to Europe since 1945</w:t>
      </w:r>
      <w:r w:rsidRPr="00770AC1">
        <w:rPr>
          <w:rFonts w:ascii="Book Antiqua" w:hAnsi="Book Antiqua"/>
          <w:sz w:val="24"/>
          <w:szCs w:val="24"/>
        </w:rPr>
        <w:t xml:space="preserve">. Wiley-Blackwell, 2009. </w:t>
      </w:r>
      <w:proofErr w:type="spellStart"/>
      <w:r w:rsidRPr="00770AC1">
        <w:rPr>
          <w:rFonts w:ascii="Book Antiqua" w:hAnsi="Book Antiqua"/>
          <w:sz w:val="24"/>
          <w:szCs w:val="24"/>
        </w:rPr>
        <w:t>poglavlja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3 (str. 47-66) </w:t>
      </w:r>
      <w:proofErr w:type="spellStart"/>
      <w:r w:rsidRPr="00770AC1">
        <w:rPr>
          <w:rFonts w:ascii="Book Antiqua" w:hAnsi="Book Antiqua"/>
          <w:sz w:val="24"/>
          <w:szCs w:val="24"/>
        </w:rPr>
        <w:t>i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8 (151-182).</w:t>
      </w:r>
    </w:p>
    <w:p w14:paraId="1F8A20A3" w14:textId="399FEF6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3. Stvaranje „Evropske političke saradnje“</w:t>
      </w:r>
    </w:p>
    <w:p w14:paraId="45FB9D54" w14:textId="7E66194D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72-121</w:t>
      </w:r>
    </w:p>
    <w:p w14:paraId="5ED64C0A" w14:textId="3F79FD6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4. Vanjskopolitičke aktivnosti Evropske zajednice</w:t>
      </w:r>
    </w:p>
    <w:p w14:paraId="1474D274" w14:textId="5D6FE87A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 xml:space="preserve">Politika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101-152</w:t>
      </w:r>
    </w:p>
    <w:p w14:paraId="06DE825C" w14:textId="60CF86D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5. Spoljna politika EU tokom 90-tih godina</w:t>
      </w:r>
    </w:p>
    <w:p w14:paraId="6CB316DF" w14:textId="2CAB0200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121-166</w:t>
      </w:r>
    </w:p>
    <w:p w14:paraId="37788EF8" w14:textId="257F35BD" w:rsidR="00F95B3F" w:rsidRPr="00CC64EC" w:rsidRDefault="00F95B3F" w:rsidP="00CC64E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Gordon, Philip H. "Europe's uncommon foreign policy."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security</w:t>
      </w:r>
      <w:r w:rsidRPr="00770AC1">
        <w:rPr>
          <w:rFonts w:ascii="Book Antiqua" w:hAnsi="Book Antiqua"/>
          <w:sz w:val="24"/>
          <w:szCs w:val="24"/>
        </w:rPr>
        <w:t xml:space="preserve"> 22.3 (1998): 74-100.</w:t>
      </w:r>
    </w:p>
    <w:p w14:paraId="191F62B1" w14:textId="50C54C9D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6.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0D0632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02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</w:t>
      </w:r>
      <w:r w:rsidR="000D0632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4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.202</w:t>
      </w:r>
      <w:r w:rsidR="000D0632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5</w:t>
      </w:r>
    </w:p>
    <w:p w14:paraId="594F2D7C" w14:textId="692E78C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7.  Djelovanje EU u krizama na prostoru bivše Jugoslavije</w:t>
      </w:r>
    </w:p>
    <w:p w14:paraId="36DCB99F" w14:textId="5B7721A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>Papadimitriou, Dimitris. "The EU's strategy in the post</w:t>
      </w:r>
      <w:r w:rsidRPr="00770AC1">
        <w:rPr>
          <w:rFonts w:ascii="Times New Roman" w:hAnsi="Times New Roman" w:cs="Times New Roman"/>
          <w:sz w:val="24"/>
          <w:szCs w:val="24"/>
        </w:rPr>
        <w:t>‐</w:t>
      </w:r>
      <w:r w:rsidRPr="00770AC1">
        <w:rPr>
          <w:rFonts w:ascii="Book Antiqua" w:hAnsi="Book Antiqua"/>
          <w:sz w:val="24"/>
          <w:szCs w:val="24"/>
        </w:rPr>
        <w:t xml:space="preserve">communist Balkans." </w:t>
      </w:r>
      <w:r w:rsidRPr="00770AC1">
        <w:rPr>
          <w:rFonts w:ascii="Book Antiqua" w:hAnsi="Book Antiqua"/>
          <w:i/>
          <w:iCs/>
          <w:sz w:val="24"/>
          <w:szCs w:val="24"/>
        </w:rPr>
        <w:t>Southeast European and Black Sea Studies</w:t>
      </w:r>
      <w:r w:rsidRPr="00770AC1">
        <w:rPr>
          <w:rFonts w:ascii="Book Antiqua" w:hAnsi="Book Antiqua"/>
          <w:sz w:val="24"/>
          <w:szCs w:val="24"/>
        </w:rPr>
        <w:t xml:space="preserve"> 1.3 (2001): 69-94.</w:t>
      </w:r>
    </w:p>
    <w:p w14:paraId="75764A2B" w14:textId="345FEAC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lastRenderedPageBreak/>
        <w:t>8. Zajednička odbrambena i bezbjednosna politika EU</w:t>
      </w:r>
    </w:p>
    <w:p w14:paraId="5EBE6659" w14:textId="0A2CC2FB" w:rsidR="00BE0025" w:rsidRPr="00770AC1" w:rsidRDefault="00BE0025" w:rsidP="00BE002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 xml:space="preserve">Politika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200-240</w:t>
      </w:r>
    </w:p>
    <w:p w14:paraId="39BFD1AC" w14:textId="77777777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Janjević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, M. 2007. </w:t>
      </w:r>
      <w:proofErr w:type="spellStart"/>
      <w:r w:rsidRPr="00770AC1">
        <w:rPr>
          <w:rFonts w:ascii="Book Antiqua" w:hAnsi="Book Antiqua"/>
          <w:sz w:val="24"/>
          <w:szCs w:val="24"/>
        </w:rPr>
        <w:t>Spoljna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Evropske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70AC1">
        <w:rPr>
          <w:rFonts w:ascii="Book Antiqua" w:hAnsi="Book Antiqua"/>
          <w:sz w:val="24"/>
          <w:szCs w:val="24"/>
        </w:rPr>
        <w:t>unije</w:t>
      </w:r>
      <w:proofErr w:type="spellEnd"/>
      <w:r w:rsidRPr="00770AC1">
        <w:rPr>
          <w:rFonts w:ascii="Book Antiqua" w:hAnsi="Book Antiqua"/>
          <w:sz w:val="24"/>
          <w:szCs w:val="24"/>
        </w:rPr>
        <w:t>,  str.</w:t>
      </w:r>
      <w:proofErr w:type="gramEnd"/>
      <w:r w:rsidRPr="00770AC1">
        <w:rPr>
          <w:rFonts w:ascii="Book Antiqua" w:hAnsi="Book Antiqua"/>
          <w:sz w:val="24"/>
          <w:szCs w:val="24"/>
        </w:rPr>
        <w:t xml:space="preserve"> 169-179</w:t>
      </w:r>
    </w:p>
    <w:p w14:paraId="7240C483" w14:textId="569AFBEB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Dinan, D. 2005.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Sve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bliža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unija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: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Uvod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u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evropsku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integraciju</w:t>
      </w:r>
      <w:proofErr w:type="spellEnd"/>
      <w:r w:rsidRPr="00770AC1">
        <w:rPr>
          <w:rFonts w:ascii="Book Antiqua" w:hAnsi="Book Antiqua"/>
          <w:sz w:val="24"/>
          <w:szCs w:val="24"/>
        </w:rPr>
        <w:t>, str. 544-564</w:t>
      </w:r>
    </w:p>
    <w:p w14:paraId="6D894B23" w14:textId="5E32128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Cornish, Paul, and Geoffrey Edwards. "Beyond the EU/NATO dichotomy: the beginnings of a European strategic culture."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affairs</w:t>
      </w:r>
      <w:r w:rsidRPr="00770AC1">
        <w:rPr>
          <w:rFonts w:ascii="Book Antiqua" w:hAnsi="Book Antiqua"/>
          <w:sz w:val="24"/>
          <w:szCs w:val="24"/>
        </w:rPr>
        <w:t xml:space="preserve"> 77.3 (2001): 587-603.</w:t>
      </w:r>
    </w:p>
    <w:p w14:paraId="4C9C561B" w14:textId="4CDFF826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9. Vanjska politika EU nakon Lisabona</w:t>
      </w:r>
    </w:p>
    <w:p w14:paraId="473F9E2D" w14:textId="2DB0358E" w:rsidR="00CF11E3" w:rsidRPr="00770AC1" w:rsidRDefault="00CF11E3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Đurović, Gordana. 2012. </w:t>
      </w:r>
      <w:proofErr w:type="spellStart"/>
      <w:r w:rsidRPr="00770AC1">
        <w:rPr>
          <w:rFonts w:ascii="Book Antiqua" w:hAnsi="Book Antiqua"/>
          <w:sz w:val="24"/>
          <w:szCs w:val="24"/>
        </w:rPr>
        <w:t>Evropska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unija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i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Crna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Gora..., str. 169-178, 198-201</w:t>
      </w:r>
    </w:p>
    <w:p w14:paraId="4D65B6C2" w14:textId="77777777" w:rsidR="00F95B3F" w:rsidRPr="00770AC1" w:rsidRDefault="00F95B3F" w:rsidP="00CF11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Lefebvre, Maxime, and Christophe </w:t>
      </w:r>
      <w:proofErr w:type="spellStart"/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Hillion</w:t>
      </w:r>
      <w:proofErr w:type="spellEnd"/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. </w:t>
      </w:r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 xml:space="preserve">The European External Action Service: towards a common </w:t>
      </w:r>
      <w:proofErr w:type="gramStart"/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>diplomacy?</w:t>
      </w: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.</w:t>
      </w:r>
      <w:proofErr w:type="gramEnd"/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 Vol. 6. Swedish Institute for European Policy Studies, 2010.</w:t>
      </w:r>
    </w:p>
    <w:p w14:paraId="2E324DA5" w14:textId="77777777" w:rsidR="00F95B3F" w:rsidRPr="00770AC1" w:rsidRDefault="00F95B3F" w:rsidP="00CF11E3">
      <w:pPr>
        <w:jc w:val="both"/>
        <w:rPr>
          <w:rFonts w:ascii="Book Antiqua" w:hAnsi="Book Antiqua"/>
          <w:sz w:val="24"/>
          <w:szCs w:val="24"/>
          <w:lang w:val="sr-Latn-ME"/>
        </w:rPr>
      </w:pPr>
    </w:p>
    <w:p w14:paraId="3E8F84B8" w14:textId="13EE4A4B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10. Odnosi EU i SAD</w:t>
      </w:r>
    </w:p>
    <w:p w14:paraId="37A4D891" w14:textId="60AD941A" w:rsidR="00BE0025" w:rsidRPr="00770AC1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 xml:space="preserve">Politika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 299-319</w:t>
      </w:r>
    </w:p>
    <w:p w14:paraId="09253D5B" w14:textId="5150AEF2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11. Odnosi E</w:t>
      </w:r>
      <w:r w:rsidR="00CF11E3" w:rsidRPr="00C7490C">
        <w:rPr>
          <w:rFonts w:ascii="Book Antiqua" w:hAnsi="Book Antiqua"/>
          <w:sz w:val="24"/>
          <w:szCs w:val="24"/>
          <w:u w:val="single"/>
          <w:lang w:val="sr-Latn-ME"/>
        </w:rPr>
        <w:t>U</w:t>
      </w: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 xml:space="preserve"> i Rusija</w:t>
      </w:r>
    </w:p>
    <w:p w14:paraId="1F546357" w14:textId="785FF2B0" w:rsidR="00597362" w:rsidRPr="00770AC1" w:rsidRDefault="00597362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 xml:space="preserve">Politika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3</w:t>
      </w:r>
      <w:r w:rsidR="00BE0025" w:rsidRPr="00770AC1">
        <w:rPr>
          <w:rFonts w:ascii="Book Antiqua" w:hAnsi="Book Antiqua"/>
          <w:sz w:val="24"/>
          <w:szCs w:val="24"/>
        </w:rPr>
        <w:t>19</w:t>
      </w:r>
      <w:r w:rsidRPr="00770AC1">
        <w:rPr>
          <w:rFonts w:ascii="Book Antiqua" w:hAnsi="Book Antiqua"/>
          <w:sz w:val="24"/>
          <w:szCs w:val="24"/>
        </w:rPr>
        <w:t>-3</w:t>
      </w:r>
      <w:r w:rsidR="00BE0025" w:rsidRPr="00770AC1">
        <w:rPr>
          <w:rFonts w:ascii="Book Antiqua" w:hAnsi="Book Antiqua"/>
          <w:sz w:val="24"/>
          <w:szCs w:val="24"/>
        </w:rPr>
        <w:t>43</w:t>
      </w:r>
    </w:p>
    <w:p w14:paraId="406B0ADE" w14:textId="59E84126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12.  Popravni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0D0632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29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.05.202</w:t>
      </w:r>
      <w:r w:rsidR="000D0632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5</w:t>
      </w:r>
    </w:p>
    <w:p w14:paraId="669E3AF9" w14:textId="521BA058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13. EU i regionalna saradnja</w:t>
      </w:r>
    </w:p>
    <w:p w14:paraId="08E334E7" w14:textId="0FDD2AAC" w:rsidR="00BE0025" w:rsidRPr="00C7490C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bookmarkStart w:id="0" w:name="_Hlk32305907"/>
      <w:bookmarkStart w:id="1" w:name="_Hlk32270506"/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 xml:space="preserve">Politika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, str. </w:t>
      </w:r>
      <w:bookmarkEnd w:id="0"/>
      <w:r w:rsidRPr="00770AC1">
        <w:rPr>
          <w:rFonts w:ascii="Book Antiqua" w:hAnsi="Book Antiqua"/>
          <w:sz w:val="24"/>
          <w:szCs w:val="24"/>
        </w:rPr>
        <w:t>343-360</w:t>
      </w:r>
      <w:bookmarkEnd w:id="1"/>
    </w:p>
    <w:p w14:paraId="18A6013E" w14:textId="4A0375FD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15. EU i Crna Gora</w:t>
      </w:r>
    </w:p>
    <w:p w14:paraId="01D256E3" w14:textId="3A2693D9" w:rsidR="00CF11E3" w:rsidRPr="00770AC1" w:rsidRDefault="00CF11E3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  <w:lang w:val="sr-Latn-ME"/>
        </w:rPr>
        <w:t>EU Progres report on Montenegro 20</w:t>
      </w:r>
      <w:r w:rsidR="00B968E3">
        <w:rPr>
          <w:rFonts w:ascii="Book Antiqua" w:hAnsi="Book Antiqua"/>
          <w:sz w:val="24"/>
          <w:szCs w:val="24"/>
          <w:lang w:val="sr-Latn-ME"/>
        </w:rPr>
        <w:t>22</w:t>
      </w:r>
      <w:r w:rsidRPr="00770AC1">
        <w:rPr>
          <w:rFonts w:ascii="Book Antiqua" w:hAnsi="Book Antiqua"/>
          <w:sz w:val="24"/>
          <w:szCs w:val="24"/>
          <w:lang w:val="sr-Latn-ME"/>
        </w:rPr>
        <w:t xml:space="preserve">. str. </w:t>
      </w:r>
      <w:r w:rsidR="00B968E3">
        <w:rPr>
          <w:rFonts w:ascii="Book Antiqua" w:hAnsi="Book Antiqua"/>
          <w:sz w:val="24"/>
          <w:szCs w:val="24"/>
          <w:lang w:val="sr-Latn-ME"/>
        </w:rPr>
        <w:t xml:space="preserve">1-18, </w:t>
      </w:r>
      <w:r w:rsidRPr="00770AC1">
        <w:rPr>
          <w:rFonts w:ascii="Book Antiqua" w:hAnsi="Book Antiqua"/>
          <w:sz w:val="24"/>
          <w:szCs w:val="24"/>
          <w:lang w:val="sr-Latn-ME"/>
        </w:rPr>
        <w:t>1</w:t>
      </w:r>
      <w:r w:rsidR="00B968E3">
        <w:rPr>
          <w:rFonts w:ascii="Book Antiqua" w:hAnsi="Book Antiqua"/>
          <w:sz w:val="24"/>
          <w:szCs w:val="24"/>
          <w:lang w:val="sr-Latn-ME"/>
        </w:rPr>
        <w:t xml:space="preserve">20-124, dostupno na </w:t>
      </w:r>
      <w:hyperlink r:id="rId5" w:history="1">
        <w:r w:rsidR="00B968E3" w:rsidRPr="004D17E4">
          <w:rPr>
            <w:rStyle w:val="Hyperlink"/>
            <w:rFonts w:ascii="Book Antiqua" w:hAnsi="Book Antiqua"/>
            <w:sz w:val="24"/>
            <w:szCs w:val="24"/>
            <w:lang w:val="sr-Latn-ME"/>
          </w:rPr>
          <w:t>https://neighbourhood-enlargement.ec.europa.eu/system/files/2022-10/Montenegro%20Report%202022.pdf</w:t>
        </w:r>
      </w:hyperlink>
      <w:r w:rsidR="00B968E3">
        <w:rPr>
          <w:rFonts w:ascii="Book Antiqua" w:hAnsi="Book Antiqua"/>
          <w:sz w:val="24"/>
          <w:szCs w:val="24"/>
          <w:lang w:val="sr-Latn-ME"/>
        </w:rPr>
        <w:t xml:space="preserve"> </w:t>
      </w:r>
    </w:p>
    <w:sectPr w:rsidR="00CF11E3" w:rsidRPr="0077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DE0"/>
    <w:multiLevelType w:val="hybridMultilevel"/>
    <w:tmpl w:val="D3E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2495">
    <w:abstractNumId w:val="2"/>
  </w:num>
  <w:num w:numId="2" w16cid:durableId="497842248">
    <w:abstractNumId w:val="3"/>
  </w:num>
  <w:num w:numId="3" w16cid:durableId="1811165131">
    <w:abstractNumId w:val="0"/>
  </w:num>
  <w:num w:numId="4" w16cid:durableId="63668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C"/>
    <w:rsid w:val="00022E7E"/>
    <w:rsid w:val="000D0632"/>
    <w:rsid w:val="000D535F"/>
    <w:rsid w:val="00164796"/>
    <w:rsid w:val="002E4136"/>
    <w:rsid w:val="00597362"/>
    <w:rsid w:val="00770AC1"/>
    <w:rsid w:val="0079336D"/>
    <w:rsid w:val="008C4304"/>
    <w:rsid w:val="009E385C"/>
    <w:rsid w:val="00B968E3"/>
    <w:rsid w:val="00BE0025"/>
    <w:rsid w:val="00C731A1"/>
    <w:rsid w:val="00C7490C"/>
    <w:rsid w:val="00CC64EC"/>
    <w:rsid w:val="00CF11E3"/>
    <w:rsid w:val="00D04AAF"/>
    <w:rsid w:val="00DB6CA8"/>
    <w:rsid w:val="00DD11B7"/>
    <w:rsid w:val="00DE057C"/>
    <w:rsid w:val="00EA1FA8"/>
    <w:rsid w:val="00F95B3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07B"/>
  <w15:chartTrackingRefBased/>
  <w15:docId w15:val="{EA69E05C-F06B-4949-B005-29DCFC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933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79336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ighbourhood-enlargement.ec.europa.eu/system/files/2022-10/Montenegro%20Report%20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16</cp:revision>
  <dcterms:created xsi:type="dcterms:W3CDTF">2020-02-10T21:54:00Z</dcterms:created>
  <dcterms:modified xsi:type="dcterms:W3CDTF">2025-02-19T08:57:00Z</dcterms:modified>
</cp:coreProperties>
</file>