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CD7F" w14:textId="4562949F" w:rsidR="002C03C1" w:rsidRPr="002C03C1" w:rsidRDefault="002C03C1" w:rsidP="002C03C1">
      <w:pPr>
        <w:jc w:val="center"/>
        <w:rPr>
          <w:rFonts w:ascii="Garamond" w:hAnsi="Garamond"/>
          <w:b/>
          <w:bCs/>
          <w:sz w:val="24"/>
          <w:szCs w:val="24"/>
          <w:lang w:val="sr-Latn-ME"/>
        </w:rPr>
      </w:pPr>
      <w:r w:rsidRPr="002C03C1">
        <w:rPr>
          <w:rFonts w:ascii="Garamond" w:hAnsi="Garamond"/>
          <w:b/>
          <w:bCs/>
          <w:sz w:val="24"/>
          <w:szCs w:val="24"/>
          <w:lang w:val="sr-Latn-ME"/>
        </w:rPr>
        <w:t>Pitanja za popravni kolokvijum</w:t>
      </w:r>
    </w:p>
    <w:p w14:paraId="71EC6E9A" w14:textId="77777777" w:rsidR="002C03C1" w:rsidRDefault="002C03C1">
      <w:pPr>
        <w:rPr>
          <w:rFonts w:ascii="Garamond" w:hAnsi="Garamond"/>
          <w:b/>
          <w:bCs/>
          <w:sz w:val="24"/>
          <w:szCs w:val="24"/>
          <w:lang w:val="sr-Latn-ME"/>
        </w:rPr>
      </w:pPr>
    </w:p>
    <w:p w14:paraId="5E53815D" w14:textId="161B3722" w:rsidR="00150F28" w:rsidRPr="00D27836" w:rsidRDefault="00D27836">
      <w:pPr>
        <w:rPr>
          <w:rFonts w:ascii="Garamond" w:hAnsi="Garamond"/>
          <w:b/>
          <w:bCs/>
          <w:sz w:val="24"/>
          <w:szCs w:val="24"/>
          <w:lang w:val="sr-Latn-ME"/>
        </w:rPr>
      </w:pPr>
      <w:r w:rsidRPr="00D27836">
        <w:rPr>
          <w:rFonts w:ascii="Garamond" w:hAnsi="Garamond"/>
          <w:b/>
          <w:bCs/>
          <w:sz w:val="24"/>
          <w:szCs w:val="24"/>
          <w:lang w:val="sr-Latn-ME"/>
        </w:rPr>
        <w:t>Dinan</w:t>
      </w:r>
    </w:p>
    <w:p w14:paraId="39BA6B1C" w14:textId="18BED372" w:rsidR="00D27836" w:rsidRPr="00D27836" w:rsidRDefault="00D27836">
      <w:pPr>
        <w:rPr>
          <w:rFonts w:ascii="Garamond" w:hAnsi="Garamond"/>
          <w:sz w:val="24"/>
          <w:szCs w:val="24"/>
          <w:lang w:val="sr-Latn-ME"/>
        </w:rPr>
      </w:pPr>
      <w:r w:rsidRPr="00D27836">
        <w:rPr>
          <w:rFonts w:ascii="Garamond" w:hAnsi="Garamond"/>
          <w:sz w:val="24"/>
          <w:szCs w:val="24"/>
          <w:lang w:val="sr-Latn-ME"/>
        </w:rPr>
        <w:t xml:space="preserve">1. Spoljna bezbjednost: spoljna i bezbjednosna politika </w:t>
      </w:r>
    </w:p>
    <w:p w14:paraId="6FF45B0F" w14:textId="504602AF" w:rsidR="00D27836" w:rsidRPr="00D27836" w:rsidRDefault="00D27836">
      <w:pPr>
        <w:rPr>
          <w:rFonts w:ascii="Garamond" w:hAnsi="Garamond"/>
          <w:sz w:val="24"/>
          <w:szCs w:val="24"/>
          <w:lang w:val="sr-Latn-ME"/>
        </w:rPr>
      </w:pPr>
      <w:r w:rsidRPr="00D27836">
        <w:rPr>
          <w:rFonts w:ascii="Garamond" w:hAnsi="Garamond"/>
          <w:sz w:val="24"/>
          <w:szCs w:val="24"/>
          <w:lang w:val="sr-Latn-ME"/>
        </w:rPr>
        <w:t>2. Zapadnoevropska unija</w:t>
      </w:r>
    </w:p>
    <w:p w14:paraId="2C6CBD3F" w14:textId="6BC27E59" w:rsidR="00D27836" w:rsidRPr="00D27836" w:rsidRDefault="00D27836">
      <w:pPr>
        <w:rPr>
          <w:rFonts w:ascii="Garamond" w:hAnsi="Garamond"/>
          <w:sz w:val="24"/>
          <w:szCs w:val="24"/>
          <w:lang w:val="sr-Latn-ME"/>
        </w:rPr>
      </w:pPr>
      <w:r w:rsidRPr="00D27836">
        <w:rPr>
          <w:rFonts w:ascii="Garamond" w:hAnsi="Garamond"/>
          <w:sz w:val="24"/>
          <w:szCs w:val="24"/>
          <w:lang w:val="sr-Latn-ME"/>
        </w:rPr>
        <w:t>3. Od Mastrihta do Amsterdama</w:t>
      </w:r>
    </w:p>
    <w:p w14:paraId="1F76168B" w14:textId="2FC6033F" w:rsidR="00D27836" w:rsidRPr="00D27836" w:rsidRDefault="00D27836">
      <w:pPr>
        <w:rPr>
          <w:rFonts w:ascii="Garamond" w:hAnsi="Garamond"/>
          <w:sz w:val="24"/>
          <w:szCs w:val="24"/>
          <w:lang w:val="sr-Latn-ME"/>
        </w:rPr>
      </w:pPr>
      <w:r w:rsidRPr="00D27836">
        <w:rPr>
          <w:rFonts w:ascii="Garamond" w:hAnsi="Garamond"/>
          <w:sz w:val="24"/>
          <w:szCs w:val="24"/>
          <w:lang w:val="sr-Latn-ME"/>
        </w:rPr>
        <w:t>4. Reforma spoljne i bezbjednosne politike: Ugovor iz Amsterdama</w:t>
      </w:r>
    </w:p>
    <w:p w14:paraId="0415F328" w14:textId="5547BE6E" w:rsidR="00D27836" w:rsidRPr="00D27836" w:rsidRDefault="00D27836">
      <w:pPr>
        <w:rPr>
          <w:rFonts w:ascii="Garamond" w:hAnsi="Garamond"/>
          <w:sz w:val="24"/>
          <w:szCs w:val="24"/>
          <w:lang w:val="sr-Latn-ME"/>
        </w:rPr>
      </w:pPr>
      <w:r w:rsidRPr="00D27836">
        <w:rPr>
          <w:rFonts w:ascii="Garamond" w:hAnsi="Garamond"/>
          <w:sz w:val="24"/>
          <w:szCs w:val="24"/>
          <w:lang w:val="sr-Latn-ME"/>
        </w:rPr>
        <w:t>5. Spoljna i bezbjednosna politika posle Amsterdama</w:t>
      </w:r>
    </w:p>
    <w:p w14:paraId="31BE911D" w14:textId="77777777" w:rsidR="00D27836" w:rsidRPr="00D27836" w:rsidRDefault="00D27836">
      <w:pPr>
        <w:rPr>
          <w:rFonts w:ascii="Garamond" w:hAnsi="Garamond"/>
          <w:b/>
          <w:bCs/>
          <w:sz w:val="24"/>
          <w:szCs w:val="24"/>
          <w:lang w:val="sr-Latn-ME"/>
        </w:rPr>
      </w:pPr>
    </w:p>
    <w:p w14:paraId="12815732" w14:textId="7DB55D05" w:rsidR="00D27836" w:rsidRPr="00D27836" w:rsidRDefault="00D27836">
      <w:pPr>
        <w:rPr>
          <w:rFonts w:ascii="Garamond" w:hAnsi="Garamond"/>
          <w:b/>
          <w:bCs/>
          <w:sz w:val="24"/>
          <w:szCs w:val="24"/>
          <w:lang w:val="sr-Latn-ME"/>
        </w:rPr>
      </w:pPr>
      <w:r w:rsidRPr="00D27836">
        <w:rPr>
          <w:rFonts w:ascii="Garamond" w:hAnsi="Garamond"/>
          <w:b/>
          <w:bCs/>
          <w:sz w:val="24"/>
          <w:szCs w:val="24"/>
          <w:lang w:val="sr-Latn-ME"/>
        </w:rPr>
        <w:t>Janjevic</w:t>
      </w:r>
    </w:p>
    <w:p w14:paraId="485A4A6F" w14:textId="47D32307" w:rsidR="00D27836" w:rsidRPr="00D27836" w:rsidRDefault="00D27836">
      <w:pPr>
        <w:rPr>
          <w:rFonts w:ascii="Garamond" w:hAnsi="Garamond"/>
          <w:sz w:val="24"/>
          <w:szCs w:val="24"/>
          <w:lang w:val="sr-Latn-ME"/>
        </w:rPr>
      </w:pPr>
      <w:r w:rsidRPr="00D27836">
        <w:rPr>
          <w:rFonts w:ascii="Garamond" w:hAnsi="Garamond"/>
          <w:sz w:val="24"/>
          <w:szCs w:val="24"/>
          <w:lang w:val="sr-Latn-ME"/>
        </w:rPr>
        <w:t>6. Samiti u Kelnu, Helsinkiju, Fieri i Nici</w:t>
      </w:r>
    </w:p>
    <w:p w14:paraId="09F39B5D" w14:textId="1BA56DD2" w:rsidR="00D27836" w:rsidRPr="00D27836" w:rsidRDefault="00D27836">
      <w:pPr>
        <w:rPr>
          <w:rFonts w:ascii="Garamond" w:hAnsi="Garamond"/>
          <w:sz w:val="24"/>
          <w:szCs w:val="24"/>
          <w:lang w:val="sr-Latn-ME"/>
        </w:rPr>
      </w:pPr>
      <w:r w:rsidRPr="00D27836">
        <w:rPr>
          <w:rFonts w:ascii="Garamond" w:hAnsi="Garamond"/>
          <w:sz w:val="24"/>
          <w:szCs w:val="24"/>
          <w:lang w:val="sr-Latn-ME"/>
        </w:rPr>
        <w:t>7. Uticaj francusko-britanskog dogovora iz Sent Maloa na Ugovor iz Nice</w:t>
      </w:r>
    </w:p>
    <w:p w14:paraId="7990D9CB" w14:textId="3C61598D" w:rsidR="00D27836" w:rsidRPr="00D27836" w:rsidRDefault="00D27836">
      <w:pPr>
        <w:rPr>
          <w:rFonts w:ascii="Garamond" w:hAnsi="Garamond"/>
          <w:sz w:val="24"/>
          <w:szCs w:val="24"/>
          <w:lang w:val="sr-Latn-ME"/>
        </w:rPr>
      </w:pPr>
      <w:r w:rsidRPr="00D27836">
        <w:rPr>
          <w:rFonts w:ascii="Garamond" w:hAnsi="Garamond"/>
          <w:sz w:val="24"/>
          <w:szCs w:val="24"/>
          <w:lang w:val="sr-Latn-ME"/>
        </w:rPr>
        <w:t>8. Redefinisanje odnosa EU i NATO</w:t>
      </w:r>
    </w:p>
    <w:p w14:paraId="69095EDC" w14:textId="77777777" w:rsidR="00D27836" w:rsidRPr="00D27836" w:rsidRDefault="00D27836">
      <w:pPr>
        <w:rPr>
          <w:rFonts w:ascii="Garamond" w:hAnsi="Garamond"/>
          <w:b/>
          <w:bCs/>
          <w:sz w:val="24"/>
          <w:szCs w:val="24"/>
          <w:lang w:val="sr-Latn-ME"/>
        </w:rPr>
      </w:pPr>
    </w:p>
    <w:p w14:paraId="3715ED06" w14:textId="76D1C898" w:rsidR="00D27836" w:rsidRPr="00D27836" w:rsidRDefault="00D27836">
      <w:pPr>
        <w:rPr>
          <w:rFonts w:ascii="Garamond" w:hAnsi="Garamond"/>
          <w:b/>
          <w:bCs/>
          <w:sz w:val="24"/>
          <w:szCs w:val="24"/>
          <w:lang w:val="sr-Latn-ME"/>
        </w:rPr>
      </w:pPr>
      <w:r w:rsidRPr="00D27836">
        <w:rPr>
          <w:rFonts w:ascii="Garamond" w:hAnsi="Garamond"/>
          <w:b/>
          <w:bCs/>
          <w:sz w:val="24"/>
          <w:szCs w:val="24"/>
          <w:lang w:val="sr-Latn-ME"/>
        </w:rPr>
        <w:t>Vukadinovic i Čehulić</w:t>
      </w:r>
    </w:p>
    <w:p w14:paraId="46D691B0" w14:textId="781D161F" w:rsidR="00D27836" w:rsidRDefault="00D27836">
      <w:pPr>
        <w:rPr>
          <w:rFonts w:ascii="Garamond" w:hAnsi="Garamond"/>
          <w:sz w:val="24"/>
          <w:szCs w:val="24"/>
          <w:lang w:val="sr-Latn-ME"/>
        </w:rPr>
      </w:pPr>
      <w:r w:rsidRPr="00D27836">
        <w:rPr>
          <w:rFonts w:ascii="Garamond" w:hAnsi="Garamond"/>
          <w:sz w:val="24"/>
          <w:szCs w:val="24"/>
          <w:lang w:val="sr-Latn-ME"/>
        </w:rPr>
        <w:t xml:space="preserve">9. </w:t>
      </w:r>
      <w:r w:rsidR="00BC74BF">
        <w:rPr>
          <w:rFonts w:ascii="Garamond" w:hAnsi="Garamond"/>
          <w:sz w:val="24"/>
          <w:szCs w:val="24"/>
          <w:lang w:val="sr-Latn-ME"/>
        </w:rPr>
        <w:t>Ugovor iz Mastrihta i CFSP</w:t>
      </w:r>
    </w:p>
    <w:p w14:paraId="0EE6A065" w14:textId="72642700" w:rsidR="00BC74BF" w:rsidRDefault="00BC74BF">
      <w:p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>10. Ugovor iz St. Petersberga</w:t>
      </w:r>
    </w:p>
    <w:p w14:paraId="07391241" w14:textId="502223AD" w:rsidR="00BC74BF" w:rsidRDefault="00BC74BF">
      <w:p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>11. Akcije WEU „out-of-area“</w:t>
      </w:r>
    </w:p>
    <w:p w14:paraId="48BF74D8" w14:textId="4496B054" w:rsidR="00BC74BF" w:rsidRDefault="00BC74BF">
      <w:p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>12. Amsterdam – Agenda 2000</w:t>
      </w:r>
    </w:p>
    <w:p w14:paraId="63F757A9" w14:textId="1A118A59" w:rsidR="00BC74BF" w:rsidRDefault="00BC74BF">
      <w:p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>13. Evrospki sigurnosni i odbrambeni identitet (ESDI)</w:t>
      </w:r>
    </w:p>
    <w:p w14:paraId="2DF54163" w14:textId="1704AEE8" w:rsidR="00BC74BF" w:rsidRDefault="00BC74BF">
      <w:p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>14. WEU i inicijativa CJTF</w:t>
      </w:r>
    </w:p>
    <w:p w14:paraId="29B6BFAB" w14:textId="21C51247" w:rsidR="00BC74BF" w:rsidRDefault="00BC74BF">
      <w:p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>15. Razjedninjenost evropskih saveznika</w:t>
      </w:r>
    </w:p>
    <w:p w14:paraId="205B0204" w14:textId="0AA45762" w:rsidR="00BC74BF" w:rsidRDefault="00BC74BF">
      <w:p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>16. Sastanak u Sent Malou</w:t>
      </w:r>
    </w:p>
    <w:p w14:paraId="5DB8F396" w14:textId="482C20DB" w:rsidR="00BC74BF" w:rsidRDefault="00BC74BF">
      <w:p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>17. Sastanak u Kelnu i Helsinkiju</w:t>
      </w:r>
    </w:p>
    <w:p w14:paraId="5FF555F6" w14:textId="3ECCDE8E" w:rsidR="00BC74BF" w:rsidRDefault="00BC74BF">
      <w:p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>18. Dokument EU Force Catalogue</w:t>
      </w:r>
    </w:p>
    <w:p w14:paraId="5482B657" w14:textId="2318E047" w:rsidR="00BC74BF" w:rsidRDefault="00BC74BF">
      <w:p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>19. Američki pogledi na CFSP i ESDP</w:t>
      </w:r>
    </w:p>
    <w:p w14:paraId="0C60D2FF" w14:textId="073FAB44" w:rsidR="00BC74BF" w:rsidRDefault="00BC74BF">
      <w:p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>20. Evropski pogledi na ESDI</w:t>
      </w:r>
    </w:p>
    <w:p w14:paraId="3099F638" w14:textId="5A6181B1" w:rsidR="00BC74BF" w:rsidRDefault="00BC74BF">
      <w:p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>21. Ustav EU, Evropska sigurnosna strategija</w:t>
      </w:r>
    </w:p>
    <w:p w14:paraId="69B957E3" w14:textId="066D9196" w:rsidR="00BC74BF" w:rsidRDefault="00BC74BF">
      <w:pPr>
        <w:rPr>
          <w:rFonts w:ascii="Garamond" w:hAnsi="Garamond"/>
          <w:sz w:val="24"/>
          <w:szCs w:val="24"/>
          <w:lang w:val="sr-Latn-ME"/>
        </w:rPr>
      </w:pPr>
    </w:p>
    <w:p w14:paraId="3476CD1B" w14:textId="703F9162" w:rsidR="00BC74BF" w:rsidRPr="00BC74BF" w:rsidRDefault="00BC74BF">
      <w:pPr>
        <w:rPr>
          <w:rFonts w:ascii="Garamond" w:hAnsi="Garamond"/>
          <w:b/>
          <w:bCs/>
          <w:sz w:val="24"/>
          <w:szCs w:val="24"/>
          <w:lang w:val="sr-Latn-ME"/>
        </w:rPr>
      </w:pPr>
      <w:r w:rsidRPr="00BC74BF">
        <w:rPr>
          <w:rFonts w:ascii="Garamond" w:hAnsi="Garamond"/>
          <w:b/>
          <w:bCs/>
          <w:sz w:val="24"/>
          <w:szCs w:val="24"/>
          <w:lang w:val="sr-Latn-ME"/>
        </w:rPr>
        <w:lastRenderedPageBreak/>
        <w:t>Vukadinović i Čehulić</w:t>
      </w:r>
    </w:p>
    <w:p w14:paraId="51B95ED4" w14:textId="385F4CDE" w:rsidR="00BC74BF" w:rsidRDefault="00BC74BF">
      <w:p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>22. Odnosi EU i Rusije za vrijeme Jeljcina – Stajališta Rusije</w:t>
      </w:r>
    </w:p>
    <w:p w14:paraId="57F8D850" w14:textId="457AD1B3" w:rsidR="00BC74BF" w:rsidRDefault="00BC74BF">
      <w:p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 xml:space="preserve">23. </w:t>
      </w:r>
      <w:r>
        <w:rPr>
          <w:rFonts w:ascii="Garamond" w:hAnsi="Garamond"/>
          <w:sz w:val="24"/>
          <w:szCs w:val="24"/>
          <w:lang w:val="sr-Latn-ME"/>
        </w:rPr>
        <w:t xml:space="preserve">Odnosi EU i Rusije za vrijeme Jeljcina – Stajališta </w:t>
      </w:r>
      <w:r>
        <w:rPr>
          <w:rFonts w:ascii="Garamond" w:hAnsi="Garamond"/>
          <w:sz w:val="24"/>
          <w:szCs w:val="24"/>
          <w:lang w:val="sr-Latn-ME"/>
        </w:rPr>
        <w:t>EU</w:t>
      </w:r>
    </w:p>
    <w:p w14:paraId="13CB9779" w14:textId="11060DB9" w:rsidR="00BC74BF" w:rsidRDefault="00BC74BF">
      <w:p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 xml:space="preserve">24. </w:t>
      </w:r>
      <w:r>
        <w:rPr>
          <w:rFonts w:ascii="Garamond" w:hAnsi="Garamond"/>
          <w:sz w:val="24"/>
          <w:szCs w:val="24"/>
          <w:lang w:val="sr-Latn-ME"/>
        </w:rPr>
        <w:t xml:space="preserve">Odnosi EU i Rusije za vrijeme </w:t>
      </w:r>
      <w:r>
        <w:rPr>
          <w:rFonts w:ascii="Garamond" w:hAnsi="Garamond"/>
          <w:sz w:val="24"/>
          <w:szCs w:val="24"/>
          <w:lang w:val="sr-Latn-ME"/>
        </w:rPr>
        <w:t>Putina – Dolazak Putina na vlast</w:t>
      </w:r>
    </w:p>
    <w:p w14:paraId="5505217E" w14:textId="4A3B893D" w:rsidR="00BC74BF" w:rsidRDefault="00BC74BF" w:rsidP="00BC74BF">
      <w:p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>2</w:t>
      </w:r>
      <w:r>
        <w:rPr>
          <w:rFonts w:ascii="Garamond" w:hAnsi="Garamond"/>
          <w:sz w:val="24"/>
          <w:szCs w:val="24"/>
          <w:lang w:val="sr-Latn-ME"/>
        </w:rPr>
        <w:t>5</w:t>
      </w:r>
      <w:r>
        <w:rPr>
          <w:rFonts w:ascii="Garamond" w:hAnsi="Garamond"/>
          <w:sz w:val="24"/>
          <w:szCs w:val="24"/>
          <w:lang w:val="sr-Latn-ME"/>
        </w:rPr>
        <w:t xml:space="preserve">. Odnosi EU i Rusije za vrijeme Putina – </w:t>
      </w:r>
      <w:r>
        <w:rPr>
          <w:rFonts w:ascii="Garamond" w:hAnsi="Garamond"/>
          <w:sz w:val="24"/>
          <w:szCs w:val="24"/>
          <w:lang w:val="sr-Latn-ME"/>
        </w:rPr>
        <w:t>Političko-sigurnosni globalni dijalog</w:t>
      </w:r>
    </w:p>
    <w:p w14:paraId="690CC6E5" w14:textId="4C4B0F97" w:rsidR="00BC74BF" w:rsidRDefault="00BC74BF" w:rsidP="00BC74BF">
      <w:p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>26. ESDP i Rusija</w:t>
      </w:r>
    </w:p>
    <w:p w14:paraId="76A1F509" w14:textId="189B5B2F" w:rsidR="00BC74BF" w:rsidRDefault="00BC74BF" w:rsidP="00BC74BF">
      <w:pPr>
        <w:rPr>
          <w:rFonts w:ascii="Garamond" w:hAnsi="Garamond"/>
          <w:sz w:val="24"/>
          <w:szCs w:val="24"/>
          <w:lang w:val="sr-Latn-ME"/>
        </w:rPr>
      </w:pPr>
    </w:p>
    <w:p w14:paraId="1B05D173" w14:textId="6DD81F93" w:rsidR="00BC74BF" w:rsidRPr="002C03C1" w:rsidRDefault="00BC74BF" w:rsidP="00BC74BF">
      <w:pPr>
        <w:rPr>
          <w:rFonts w:ascii="Garamond" w:hAnsi="Garamond"/>
          <w:b/>
          <w:bCs/>
          <w:sz w:val="24"/>
          <w:szCs w:val="24"/>
          <w:lang w:val="sr-Latn-ME"/>
        </w:rPr>
      </w:pPr>
      <w:r w:rsidRPr="002C03C1">
        <w:rPr>
          <w:rFonts w:ascii="Garamond" w:hAnsi="Garamond"/>
          <w:b/>
          <w:bCs/>
          <w:sz w:val="24"/>
          <w:szCs w:val="24"/>
          <w:lang w:val="sr-Latn-ME"/>
        </w:rPr>
        <w:t>Vukadinović i Čehulić</w:t>
      </w:r>
    </w:p>
    <w:p w14:paraId="17404849" w14:textId="411569A7" w:rsidR="00BC74BF" w:rsidRDefault="00BC74BF" w:rsidP="00BC74BF">
      <w:p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>27. EU i SAD – Razlike u pristupima</w:t>
      </w:r>
    </w:p>
    <w:p w14:paraId="6D8311CB" w14:textId="3D083D92" w:rsidR="00BC74BF" w:rsidRDefault="00BC74BF" w:rsidP="00BC74BF">
      <w:p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>28. EU i SAD – Tri seta razlika</w:t>
      </w:r>
    </w:p>
    <w:p w14:paraId="002EDFC3" w14:textId="5156A3B8" w:rsidR="00BC74BF" w:rsidRDefault="00BC74BF" w:rsidP="00BC74BF">
      <w:p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>29. Scenariji budućih euroatlanskih odnosa</w:t>
      </w:r>
    </w:p>
    <w:p w14:paraId="03D3B8F7" w14:textId="531D225B" w:rsidR="00BC74BF" w:rsidRDefault="00BC74BF" w:rsidP="00BC74BF">
      <w:p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>30.</w:t>
      </w:r>
      <w:r w:rsidR="002C03C1">
        <w:rPr>
          <w:rFonts w:ascii="Garamond" w:hAnsi="Garamond"/>
          <w:sz w:val="24"/>
          <w:szCs w:val="24"/>
          <w:lang w:val="sr-Latn-ME"/>
        </w:rPr>
        <w:t xml:space="preserve"> Obnovljeni euroatlantizam</w:t>
      </w:r>
    </w:p>
    <w:p w14:paraId="1FBBE8A8" w14:textId="68F98737" w:rsidR="002C03C1" w:rsidRDefault="002C03C1" w:rsidP="00BC74BF">
      <w:pPr>
        <w:rPr>
          <w:rFonts w:ascii="Garamond" w:hAnsi="Garamond"/>
          <w:sz w:val="24"/>
          <w:szCs w:val="24"/>
          <w:lang w:val="sr-Latn-ME"/>
        </w:rPr>
      </w:pPr>
    </w:p>
    <w:p w14:paraId="515D3A89" w14:textId="0EDAD814" w:rsidR="002C03C1" w:rsidRPr="002C03C1" w:rsidRDefault="002C03C1" w:rsidP="00BC74BF">
      <w:pPr>
        <w:rPr>
          <w:rFonts w:ascii="Garamond" w:hAnsi="Garamond"/>
          <w:b/>
          <w:bCs/>
          <w:sz w:val="24"/>
          <w:szCs w:val="24"/>
          <w:lang w:val="sr-Latn-ME"/>
        </w:rPr>
      </w:pPr>
      <w:r w:rsidRPr="002C03C1">
        <w:rPr>
          <w:rFonts w:ascii="Garamond" w:hAnsi="Garamond"/>
          <w:b/>
          <w:bCs/>
          <w:sz w:val="24"/>
          <w:szCs w:val="24"/>
          <w:lang w:val="sr-Latn-ME"/>
        </w:rPr>
        <w:t>Đurović</w:t>
      </w:r>
    </w:p>
    <w:p w14:paraId="58C21D8C" w14:textId="720A4C09" w:rsidR="002C03C1" w:rsidRDefault="002C03C1" w:rsidP="00BC74BF">
      <w:p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>31. Od Ustava do Lisabona – predsjedavanje Njemačke</w:t>
      </w:r>
    </w:p>
    <w:p w14:paraId="609936AF" w14:textId="776ADC73" w:rsidR="002C03C1" w:rsidRDefault="002C03C1" w:rsidP="00BC74BF">
      <w:p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>32.  Predsjedavanje Portugalije</w:t>
      </w:r>
    </w:p>
    <w:p w14:paraId="59982129" w14:textId="05331B74" w:rsidR="002C03C1" w:rsidRDefault="002C03C1" w:rsidP="00BC74BF">
      <w:p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>33. Integracionisti i kooperacionisti</w:t>
      </w:r>
    </w:p>
    <w:p w14:paraId="14B0DF60" w14:textId="60F95095" w:rsidR="002C03C1" w:rsidRDefault="002C03C1" w:rsidP="00BC74BF">
      <w:p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>34. Ratifikacija – Irska i Češka</w:t>
      </w:r>
    </w:p>
    <w:p w14:paraId="57955738" w14:textId="5BAB9350" w:rsidR="002C03C1" w:rsidRDefault="002C03C1" w:rsidP="00BC74BF">
      <w:p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>35. Lisabonski ugovor i spoljna politika Unije</w:t>
      </w:r>
    </w:p>
    <w:p w14:paraId="603F4731" w14:textId="59C282A7" w:rsidR="002C03C1" w:rsidRDefault="002C03C1" w:rsidP="00BC74BF">
      <w:p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>36. Napredak ka evopskoj odbrambenoj politici</w:t>
      </w:r>
    </w:p>
    <w:p w14:paraId="304937F7" w14:textId="77777777" w:rsidR="00BC74BF" w:rsidRPr="00D27836" w:rsidRDefault="00BC74BF">
      <w:pPr>
        <w:rPr>
          <w:rFonts w:ascii="Garamond" w:hAnsi="Garamond"/>
          <w:sz w:val="24"/>
          <w:szCs w:val="24"/>
          <w:lang w:val="sr-Latn-ME"/>
        </w:rPr>
      </w:pPr>
    </w:p>
    <w:sectPr w:rsidR="00BC74BF" w:rsidRPr="00D27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C9"/>
    <w:rsid w:val="002C03C1"/>
    <w:rsid w:val="00415D06"/>
    <w:rsid w:val="00522944"/>
    <w:rsid w:val="0078240C"/>
    <w:rsid w:val="009665C9"/>
    <w:rsid w:val="00BC6208"/>
    <w:rsid w:val="00BC74BF"/>
    <w:rsid w:val="00D27836"/>
    <w:rsid w:val="00E0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D94E8"/>
  <w15:chartTrackingRefBased/>
  <w15:docId w15:val="{E910704A-C3D8-4D2A-BF55-6C9114E3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2</cp:revision>
  <dcterms:created xsi:type="dcterms:W3CDTF">2023-04-06T08:43:00Z</dcterms:created>
  <dcterms:modified xsi:type="dcterms:W3CDTF">2023-04-06T09:07:00Z</dcterms:modified>
</cp:coreProperties>
</file>