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937A" w14:textId="2657E60D" w:rsidR="00433F2B" w:rsidRPr="00D44EB0" w:rsidRDefault="00433F2B" w:rsidP="00F81596">
      <w:pPr>
        <w:jc w:val="center"/>
        <w:rPr>
          <w:rFonts w:ascii="Century" w:hAnsi="Century"/>
          <w:b/>
        </w:rPr>
      </w:pPr>
      <w:r w:rsidRPr="00D44EB0">
        <w:rPr>
          <w:rFonts w:ascii="Century" w:hAnsi="Century"/>
          <w:b/>
        </w:rPr>
        <w:t>Plan rada</w:t>
      </w:r>
      <w:r w:rsidR="00F81596" w:rsidRPr="00D44EB0">
        <w:rPr>
          <w:rFonts w:ascii="Century" w:hAnsi="Century"/>
          <w:b/>
        </w:rPr>
        <w:t>, po neđeljama,</w:t>
      </w:r>
      <w:r w:rsidRPr="00D44EB0">
        <w:rPr>
          <w:rFonts w:ascii="Century" w:hAnsi="Century"/>
          <w:b/>
        </w:rPr>
        <w:t xml:space="preserve"> iz predmeta “</w:t>
      </w:r>
      <w:r w:rsidR="00D44EB0" w:rsidRPr="00D44EB0">
        <w:rPr>
          <w:rFonts w:ascii="Century" w:hAnsi="Century"/>
          <w:b/>
        </w:rPr>
        <w:t>Euroatlantizam</w:t>
      </w:r>
      <w:r w:rsidRPr="00D44EB0">
        <w:rPr>
          <w:rFonts w:ascii="Century" w:hAnsi="Century"/>
          <w:b/>
        </w:rPr>
        <w:t>”</w:t>
      </w:r>
      <w:r w:rsidR="00F81596" w:rsidRPr="00D44EB0">
        <w:rPr>
          <w:rFonts w:ascii="Century" w:hAnsi="Century"/>
          <w:b/>
        </w:rPr>
        <w:t xml:space="preserve"> </w:t>
      </w:r>
      <w:r w:rsidR="00D44EB0">
        <w:rPr>
          <w:rFonts w:ascii="Century" w:hAnsi="Century"/>
          <w:b/>
        </w:rPr>
        <w:t>za akademsku 20</w:t>
      </w:r>
      <w:r w:rsidR="00C95992">
        <w:rPr>
          <w:rFonts w:ascii="Century" w:hAnsi="Century"/>
          <w:b/>
        </w:rPr>
        <w:t>2</w:t>
      </w:r>
      <w:r w:rsidR="00F9086B">
        <w:rPr>
          <w:rFonts w:ascii="Century" w:hAnsi="Century"/>
          <w:b/>
        </w:rPr>
        <w:t>3</w:t>
      </w:r>
      <w:r w:rsidR="00D44EB0">
        <w:rPr>
          <w:rFonts w:ascii="Century" w:hAnsi="Century"/>
          <w:b/>
        </w:rPr>
        <w:t>-202</w:t>
      </w:r>
      <w:r w:rsidR="00F9086B">
        <w:rPr>
          <w:rFonts w:ascii="Century" w:hAnsi="Century"/>
          <w:b/>
        </w:rPr>
        <w:t>4</w:t>
      </w:r>
      <w:r w:rsidRPr="00D44EB0">
        <w:rPr>
          <w:rFonts w:ascii="Century" w:hAnsi="Century"/>
          <w:b/>
        </w:rPr>
        <w:t xml:space="preserve">. </w:t>
      </w:r>
      <w:r w:rsidR="00DA1AE2" w:rsidRPr="00D44EB0">
        <w:rPr>
          <w:rFonts w:ascii="Century" w:hAnsi="Century"/>
          <w:b/>
        </w:rPr>
        <w:t>g</w:t>
      </w:r>
      <w:r w:rsidRPr="00D44EB0">
        <w:rPr>
          <w:rFonts w:ascii="Century" w:hAnsi="Century"/>
          <w:b/>
        </w:rPr>
        <w:t>odinu</w:t>
      </w:r>
    </w:p>
    <w:p w14:paraId="6F52AED9" w14:textId="77777777" w:rsidR="000C2394" w:rsidRPr="00D44EB0" w:rsidRDefault="000C2394" w:rsidP="000C5876">
      <w:pPr>
        <w:rPr>
          <w:rFonts w:ascii="Century" w:hAnsi="Century"/>
          <w:b/>
        </w:rPr>
      </w:pPr>
    </w:p>
    <w:p w14:paraId="520A9AAA" w14:textId="16781940" w:rsidR="00D44EB0" w:rsidRPr="00D44EB0" w:rsidRDefault="00D44EB0" w:rsidP="000C5876">
      <w:pPr>
        <w:rPr>
          <w:rFonts w:ascii="Century" w:hAnsi="Century"/>
          <w:b/>
        </w:rPr>
      </w:pPr>
      <w:r w:rsidRPr="00D44EB0">
        <w:rPr>
          <w:rFonts w:ascii="Century" w:hAnsi="Century"/>
          <w:b/>
        </w:rPr>
        <w:t xml:space="preserve">Predavanja: </w:t>
      </w:r>
      <w:r w:rsidRPr="00D44EB0">
        <w:rPr>
          <w:rFonts w:ascii="Century" w:hAnsi="Century"/>
          <w:b/>
          <w:lang w:val="sr-Latn-ME"/>
        </w:rPr>
        <w:t xml:space="preserve">Četvrtak </w:t>
      </w:r>
      <w:r w:rsidR="00F9086B">
        <w:rPr>
          <w:rFonts w:ascii="Century" w:hAnsi="Century"/>
          <w:b/>
          <w:lang w:val="sr-Latn-ME"/>
        </w:rPr>
        <w:t>10</w:t>
      </w:r>
      <w:r w:rsidRPr="00D44EB0">
        <w:rPr>
          <w:rFonts w:ascii="Century" w:hAnsi="Century"/>
          <w:b/>
          <w:lang w:val="sr-Latn-ME"/>
        </w:rPr>
        <w:t>:00-</w:t>
      </w:r>
      <w:r w:rsidR="00F9086B">
        <w:rPr>
          <w:rFonts w:ascii="Century" w:hAnsi="Century"/>
          <w:b/>
          <w:lang w:val="sr-Latn-ME"/>
        </w:rPr>
        <w:t>11</w:t>
      </w:r>
      <w:r w:rsidRPr="00D44EB0">
        <w:rPr>
          <w:rFonts w:ascii="Century" w:hAnsi="Century"/>
          <w:b/>
          <w:lang w:val="sr-Latn-ME"/>
        </w:rPr>
        <w:t>:</w:t>
      </w:r>
      <w:r w:rsidR="00F93234">
        <w:rPr>
          <w:rFonts w:ascii="Century" w:hAnsi="Century"/>
          <w:b/>
          <w:lang w:val="sr-Latn-ME"/>
        </w:rPr>
        <w:t>30</w:t>
      </w:r>
      <w:r w:rsidRPr="00D44EB0">
        <w:rPr>
          <w:rFonts w:ascii="Century" w:hAnsi="Century"/>
          <w:b/>
          <w:lang w:val="sr-Latn-ME"/>
        </w:rPr>
        <w:t>h, sala 5</w:t>
      </w:r>
    </w:p>
    <w:p w14:paraId="7BDC51E2" w14:textId="1886679A" w:rsidR="00D44EB0" w:rsidRPr="00D44EB0" w:rsidRDefault="00D44EB0" w:rsidP="000C5876">
      <w:pPr>
        <w:rPr>
          <w:rFonts w:ascii="Century" w:hAnsi="Century"/>
          <w:b/>
          <w:lang w:val="sr-Latn-ME"/>
        </w:rPr>
      </w:pPr>
      <w:r w:rsidRPr="00D44EB0">
        <w:rPr>
          <w:rFonts w:ascii="Century" w:hAnsi="Century"/>
          <w:b/>
        </w:rPr>
        <w:t>Vje</w:t>
      </w:r>
      <w:r w:rsidRPr="00D44EB0">
        <w:rPr>
          <w:rFonts w:ascii="Century" w:hAnsi="Century"/>
          <w:b/>
          <w:lang w:val="sr-Latn-ME"/>
        </w:rPr>
        <w:t xml:space="preserve">žbe: </w:t>
      </w:r>
      <w:r w:rsidR="00F9086B">
        <w:rPr>
          <w:rFonts w:ascii="Century" w:hAnsi="Century"/>
          <w:b/>
          <w:lang w:val="sr-Latn-ME"/>
        </w:rPr>
        <w:t>Srijeda</w:t>
      </w:r>
      <w:r w:rsidRPr="00D44EB0">
        <w:rPr>
          <w:rFonts w:ascii="Century" w:hAnsi="Century"/>
          <w:b/>
          <w:lang w:val="sr-Latn-ME"/>
        </w:rPr>
        <w:t xml:space="preserve"> </w:t>
      </w:r>
      <w:r w:rsidR="00F93234">
        <w:rPr>
          <w:rFonts w:ascii="Century" w:hAnsi="Century"/>
          <w:b/>
          <w:lang w:val="sr-Latn-ME"/>
        </w:rPr>
        <w:t>1</w:t>
      </w:r>
      <w:r w:rsidR="00F9086B">
        <w:rPr>
          <w:rFonts w:ascii="Century" w:hAnsi="Century"/>
          <w:b/>
          <w:lang w:val="sr-Latn-ME"/>
        </w:rPr>
        <w:t>4</w:t>
      </w:r>
      <w:r w:rsidRPr="00D44EB0">
        <w:rPr>
          <w:rFonts w:ascii="Century" w:hAnsi="Century"/>
          <w:b/>
          <w:lang w:val="sr-Latn-ME"/>
        </w:rPr>
        <w:t>:</w:t>
      </w:r>
      <w:r w:rsidR="00F9086B">
        <w:rPr>
          <w:rFonts w:ascii="Century" w:hAnsi="Century"/>
          <w:b/>
          <w:lang w:val="sr-Latn-ME"/>
        </w:rPr>
        <w:t>30</w:t>
      </w:r>
      <w:r w:rsidRPr="00D44EB0">
        <w:rPr>
          <w:rFonts w:ascii="Century" w:hAnsi="Century"/>
          <w:b/>
          <w:lang w:val="sr-Latn-ME"/>
        </w:rPr>
        <w:t>-1</w:t>
      </w:r>
      <w:r w:rsidR="00F9086B">
        <w:rPr>
          <w:rFonts w:ascii="Century" w:hAnsi="Century"/>
          <w:b/>
          <w:lang w:val="sr-Latn-ME"/>
        </w:rPr>
        <w:t>6</w:t>
      </w:r>
      <w:r w:rsidRPr="00D44EB0">
        <w:rPr>
          <w:rFonts w:ascii="Century" w:hAnsi="Century"/>
          <w:b/>
          <w:lang w:val="sr-Latn-ME"/>
        </w:rPr>
        <w:t>:</w:t>
      </w:r>
      <w:r w:rsidR="00F9086B">
        <w:rPr>
          <w:rFonts w:ascii="Century" w:hAnsi="Century"/>
          <w:b/>
          <w:lang w:val="sr-Latn-ME"/>
        </w:rPr>
        <w:t>0</w:t>
      </w:r>
      <w:r w:rsidRPr="00D44EB0">
        <w:rPr>
          <w:rFonts w:ascii="Century" w:hAnsi="Century"/>
          <w:b/>
          <w:lang w:val="sr-Latn-ME"/>
        </w:rPr>
        <w:t xml:space="preserve">0h, sala </w:t>
      </w:r>
      <w:r w:rsidR="00F9086B">
        <w:rPr>
          <w:rFonts w:ascii="Century" w:hAnsi="Century"/>
          <w:b/>
          <w:lang w:val="sr-Latn-ME"/>
        </w:rPr>
        <w:t>2</w:t>
      </w:r>
    </w:p>
    <w:p w14:paraId="4E3E3B0B" w14:textId="77777777" w:rsidR="00D44EB0" w:rsidRPr="00D44EB0" w:rsidRDefault="00D44EB0" w:rsidP="000C5876">
      <w:pPr>
        <w:rPr>
          <w:rFonts w:ascii="Century" w:hAnsi="Century"/>
          <w:b/>
          <w:lang w:val="sr-Latn-ME"/>
        </w:rPr>
      </w:pPr>
    </w:p>
    <w:p w14:paraId="446BFD39" w14:textId="77777777" w:rsidR="00D44EB0" w:rsidRPr="00D44EB0" w:rsidRDefault="00D44EB0" w:rsidP="000C5876">
      <w:pPr>
        <w:rPr>
          <w:rFonts w:ascii="Century" w:hAnsi="Century"/>
          <w:b/>
          <w:lang w:val="sr-Latn-ME"/>
        </w:rPr>
      </w:pPr>
    </w:p>
    <w:p w14:paraId="7DDE4094" w14:textId="77777777" w:rsidR="00D44EB0" w:rsidRPr="00D44EB0" w:rsidRDefault="00D44EB0" w:rsidP="000C5876">
      <w:pPr>
        <w:rPr>
          <w:rFonts w:ascii="Century" w:hAnsi="Century"/>
          <w:b/>
          <w:lang w:val="sr-Latn-ME"/>
        </w:rPr>
      </w:pPr>
      <w:r w:rsidRPr="00D44EB0">
        <w:rPr>
          <w:rFonts w:ascii="Century" w:hAnsi="Century"/>
          <w:b/>
          <w:lang w:val="sr-Latn-ME"/>
        </w:rPr>
        <w:t xml:space="preserve">Konsultacije sa saradnikom: </w:t>
      </w:r>
    </w:p>
    <w:p w14:paraId="52607BE7" w14:textId="77777777" w:rsidR="00D44EB0" w:rsidRPr="00D44EB0" w:rsidRDefault="00D44EB0" w:rsidP="000C5876">
      <w:pPr>
        <w:rPr>
          <w:rFonts w:ascii="Century" w:hAnsi="Century"/>
          <w:b/>
          <w:lang w:val="sr-Latn-ME"/>
        </w:rPr>
      </w:pPr>
    </w:p>
    <w:p w14:paraId="5A7E3CC9" w14:textId="77777777" w:rsidR="00D44EB0" w:rsidRPr="00D44EB0" w:rsidRDefault="00D44EB0" w:rsidP="000C5876">
      <w:pPr>
        <w:rPr>
          <w:rFonts w:ascii="Century" w:hAnsi="Century"/>
          <w:lang w:val="sr-Latn-ME"/>
        </w:rPr>
      </w:pPr>
      <w:r w:rsidRPr="00D44EB0">
        <w:rPr>
          <w:rFonts w:ascii="Century" w:hAnsi="Century"/>
          <w:lang w:val="sr-Latn-ME"/>
        </w:rPr>
        <w:t>Sve informacije o predmetu biće blagovremeno postavljene na sajt. Sve dodatne informacije možete dobiti na časovima vježbi, i u terminu konsultacija ponedjeljkom i petkom 9-10h, kanc. 13.</w:t>
      </w:r>
    </w:p>
    <w:p w14:paraId="37EECC21" w14:textId="77777777" w:rsidR="00D44EB0" w:rsidRPr="00D44EB0" w:rsidRDefault="00D44EB0" w:rsidP="000C5876">
      <w:pPr>
        <w:rPr>
          <w:rFonts w:ascii="Century" w:hAnsi="Century"/>
          <w:lang w:val="sr-Latn-ME"/>
        </w:rPr>
      </w:pPr>
    </w:p>
    <w:p w14:paraId="5F19D10C" w14:textId="77777777" w:rsidR="00D44EB0" w:rsidRPr="00D44EB0" w:rsidRDefault="00D44EB0" w:rsidP="000C5876">
      <w:pPr>
        <w:rPr>
          <w:rFonts w:ascii="Century" w:hAnsi="Century"/>
          <w:lang w:val="sr-Latn-ME"/>
        </w:rPr>
      </w:pPr>
      <w:r w:rsidRPr="00D44EB0">
        <w:rPr>
          <w:rFonts w:ascii="Century" w:hAnsi="Century"/>
          <w:lang w:val="sr-Latn-ME"/>
        </w:rPr>
        <w:t xml:space="preserve">Kontakt mejl je </w:t>
      </w:r>
      <w:hyperlink r:id="rId5" w:history="1">
        <w:r w:rsidRPr="00D44EB0">
          <w:rPr>
            <w:rStyle w:val="Hyperlink"/>
            <w:rFonts w:ascii="Century" w:hAnsi="Century"/>
            <w:lang w:val="sr-Latn-ME"/>
          </w:rPr>
          <w:t>nstankov42@gmail.com</w:t>
        </w:r>
      </w:hyperlink>
      <w:r w:rsidRPr="00D44EB0">
        <w:rPr>
          <w:rFonts w:ascii="Century" w:hAnsi="Century"/>
          <w:lang w:val="sr-Latn-ME"/>
        </w:rPr>
        <w:t>. Na upite poslate na mejl odgovaram u terminu konsultacija.</w:t>
      </w:r>
    </w:p>
    <w:p w14:paraId="7C75A900" w14:textId="77777777" w:rsidR="00E123E6" w:rsidRPr="00D44EB0" w:rsidRDefault="00E123E6" w:rsidP="000C5876">
      <w:pPr>
        <w:rPr>
          <w:rFonts w:ascii="Century" w:hAnsi="Century"/>
          <w:b/>
        </w:rPr>
      </w:pPr>
    </w:p>
    <w:p w14:paraId="48E15791" w14:textId="767F41F1" w:rsidR="005812D2" w:rsidRPr="00D44EB0" w:rsidRDefault="0045081D" w:rsidP="00534FE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>Upoznavanje s organizacijom rada na predmetu</w:t>
      </w:r>
      <w:r w:rsidR="00D44EB0" w:rsidRPr="00D44EB0">
        <w:rPr>
          <w:rFonts w:ascii="Century" w:hAnsi="Century"/>
          <w:b/>
          <w:u w:val="single"/>
        </w:rPr>
        <w:t xml:space="preserve"> (</w:t>
      </w:r>
      <w:r w:rsidR="00F9086B">
        <w:rPr>
          <w:rFonts w:ascii="Century" w:hAnsi="Century"/>
          <w:b/>
          <w:u w:val="single"/>
        </w:rPr>
        <w:t>28</w:t>
      </w:r>
      <w:r w:rsidR="00534FE8" w:rsidRPr="00D44EB0">
        <w:rPr>
          <w:rFonts w:ascii="Century" w:hAnsi="Century"/>
          <w:b/>
          <w:u w:val="single"/>
        </w:rPr>
        <w:t>.</w:t>
      </w:r>
      <w:r w:rsidR="00F9086B">
        <w:rPr>
          <w:rFonts w:ascii="Century" w:hAnsi="Century"/>
          <w:b/>
          <w:u w:val="single"/>
        </w:rPr>
        <w:t>09</w:t>
      </w:r>
      <w:r w:rsidR="00534FE8" w:rsidRPr="00D44EB0">
        <w:rPr>
          <w:rFonts w:ascii="Century" w:hAnsi="Century"/>
          <w:b/>
          <w:u w:val="single"/>
        </w:rPr>
        <w:t>)</w:t>
      </w:r>
    </w:p>
    <w:p w14:paraId="07E9252E" w14:textId="77777777" w:rsidR="000C2394" w:rsidRPr="00D44EB0" w:rsidRDefault="000C2394" w:rsidP="000C5876">
      <w:pPr>
        <w:jc w:val="both"/>
        <w:rPr>
          <w:rFonts w:ascii="Century" w:hAnsi="Century"/>
          <w:b/>
          <w:u w:val="single"/>
        </w:rPr>
      </w:pPr>
    </w:p>
    <w:p w14:paraId="1643FE7A" w14:textId="1E18D0CB" w:rsidR="00534FE8" w:rsidRPr="00D44EB0" w:rsidRDefault="00534FE8" w:rsidP="00534FE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>Sistem kolektivne bezbjednosti u okviru Društva naroda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F9086B">
        <w:rPr>
          <w:rFonts w:ascii="Century" w:hAnsi="Century"/>
          <w:b/>
          <w:u w:val="single"/>
        </w:rPr>
        <w:t>05</w:t>
      </w:r>
      <w:r w:rsidRPr="00D44EB0">
        <w:rPr>
          <w:rFonts w:ascii="Century" w:hAnsi="Century"/>
          <w:b/>
          <w:u w:val="single"/>
        </w:rPr>
        <w:t>.10)</w:t>
      </w:r>
    </w:p>
    <w:p w14:paraId="49863A9A" w14:textId="77777777"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Bennet, A. L. i Oliver, J. K. (2004). </w:t>
      </w:r>
      <w:r w:rsidRPr="00D44EB0">
        <w:rPr>
          <w:rFonts w:ascii="Century" w:hAnsi="Century"/>
          <w:i/>
          <w:u w:val="single"/>
        </w:rPr>
        <w:t>Međunarodne organizacije, Načela i problemi</w:t>
      </w:r>
      <w:r w:rsidRPr="00D44EB0">
        <w:rPr>
          <w:rFonts w:ascii="Century" w:hAnsi="Century"/>
          <w:u w:val="single"/>
          <w:lang w:val="sr-Latn-CS"/>
        </w:rPr>
        <w:t>, str. 130-135; 35-49, Zagreb: Politička kultura.</w:t>
      </w:r>
    </w:p>
    <w:p w14:paraId="3D830D32" w14:textId="77777777"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Vukadinović, R. (1973). “Razvoj evropske sigurnosti”, </w:t>
      </w:r>
      <w:r w:rsidRPr="00D44EB0">
        <w:rPr>
          <w:rFonts w:ascii="Century" w:hAnsi="Century"/>
          <w:i/>
          <w:u w:val="single"/>
        </w:rPr>
        <w:t>Politička misao</w:t>
      </w:r>
      <w:r w:rsidRPr="00D44EB0">
        <w:rPr>
          <w:rFonts w:ascii="Century" w:hAnsi="Century"/>
          <w:u w:val="single"/>
        </w:rPr>
        <w:t>, 318-340.</w:t>
      </w:r>
    </w:p>
    <w:p w14:paraId="679E1C8A" w14:textId="77777777" w:rsidR="00534FE8" w:rsidRPr="00D44EB0" w:rsidRDefault="00534FE8" w:rsidP="00534FE8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 xml:space="preserve">The League of Nations Charter (dostupna na: </w:t>
      </w:r>
      <w:hyperlink r:id="rId6" w:history="1">
        <w:r w:rsidRPr="00D44EB0">
          <w:rPr>
            <w:rStyle w:val="Hyperlink"/>
            <w:rFonts w:ascii="Century" w:hAnsi="Century"/>
          </w:rPr>
          <w:t>http://libcudl.colorado.edu/wwi/pdf/i73728238.pdf</w:t>
        </w:r>
      </w:hyperlink>
      <w:r w:rsidRPr="00D44EB0">
        <w:rPr>
          <w:rFonts w:ascii="Century" w:hAnsi="Century"/>
        </w:rPr>
        <w:t xml:space="preserve">) </w:t>
      </w:r>
    </w:p>
    <w:p w14:paraId="37B9D11F" w14:textId="77777777" w:rsidR="00534FE8" w:rsidRPr="00D44EB0" w:rsidRDefault="00534FE8" w:rsidP="00534FE8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Baer, G. W. (1973). “Sanctions and Security: The League of Nations and the Italian-Ethiopian War, 1935-1936”, </w:t>
      </w:r>
      <w:r w:rsidRPr="00D44EB0">
        <w:rPr>
          <w:rFonts w:ascii="Century" w:hAnsi="Century"/>
          <w:i/>
          <w:color w:val="FF0000"/>
        </w:rPr>
        <w:t>International Organization</w:t>
      </w:r>
      <w:r w:rsidRPr="00D44EB0">
        <w:rPr>
          <w:rFonts w:ascii="Century" w:hAnsi="Century"/>
          <w:color w:val="FF0000"/>
        </w:rPr>
        <w:t xml:space="preserve">, 27(2): 165-179.  </w:t>
      </w:r>
    </w:p>
    <w:p w14:paraId="6E9856D2" w14:textId="77777777" w:rsidR="000C2394" w:rsidRPr="00D44EB0" w:rsidRDefault="000C2394" w:rsidP="000C5876">
      <w:pPr>
        <w:jc w:val="both"/>
        <w:rPr>
          <w:rFonts w:ascii="Century" w:hAnsi="Century"/>
        </w:rPr>
      </w:pPr>
    </w:p>
    <w:p w14:paraId="654797D8" w14:textId="2A7E49AB" w:rsidR="0045081D" w:rsidRPr="00D44EB0" w:rsidRDefault="0045081D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>Ujedinjene nacije kao novi okvir sistema kolektivne bezbjednosti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F9086B">
        <w:rPr>
          <w:rFonts w:ascii="Century" w:hAnsi="Century"/>
          <w:b/>
          <w:u w:val="single"/>
        </w:rPr>
        <w:t>12</w:t>
      </w:r>
      <w:r w:rsidR="00534FE8" w:rsidRPr="00D44EB0">
        <w:rPr>
          <w:rFonts w:ascii="Century" w:hAnsi="Century"/>
          <w:b/>
          <w:u w:val="single"/>
        </w:rPr>
        <w:t>.10)</w:t>
      </w:r>
    </w:p>
    <w:p w14:paraId="0699267E" w14:textId="77777777" w:rsidR="0045081D" w:rsidRPr="00D44EB0" w:rsidRDefault="00421FF1" w:rsidP="00421FF1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Bennet, A. L. i Oliver, J. K. (2004). </w:t>
      </w:r>
      <w:r w:rsidRPr="00D44EB0">
        <w:rPr>
          <w:rFonts w:ascii="Century" w:hAnsi="Century"/>
          <w:i/>
          <w:u w:val="single"/>
        </w:rPr>
        <w:t>Međunarodne organizacije, Načela i problemi</w:t>
      </w:r>
      <w:r w:rsidRPr="00D44EB0">
        <w:rPr>
          <w:rFonts w:ascii="Century" w:hAnsi="Century"/>
          <w:u w:val="single"/>
          <w:lang w:val="sr-Latn-CS"/>
        </w:rPr>
        <w:t xml:space="preserve">, str. 50-77; </w:t>
      </w:r>
      <w:r w:rsidR="00113823" w:rsidRPr="00D44EB0">
        <w:rPr>
          <w:rFonts w:ascii="Century" w:hAnsi="Century"/>
          <w:u w:val="single"/>
          <w:lang w:val="sr-Latn-CS"/>
        </w:rPr>
        <w:t>135-</w:t>
      </w:r>
      <w:r w:rsidR="004634B7" w:rsidRPr="00D44EB0">
        <w:rPr>
          <w:rFonts w:ascii="Century" w:hAnsi="Century"/>
          <w:u w:val="single"/>
          <w:lang w:val="sr-Latn-CS"/>
        </w:rPr>
        <w:t>157</w:t>
      </w:r>
      <w:r w:rsidRPr="00D44EB0">
        <w:rPr>
          <w:rFonts w:ascii="Century" w:hAnsi="Century"/>
          <w:u w:val="single"/>
          <w:lang w:val="sr-Latn-CS"/>
        </w:rPr>
        <w:t>, Zagreb: Politička kultura.</w:t>
      </w:r>
    </w:p>
    <w:p w14:paraId="3C666E44" w14:textId="77777777"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Povelja UN-a (prevod</w:t>
      </w:r>
      <w:r w:rsidR="00471661" w:rsidRPr="00D44EB0">
        <w:rPr>
          <w:rFonts w:ascii="Century" w:hAnsi="Century"/>
        </w:rPr>
        <w:t xml:space="preserve"> dostupan na: </w:t>
      </w:r>
      <w:hyperlink r:id="rId7" w:history="1">
        <w:r w:rsidR="00471661" w:rsidRPr="00D44EB0">
          <w:rPr>
            <w:rStyle w:val="Hyperlink"/>
            <w:rFonts w:ascii="Century" w:hAnsi="Century"/>
          </w:rPr>
          <w:t>file:///C:/Users/PC/Downloads/Povelja%20UN-a.pdf</w:t>
        </w:r>
      </w:hyperlink>
      <w:r w:rsidRPr="00D44EB0">
        <w:rPr>
          <w:rFonts w:ascii="Century" w:hAnsi="Century"/>
        </w:rPr>
        <w:t>)</w:t>
      </w:r>
      <w:r w:rsidR="00471661" w:rsidRPr="00D44EB0">
        <w:rPr>
          <w:rFonts w:ascii="Century" w:hAnsi="Century"/>
        </w:rPr>
        <w:t xml:space="preserve"> </w:t>
      </w:r>
    </w:p>
    <w:p w14:paraId="40A0ECE9" w14:textId="77777777"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Goodrich, L. M. (1947). “From League of Nations to United Nations”, </w:t>
      </w:r>
      <w:r w:rsidRPr="00D44EB0">
        <w:rPr>
          <w:rFonts w:ascii="Century" w:hAnsi="Century"/>
          <w:i/>
          <w:color w:val="FF0000"/>
        </w:rPr>
        <w:t>International Organization</w:t>
      </w:r>
      <w:r w:rsidRPr="00D44EB0">
        <w:rPr>
          <w:rFonts w:ascii="Century" w:hAnsi="Century"/>
          <w:color w:val="FF0000"/>
        </w:rPr>
        <w:t>, 1(1): 3-21.</w:t>
      </w:r>
    </w:p>
    <w:p w14:paraId="78AD880C" w14:textId="77777777"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 xml:space="preserve">Roberts, A. (1995). “From San Francisco to Sarajevo: The UN and the Use of Force”, </w:t>
      </w:r>
      <w:r w:rsidRPr="00D44EB0">
        <w:rPr>
          <w:rFonts w:ascii="Century" w:hAnsi="Century"/>
          <w:i/>
        </w:rPr>
        <w:t>Survival</w:t>
      </w:r>
      <w:r w:rsidRPr="00D44EB0">
        <w:rPr>
          <w:rFonts w:ascii="Century" w:hAnsi="Century"/>
        </w:rPr>
        <w:t xml:space="preserve">, 37(4): 7-28. </w:t>
      </w:r>
    </w:p>
    <w:p w14:paraId="344939A8" w14:textId="77777777" w:rsidR="000C2394" w:rsidRPr="00D44EB0" w:rsidRDefault="000C2394" w:rsidP="000C5876">
      <w:pPr>
        <w:jc w:val="both"/>
        <w:rPr>
          <w:rFonts w:ascii="Century" w:hAnsi="Century"/>
        </w:rPr>
      </w:pPr>
    </w:p>
    <w:p w14:paraId="7835C143" w14:textId="558D9A3D" w:rsidR="0045081D" w:rsidRPr="00D44EB0" w:rsidRDefault="00954B1E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>Stvaranje novog me</w:t>
      </w:r>
      <w:r w:rsidRPr="00D44EB0">
        <w:rPr>
          <w:rFonts w:ascii="Century" w:hAnsi="Century"/>
          <w:b/>
          <w:u w:val="single"/>
          <w:lang w:val="sr-Latn-CS"/>
        </w:rPr>
        <w:t>đ</w:t>
      </w:r>
      <w:r w:rsidRPr="00D44EB0">
        <w:rPr>
          <w:rFonts w:ascii="Century" w:hAnsi="Century"/>
          <w:b/>
          <w:u w:val="single"/>
        </w:rPr>
        <w:t>unarodnog poretka nakon</w:t>
      </w:r>
      <w:r w:rsidR="0045081D" w:rsidRPr="00D44EB0">
        <w:rPr>
          <w:rFonts w:ascii="Century" w:hAnsi="Century"/>
          <w:b/>
          <w:u w:val="single"/>
        </w:rPr>
        <w:t xml:space="preserve"> Drugog svjetskog rata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F9086B">
        <w:rPr>
          <w:rFonts w:ascii="Century" w:hAnsi="Century"/>
          <w:b/>
          <w:u w:val="single"/>
        </w:rPr>
        <w:t>19</w:t>
      </w:r>
      <w:r w:rsidR="00534FE8" w:rsidRPr="00D44EB0">
        <w:rPr>
          <w:rFonts w:ascii="Century" w:hAnsi="Century"/>
          <w:b/>
          <w:u w:val="single"/>
        </w:rPr>
        <w:t>.10)</w:t>
      </w:r>
    </w:p>
    <w:p w14:paraId="4144225F" w14:textId="77777777" w:rsidR="00A56808" w:rsidRPr="00D44EB0" w:rsidRDefault="00A56808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Calvocoressi, P. (2003). </w:t>
      </w:r>
      <w:r w:rsidRPr="00D44EB0">
        <w:rPr>
          <w:rFonts w:ascii="Century" w:hAnsi="Century"/>
          <w:i/>
          <w:u w:val="single"/>
        </w:rPr>
        <w:t>Svjetska politika nakon 1945.</w:t>
      </w:r>
      <w:r w:rsidRPr="00D44EB0">
        <w:rPr>
          <w:rFonts w:ascii="Century" w:hAnsi="Century"/>
          <w:u w:val="single"/>
        </w:rPr>
        <w:t xml:space="preserve">, str. </w:t>
      </w:r>
      <w:r w:rsidR="00171561" w:rsidRPr="00D44EB0">
        <w:rPr>
          <w:rFonts w:ascii="Century" w:hAnsi="Century"/>
          <w:u w:val="single"/>
        </w:rPr>
        <w:t xml:space="preserve">19-39, </w:t>
      </w:r>
      <w:r w:rsidR="001C512D" w:rsidRPr="00D44EB0">
        <w:rPr>
          <w:rFonts w:ascii="Century" w:hAnsi="Century"/>
          <w:u w:val="single"/>
        </w:rPr>
        <w:t>Zagreb: Globus.</w:t>
      </w:r>
    </w:p>
    <w:p w14:paraId="6DE77A3D" w14:textId="77777777" w:rsidR="009C58BD" w:rsidRPr="00D44EB0" w:rsidRDefault="00676CC3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Čehulić, L. (2003). </w:t>
      </w:r>
      <w:r w:rsidRPr="00D44EB0">
        <w:rPr>
          <w:rFonts w:ascii="Century" w:hAnsi="Century"/>
          <w:i/>
          <w:u w:val="single"/>
        </w:rPr>
        <w:t>Euroatlantizam</w:t>
      </w:r>
      <w:r w:rsidRPr="00D44EB0">
        <w:rPr>
          <w:rFonts w:ascii="Century" w:hAnsi="Century"/>
          <w:u w:val="single"/>
        </w:rPr>
        <w:t xml:space="preserve">, str. </w:t>
      </w:r>
      <w:r w:rsidR="00E93CBE" w:rsidRPr="00D44EB0">
        <w:rPr>
          <w:rFonts w:ascii="Century" w:hAnsi="Century"/>
          <w:u w:val="single"/>
        </w:rPr>
        <w:t>47-57</w:t>
      </w:r>
      <w:r w:rsidR="008E0AAB" w:rsidRPr="00D44EB0">
        <w:rPr>
          <w:rFonts w:ascii="Century" w:hAnsi="Century"/>
          <w:u w:val="single"/>
        </w:rPr>
        <w:t>.</w:t>
      </w:r>
    </w:p>
    <w:p w14:paraId="64496D4B" w14:textId="77777777" w:rsidR="009C58BD" w:rsidRPr="00D44EB0" w:rsidRDefault="009C58BD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>Kennan, G. (</w:t>
      </w:r>
      <w:r w:rsidRPr="00D44EB0">
        <w:rPr>
          <w:rFonts w:ascii="Century" w:hAnsi="Century"/>
          <w:i/>
          <w:color w:val="FF0000"/>
        </w:rPr>
        <w:t>X</w:t>
      </w:r>
      <w:r w:rsidRPr="00D44EB0">
        <w:rPr>
          <w:rFonts w:ascii="Century" w:hAnsi="Century"/>
          <w:color w:val="FF0000"/>
        </w:rPr>
        <w:t xml:space="preserve">) (1947). “The Sources of Soviet Conduct”, </w:t>
      </w:r>
      <w:r w:rsidRPr="00D44EB0">
        <w:rPr>
          <w:rFonts w:ascii="Century" w:hAnsi="Century"/>
          <w:i/>
          <w:color w:val="FF0000"/>
        </w:rPr>
        <w:t>Foreign Affairs</w:t>
      </w:r>
      <w:r w:rsidRPr="00D44EB0">
        <w:rPr>
          <w:rFonts w:ascii="Century" w:hAnsi="Century"/>
          <w:color w:val="FF0000"/>
        </w:rPr>
        <w:t>, 566-582.</w:t>
      </w:r>
    </w:p>
    <w:p w14:paraId="6FF2CF41" w14:textId="77777777" w:rsidR="00EE483E" w:rsidRPr="00D44EB0" w:rsidRDefault="009C58BD" w:rsidP="000C5876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lastRenderedPageBreak/>
        <w:t xml:space="preserve">Roberts, G. (1994). “Moscow and the Marshall Plan: Politics, Ideology, and the Onset of the Cold War”, </w:t>
      </w:r>
      <w:r w:rsidRPr="00D44EB0">
        <w:rPr>
          <w:rFonts w:ascii="Century" w:hAnsi="Century"/>
          <w:i/>
          <w:color w:val="FF0000"/>
        </w:rPr>
        <w:t>Europe-Asia Studies</w:t>
      </w:r>
      <w:r w:rsidRPr="00D44EB0">
        <w:rPr>
          <w:rFonts w:ascii="Century" w:hAnsi="Century"/>
          <w:color w:val="FF0000"/>
        </w:rPr>
        <w:t xml:space="preserve">, 46(8): 1371-1386.   </w:t>
      </w:r>
    </w:p>
    <w:p w14:paraId="5105D7DD" w14:textId="77777777" w:rsidR="000C2394" w:rsidRPr="00D44EB0" w:rsidRDefault="000C2394" w:rsidP="002F50EB">
      <w:pPr>
        <w:pStyle w:val="ListParagraph"/>
        <w:ind w:left="1800"/>
        <w:jc w:val="both"/>
        <w:rPr>
          <w:rFonts w:ascii="Century" w:hAnsi="Century"/>
          <w:b/>
          <w:u w:val="single"/>
        </w:rPr>
      </w:pPr>
    </w:p>
    <w:p w14:paraId="68371ED0" w14:textId="65127A33" w:rsidR="0045081D" w:rsidRPr="00D44EB0" w:rsidRDefault="0045081D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>Osnivanje i djelovanje NATO saveza tokom prve faze Hladnog rata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F9086B">
        <w:rPr>
          <w:rFonts w:ascii="Century" w:hAnsi="Century"/>
          <w:b/>
          <w:u w:val="single"/>
        </w:rPr>
        <w:t>26</w:t>
      </w:r>
      <w:r w:rsidR="00534FE8" w:rsidRPr="00D44EB0">
        <w:rPr>
          <w:rFonts w:ascii="Century" w:hAnsi="Century"/>
          <w:b/>
          <w:u w:val="single"/>
        </w:rPr>
        <w:t>.1</w:t>
      </w:r>
      <w:r w:rsidR="00F93234">
        <w:rPr>
          <w:rFonts w:ascii="Century" w:hAnsi="Century"/>
          <w:b/>
          <w:u w:val="single"/>
        </w:rPr>
        <w:t>1</w:t>
      </w:r>
      <w:r w:rsidR="00534FE8" w:rsidRPr="00D44EB0">
        <w:rPr>
          <w:rFonts w:ascii="Century" w:hAnsi="Century"/>
          <w:b/>
          <w:u w:val="single"/>
        </w:rPr>
        <w:t>)</w:t>
      </w:r>
    </w:p>
    <w:p w14:paraId="25A5F020" w14:textId="77777777" w:rsidR="00EE483E" w:rsidRPr="00D44EB0" w:rsidRDefault="001B6292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>Vukadinović, R. (2006). “NATO od nastanka do kraja Hladog rata”</w:t>
      </w:r>
      <w:r w:rsidR="000A541D" w:rsidRPr="00D44EB0">
        <w:rPr>
          <w:rFonts w:ascii="Century" w:hAnsi="Century"/>
          <w:u w:val="single"/>
        </w:rPr>
        <w:t xml:space="preserve">, u: Radovan Vukadinović i drugi (ur.) </w:t>
      </w:r>
      <w:r w:rsidR="000A541D" w:rsidRPr="00D44EB0">
        <w:rPr>
          <w:rFonts w:ascii="Century" w:hAnsi="Century"/>
          <w:i/>
          <w:u w:val="single"/>
        </w:rPr>
        <w:t>NATO u međunarodnim odnosima</w:t>
      </w:r>
      <w:r w:rsidR="000A541D" w:rsidRPr="00D44EB0">
        <w:rPr>
          <w:rFonts w:ascii="Century" w:hAnsi="Century"/>
          <w:u w:val="single"/>
        </w:rPr>
        <w:t xml:space="preserve">, </w:t>
      </w:r>
      <w:r w:rsidR="004154AC" w:rsidRPr="00D44EB0">
        <w:rPr>
          <w:rFonts w:ascii="Century" w:hAnsi="Century"/>
          <w:u w:val="single"/>
        </w:rPr>
        <w:t>str. 9-41</w:t>
      </w:r>
      <w:r w:rsidR="00D27DB7" w:rsidRPr="00D44EB0">
        <w:rPr>
          <w:rFonts w:ascii="Century" w:hAnsi="Century"/>
          <w:u w:val="single"/>
        </w:rPr>
        <w:t xml:space="preserve">, </w:t>
      </w:r>
      <w:r w:rsidR="0004491C" w:rsidRPr="00D44EB0">
        <w:rPr>
          <w:rFonts w:ascii="Century" w:hAnsi="Century"/>
          <w:u w:val="single"/>
        </w:rPr>
        <w:t>Zagreb: FPZ.</w:t>
      </w:r>
    </w:p>
    <w:p w14:paraId="69F9B7F1" w14:textId="77777777" w:rsidR="00903D27" w:rsidRPr="00D44EB0" w:rsidRDefault="00903D27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Čehulić, L. (2003). </w:t>
      </w:r>
      <w:r w:rsidRPr="00D44EB0">
        <w:rPr>
          <w:rFonts w:ascii="Century" w:hAnsi="Century"/>
          <w:i/>
          <w:u w:val="single"/>
        </w:rPr>
        <w:t>Euroatlantizam</w:t>
      </w:r>
      <w:r w:rsidRPr="00D44EB0">
        <w:rPr>
          <w:rFonts w:ascii="Century" w:hAnsi="Century"/>
          <w:u w:val="single"/>
        </w:rPr>
        <w:t>, str. 81-92.</w:t>
      </w:r>
    </w:p>
    <w:p w14:paraId="2C127ADC" w14:textId="77777777" w:rsidR="0008225F" w:rsidRPr="00D44EB0" w:rsidRDefault="002341C6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 xml:space="preserve">Śevernoatlantski </w:t>
      </w:r>
      <w:r w:rsidR="00032A2A" w:rsidRPr="00D44EB0">
        <w:rPr>
          <w:rFonts w:ascii="Century" w:hAnsi="Century"/>
          <w:iCs/>
          <w:color w:val="252525"/>
          <w:u w:val="single"/>
          <w:shd w:val="clear" w:color="auto" w:fill="FFFFFF"/>
        </w:rPr>
        <w:t>ugovor</w:t>
      </w:r>
      <w:r w:rsidRPr="00D44EB0">
        <w:rPr>
          <w:rFonts w:ascii="Century" w:hAnsi="Century"/>
          <w:iCs/>
          <w:color w:val="252525"/>
          <w:u w:val="single"/>
          <w:shd w:val="clear" w:color="auto" w:fill="FFFFFF"/>
        </w:rPr>
        <w:t xml:space="preserve"> (prevod,</w:t>
      </w:r>
      <w:r w:rsidR="003633F8" w:rsidRPr="00D44EB0">
        <w:rPr>
          <w:rFonts w:ascii="Century" w:hAnsi="Century"/>
          <w:iCs/>
          <w:color w:val="252525"/>
          <w:u w:val="single"/>
          <w:shd w:val="clear" w:color="auto" w:fill="FFFFFF"/>
        </w:rPr>
        <w:t xml:space="preserve"> 2006)</w:t>
      </w:r>
      <w:r w:rsidR="008E0AAB" w:rsidRPr="00D44EB0">
        <w:rPr>
          <w:rFonts w:ascii="Century" w:hAnsi="Century"/>
          <w:iCs/>
          <w:color w:val="252525"/>
          <w:u w:val="single"/>
          <w:shd w:val="clear" w:color="auto" w:fill="FFFFFF"/>
        </w:rPr>
        <w:t>.</w:t>
      </w:r>
    </w:p>
    <w:p w14:paraId="5C000962" w14:textId="77777777" w:rsidR="00EE414A" w:rsidRPr="00D44EB0" w:rsidRDefault="00EE414A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 xml:space="preserve">Lundestad, G. (1986). “Empire by Invitation? The United States and Western Europe, 1945-1952”, </w:t>
      </w:r>
      <w:r w:rsidRPr="00D44EB0">
        <w:rPr>
          <w:rFonts w:ascii="Century" w:hAnsi="Century"/>
          <w:i/>
          <w:color w:val="FF0000"/>
        </w:rPr>
        <w:t>Journal of Peace Research</w:t>
      </w:r>
      <w:r w:rsidRPr="00D44EB0">
        <w:rPr>
          <w:rFonts w:ascii="Century" w:hAnsi="Century"/>
          <w:color w:val="FF0000"/>
        </w:rPr>
        <w:t xml:space="preserve">, 23(3): 263-277. </w:t>
      </w:r>
    </w:p>
    <w:p w14:paraId="0874EF0A" w14:textId="77777777" w:rsidR="00750BFE" w:rsidRPr="00D44EB0" w:rsidRDefault="00750BFE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Hemmer, C. and Katzenstein, P. (2002). “</w:t>
      </w:r>
      <w:r w:rsidR="006336FA" w:rsidRPr="00D44EB0">
        <w:rPr>
          <w:rFonts w:ascii="Century" w:hAnsi="Century"/>
        </w:rPr>
        <w:t>Why is There No NATO in Asia? Collective Identity, Regionalism, and the Origins of Multilateralism”,</w:t>
      </w:r>
      <w:r w:rsidRPr="00D44EB0">
        <w:rPr>
          <w:rFonts w:ascii="Century" w:hAnsi="Century"/>
        </w:rPr>
        <w:t xml:space="preserve"> 56(3): 576-607. </w:t>
      </w:r>
    </w:p>
    <w:p w14:paraId="0902FE78" w14:textId="77777777" w:rsidR="000C2394" w:rsidRPr="00D44EB0" w:rsidRDefault="000C2394" w:rsidP="000F2C53">
      <w:pPr>
        <w:jc w:val="both"/>
        <w:rPr>
          <w:rFonts w:ascii="Century" w:hAnsi="Century"/>
        </w:rPr>
      </w:pPr>
    </w:p>
    <w:p w14:paraId="52E8FF09" w14:textId="4A867FDF" w:rsidR="0045081D" w:rsidRPr="00D44EB0" w:rsidRDefault="0045081D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>Početak izgradnje evropske bezbjednosne zajednice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F9086B">
        <w:rPr>
          <w:rFonts w:ascii="Century" w:hAnsi="Century"/>
          <w:b/>
          <w:u w:val="single"/>
        </w:rPr>
        <w:t>02</w:t>
      </w:r>
      <w:r w:rsidR="006B791B" w:rsidRPr="00D44EB0">
        <w:rPr>
          <w:rFonts w:ascii="Century" w:hAnsi="Century"/>
          <w:b/>
          <w:u w:val="single"/>
        </w:rPr>
        <w:t>.1</w:t>
      </w:r>
      <w:r w:rsidR="00C95992">
        <w:rPr>
          <w:rFonts w:ascii="Century" w:hAnsi="Century"/>
          <w:b/>
          <w:u w:val="single"/>
        </w:rPr>
        <w:t>1</w:t>
      </w:r>
      <w:r w:rsidR="00534FE8" w:rsidRPr="00D44EB0">
        <w:rPr>
          <w:rFonts w:ascii="Century" w:hAnsi="Century"/>
          <w:b/>
          <w:u w:val="single"/>
        </w:rPr>
        <w:t>)</w:t>
      </w:r>
    </w:p>
    <w:p w14:paraId="4F8CD403" w14:textId="77777777" w:rsidR="005C2213" w:rsidRPr="00D44EB0" w:rsidRDefault="001E0DAD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Čehulić, L. (2003). </w:t>
      </w:r>
      <w:r w:rsidRPr="00D44EB0">
        <w:rPr>
          <w:rFonts w:ascii="Century" w:hAnsi="Century"/>
          <w:i/>
          <w:u w:val="single"/>
        </w:rPr>
        <w:t>Euroatlantizam</w:t>
      </w:r>
      <w:r w:rsidRPr="00D44EB0">
        <w:rPr>
          <w:rFonts w:ascii="Century" w:hAnsi="Century"/>
          <w:u w:val="single"/>
        </w:rPr>
        <w:t>, str. 57-65;</w:t>
      </w:r>
      <w:r w:rsidR="000F2C53" w:rsidRPr="00D44EB0">
        <w:rPr>
          <w:rFonts w:ascii="Century" w:hAnsi="Century"/>
          <w:u w:val="single"/>
        </w:rPr>
        <w:t xml:space="preserve"> 92-100, Zagreb: Politička kultura.</w:t>
      </w:r>
    </w:p>
    <w:p w14:paraId="68AE4576" w14:textId="77777777" w:rsidR="00254178" w:rsidRPr="00D44EB0" w:rsidRDefault="00254178" w:rsidP="002F50EB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Janjević, M. (2007). </w:t>
      </w:r>
      <w:r w:rsidRPr="00D44EB0">
        <w:rPr>
          <w:rFonts w:ascii="Century" w:hAnsi="Century"/>
          <w:i/>
          <w:u w:val="single"/>
        </w:rPr>
        <w:t>Spoljna politika Evropske unije</w:t>
      </w:r>
      <w:r w:rsidRPr="00D44EB0">
        <w:rPr>
          <w:rFonts w:ascii="Century" w:hAnsi="Century"/>
          <w:u w:val="single"/>
        </w:rPr>
        <w:t xml:space="preserve">, str. </w:t>
      </w:r>
      <w:r w:rsidR="00907B10" w:rsidRPr="00D44EB0">
        <w:rPr>
          <w:rFonts w:ascii="Century" w:hAnsi="Century"/>
          <w:u w:val="single"/>
        </w:rPr>
        <w:t xml:space="preserve">74-84, </w:t>
      </w:r>
      <w:r w:rsidR="00BA411C" w:rsidRPr="00D44EB0">
        <w:rPr>
          <w:rFonts w:ascii="Century" w:hAnsi="Century"/>
          <w:u w:val="single"/>
        </w:rPr>
        <w:t>Beograd: Službeni glasnik.</w:t>
      </w:r>
    </w:p>
    <w:p w14:paraId="00ABBFEC" w14:textId="77777777" w:rsidR="005C2213" w:rsidRPr="00DE0807" w:rsidRDefault="005C2213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E0807">
        <w:rPr>
          <w:rFonts w:ascii="Century" w:hAnsi="Century"/>
          <w:color w:val="FF0000"/>
        </w:rPr>
        <w:t>Hoffman</w:t>
      </w:r>
      <w:r w:rsidR="00F91637" w:rsidRPr="00DE0807">
        <w:rPr>
          <w:rFonts w:ascii="Century" w:hAnsi="Century"/>
          <w:color w:val="FF0000"/>
        </w:rPr>
        <w:t>n</w:t>
      </w:r>
      <w:r w:rsidRPr="00DE0807">
        <w:rPr>
          <w:rFonts w:ascii="Century" w:hAnsi="Century"/>
          <w:color w:val="FF0000"/>
        </w:rPr>
        <w:t>, S. (1964)</w:t>
      </w:r>
      <w:r w:rsidR="00F0320C" w:rsidRPr="00DE0807">
        <w:rPr>
          <w:rFonts w:ascii="Century" w:hAnsi="Century"/>
          <w:color w:val="FF0000"/>
        </w:rPr>
        <w:t>.</w:t>
      </w:r>
      <w:r w:rsidRPr="00DE0807">
        <w:rPr>
          <w:rFonts w:ascii="Century" w:hAnsi="Century"/>
          <w:color w:val="FF0000"/>
        </w:rPr>
        <w:t xml:space="preserve"> “</w:t>
      </w:r>
      <w:r w:rsidR="00F91637" w:rsidRPr="00DE0807">
        <w:rPr>
          <w:rFonts w:ascii="Century" w:hAnsi="Century"/>
          <w:color w:val="FF0000"/>
        </w:rPr>
        <w:t xml:space="preserve">De Gaulle, Europe, and the Atlantic Alliance”, </w:t>
      </w:r>
      <w:r w:rsidR="009C401A" w:rsidRPr="00DE0807">
        <w:rPr>
          <w:rFonts w:ascii="Century" w:hAnsi="Century"/>
          <w:i/>
          <w:color w:val="FF0000"/>
        </w:rPr>
        <w:t>International Organization</w:t>
      </w:r>
      <w:r w:rsidR="009C401A" w:rsidRPr="00DE0807">
        <w:rPr>
          <w:rFonts w:ascii="Century" w:hAnsi="Century"/>
          <w:color w:val="FF0000"/>
        </w:rPr>
        <w:t xml:space="preserve">, 18(1): 1-28. </w:t>
      </w:r>
      <w:r w:rsidR="00F91637" w:rsidRPr="00DE0807">
        <w:rPr>
          <w:rFonts w:ascii="Century" w:hAnsi="Century"/>
          <w:color w:val="FF0000"/>
        </w:rPr>
        <w:t xml:space="preserve"> </w:t>
      </w:r>
    </w:p>
    <w:p w14:paraId="57EE8478" w14:textId="77777777" w:rsidR="00534FE8" w:rsidRPr="00D44EB0" w:rsidRDefault="009E290D" w:rsidP="00534FE8">
      <w:pPr>
        <w:pStyle w:val="ListParagraph"/>
        <w:numPr>
          <w:ilvl w:val="1"/>
          <w:numId w:val="2"/>
        </w:numPr>
        <w:jc w:val="both"/>
        <w:rPr>
          <w:rFonts w:ascii="Century" w:hAnsi="Century"/>
          <w:iCs/>
          <w:color w:val="252525"/>
          <w:shd w:val="clear" w:color="auto" w:fill="FFFFFF"/>
        </w:rPr>
      </w:pPr>
      <w:r w:rsidRPr="00D44EB0">
        <w:rPr>
          <w:rFonts w:ascii="Century" w:hAnsi="Century"/>
          <w:iCs/>
          <w:color w:val="252525"/>
          <w:shd w:val="clear" w:color="auto" w:fill="FFFFFF"/>
        </w:rPr>
        <w:t>The Harmel Report (1967)</w:t>
      </w:r>
    </w:p>
    <w:p w14:paraId="745CD139" w14:textId="77777777" w:rsidR="00894AF4" w:rsidRPr="000358BB" w:rsidRDefault="00894AF4" w:rsidP="000358BB">
      <w:pPr>
        <w:jc w:val="both"/>
        <w:rPr>
          <w:rFonts w:ascii="Century" w:hAnsi="Century"/>
          <w:b/>
          <w:u w:val="single"/>
        </w:rPr>
      </w:pPr>
    </w:p>
    <w:p w14:paraId="27D37703" w14:textId="6C69F776" w:rsidR="00894AF4" w:rsidRPr="00D44EB0" w:rsidRDefault="00894AF4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>Kolokvijum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F9086B">
        <w:rPr>
          <w:rFonts w:ascii="Century" w:hAnsi="Century"/>
          <w:b/>
          <w:u w:val="single"/>
        </w:rPr>
        <w:t>09</w:t>
      </w:r>
      <w:r w:rsidR="00534FE8" w:rsidRPr="00D44EB0">
        <w:rPr>
          <w:rFonts w:ascii="Century" w:hAnsi="Century"/>
          <w:b/>
          <w:u w:val="single"/>
        </w:rPr>
        <w:t>.11)</w:t>
      </w:r>
      <w:r w:rsidR="000358BB">
        <w:rPr>
          <w:rFonts w:ascii="Century" w:hAnsi="Century"/>
          <w:b/>
          <w:u w:val="single"/>
        </w:rPr>
        <w:t xml:space="preserve"> </w:t>
      </w:r>
      <w:r w:rsidR="000358BB" w:rsidRPr="000358BB">
        <w:rPr>
          <w:rFonts w:ascii="Century" w:hAnsi="Century"/>
          <w:b/>
          <w:color w:val="FF0000"/>
          <w:u w:val="single"/>
        </w:rPr>
        <w:t>– NEMA ODLAGANJA</w:t>
      </w:r>
    </w:p>
    <w:p w14:paraId="768978F1" w14:textId="77777777" w:rsidR="00534FE8" w:rsidRPr="00D44EB0" w:rsidRDefault="00534FE8" w:rsidP="00534FE8">
      <w:pPr>
        <w:pStyle w:val="ListParagraph"/>
        <w:jc w:val="both"/>
        <w:rPr>
          <w:rFonts w:ascii="Century" w:hAnsi="Century"/>
          <w:b/>
          <w:u w:val="single"/>
        </w:rPr>
      </w:pPr>
    </w:p>
    <w:p w14:paraId="12F1A100" w14:textId="27D53457" w:rsidR="00534FE8" w:rsidRPr="00D44EB0" w:rsidRDefault="00534FE8" w:rsidP="00534FE8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>KEBS i period detanta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F9086B">
        <w:rPr>
          <w:rFonts w:ascii="Century" w:hAnsi="Century"/>
          <w:b/>
          <w:u w:val="single"/>
        </w:rPr>
        <w:t>16</w:t>
      </w:r>
      <w:r w:rsidRPr="00D44EB0">
        <w:rPr>
          <w:rFonts w:ascii="Century" w:hAnsi="Century"/>
          <w:b/>
          <w:u w:val="single"/>
        </w:rPr>
        <w:t>.11)</w:t>
      </w:r>
    </w:p>
    <w:p w14:paraId="5ABA42C2" w14:textId="77777777" w:rsidR="00534FE8" w:rsidRPr="00D44EB0" w:rsidRDefault="00534FE8" w:rsidP="00534FE8">
      <w:pPr>
        <w:pStyle w:val="ListParagraph"/>
        <w:jc w:val="both"/>
        <w:rPr>
          <w:rFonts w:ascii="Century" w:hAnsi="Century"/>
          <w:b/>
          <w:u w:val="single"/>
        </w:rPr>
      </w:pPr>
    </w:p>
    <w:p w14:paraId="369FEA70" w14:textId="77777777"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u w:val="single"/>
        </w:rPr>
        <w:t xml:space="preserve">Vukadinović, R. (2001). </w:t>
      </w:r>
      <w:r w:rsidRPr="00D44EB0">
        <w:rPr>
          <w:rFonts w:ascii="Century" w:hAnsi="Century"/>
          <w:i/>
          <w:u w:val="single"/>
        </w:rPr>
        <w:t>Međunarodni odnosi od Hladnog rata do globalnog poretka</w:t>
      </w:r>
      <w:r w:rsidRPr="00D44EB0">
        <w:rPr>
          <w:rFonts w:ascii="Century" w:hAnsi="Century"/>
          <w:u w:val="single"/>
        </w:rPr>
        <w:t>, str. 175-211; 245-272, Zagreb: Agencija za komercijalnu djelatnost.</w:t>
      </w:r>
    </w:p>
    <w:p w14:paraId="2FF19BFC" w14:textId="77777777" w:rsidR="00534FE8" w:rsidRPr="00D44EB0" w:rsidRDefault="00534FE8" w:rsidP="00534FE8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u w:val="single"/>
        </w:rPr>
        <w:t xml:space="preserve">Helsinški završni akt (prevod dostupan na: </w:t>
      </w:r>
      <w:hyperlink r:id="rId8" w:history="1">
        <w:r w:rsidRPr="00D44EB0">
          <w:rPr>
            <w:rStyle w:val="Hyperlink"/>
            <w:rFonts w:ascii="Century" w:hAnsi="Century"/>
          </w:rPr>
          <w:t>http://www.minoritycentre.org/sites/default/files/helsinski-zavrsni-akt.pdf</w:t>
        </w:r>
      </w:hyperlink>
      <w:r w:rsidRPr="00D44EB0">
        <w:rPr>
          <w:rFonts w:ascii="Century" w:hAnsi="Century"/>
          <w:u w:val="single"/>
        </w:rPr>
        <w:t xml:space="preserve">) </w:t>
      </w:r>
    </w:p>
    <w:p w14:paraId="62F9EF75" w14:textId="77777777" w:rsidR="00534FE8" w:rsidRPr="00D44EB0" w:rsidRDefault="00534FE8" w:rsidP="00534FE8">
      <w:pPr>
        <w:pStyle w:val="ListParagraph"/>
        <w:numPr>
          <w:ilvl w:val="1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Vukadinović, R. (1978). “Koncepcijski okviri nove američke vanjskopolitičke strategije”, </w:t>
      </w:r>
      <w:r w:rsidRPr="00D44EB0">
        <w:rPr>
          <w:rFonts w:ascii="Century" w:hAnsi="Century"/>
          <w:i/>
        </w:rPr>
        <w:t>Politička misao</w:t>
      </w:r>
      <w:r w:rsidRPr="00D44EB0">
        <w:rPr>
          <w:rFonts w:ascii="Century" w:hAnsi="Century"/>
        </w:rPr>
        <w:t xml:space="preserve">, 15(1): 77-91. </w:t>
      </w:r>
    </w:p>
    <w:p w14:paraId="29643E56" w14:textId="77777777" w:rsidR="00534FE8" w:rsidRPr="00D44EB0" w:rsidRDefault="00534FE8" w:rsidP="00534FE8">
      <w:pPr>
        <w:pStyle w:val="ListParagraph"/>
        <w:numPr>
          <w:ilvl w:val="1"/>
          <w:numId w:val="1"/>
        </w:numPr>
        <w:jc w:val="both"/>
        <w:rPr>
          <w:rFonts w:ascii="Century" w:hAnsi="Century"/>
          <w:b/>
          <w:color w:val="FF0000"/>
          <w:u w:val="single"/>
        </w:rPr>
      </w:pPr>
      <w:r w:rsidRPr="00D44EB0">
        <w:rPr>
          <w:rFonts w:ascii="Century" w:hAnsi="Century"/>
          <w:color w:val="FF0000"/>
        </w:rPr>
        <w:t xml:space="preserve">Cox, M. (1990). “From the Truman Doctrine to the Second Superpower Detente: The Rise and Fall of the Cold War”, </w:t>
      </w:r>
      <w:r w:rsidRPr="00D44EB0">
        <w:rPr>
          <w:rFonts w:ascii="Century" w:hAnsi="Century"/>
          <w:i/>
          <w:color w:val="FF0000"/>
        </w:rPr>
        <w:t>Journal of Peace Research</w:t>
      </w:r>
      <w:r w:rsidRPr="00D44EB0">
        <w:rPr>
          <w:rFonts w:ascii="Century" w:hAnsi="Century"/>
          <w:color w:val="FF0000"/>
        </w:rPr>
        <w:t xml:space="preserve">, 27(1): 25-41. </w:t>
      </w:r>
    </w:p>
    <w:p w14:paraId="05B83320" w14:textId="77777777" w:rsidR="00894AF4" w:rsidRPr="000358BB" w:rsidRDefault="00534FE8" w:rsidP="00894AF4">
      <w:pPr>
        <w:pStyle w:val="ListParagraph"/>
        <w:numPr>
          <w:ilvl w:val="1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“The Ten Thousand Days War  - America in Vietnam (documentary)” (film o Vijetnamskom ratu, dostupan na:  </w:t>
      </w:r>
      <w:hyperlink r:id="rId9" w:history="1">
        <w:r w:rsidRPr="00D44EB0">
          <w:rPr>
            <w:rStyle w:val="Hyperlink"/>
            <w:rFonts w:ascii="Century" w:hAnsi="Century"/>
          </w:rPr>
          <w:t>https://www.youtube.com/watch?v=1u7WvaOwknM&amp;list=PLLM4YcyIwbKPGZkLBMN93itzEkNBDqa8C</w:t>
        </w:r>
      </w:hyperlink>
      <w:r w:rsidRPr="00D44EB0">
        <w:rPr>
          <w:rFonts w:ascii="Century" w:hAnsi="Century"/>
        </w:rPr>
        <w:t xml:space="preserve">) </w:t>
      </w:r>
    </w:p>
    <w:p w14:paraId="068E09DA" w14:textId="77777777" w:rsidR="000358BB" w:rsidRDefault="000358BB" w:rsidP="000358BB">
      <w:pPr>
        <w:jc w:val="both"/>
        <w:rPr>
          <w:rFonts w:ascii="Century" w:hAnsi="Century"/>
          <w:b/>
          <w:u w:val="single"/>
        </w:rPr>
      </w:pPr>
    </w:p>
    <w:p w14:paraId="121C9EA7" w14:textId="77777777" w:rsidR="000358BB" w:rsidRPr="000358BB" w:rsidRDefault="000358BB" w:rsidP="000358BB">
      <w:pPr>
        <w:jc w:val="both"/>
        <w:rPr>
          <w:rFonts w:ascii="Century" w:hAnsi="Century"/>
          <w:b/>
          <w:u w:val="single"/>
        </w:rPr>
      </w:pPr>
    </w:p>
    <w:p w14:paraId="6EFF37D2" w14:textId="77777777" w:rsidR="000C2394" w:rsidRPr="00D44EB0" w:rsidRDefault="000C2394" w:rsidP="000C3778">
      <w:pPr>
        <w:jc w:val="both"/>
        <w:rPr>
          <w:rFonts w:ascii="Century" w:hAnsi="Century"/>
          <w:b/>
          <w:u w:val="single"/>
        </w:rPr>
      </w:pPr>
    </w:p>
    <w:p w14:paraId="500D543F" w14:textId="44795C27" w:rsidR="001621AA" w:rsidRPr="00D44EB0" w:rsidRDefault="00E8725F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lastRenderedPageBreak/>
        <w:t>NATO nakon kraja Hladnog rata: Reforma i širenje na istok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F9086B">
        <w:rPr>
          <w:rFonts w:ascii="Century" w:hAnsi="Century"/>
          <w:b/>
          <w:u w:val="single"/>
        </w:rPr>
        <w:t>23</w:t>
      </w:r>
      <w:r w:rsidR="00534FE8" w:rsidRPr="00D44EB0">
        <w:rPr>
          <w:rFonts w:ascii="Century" w:hAnsi="Century"/>
          <w:b/>
          <w:u w:val="single"/>
        </w:rPr>
        <w:t>.</w:t>
      </w:r>
      <w:r w:rsidR="00F9086B">
        <w:rPr>
          <w:rFonts w:ascii="Century" w:hAnsi="Century"/>
          <w:b/>
          <w:u w:val="single"/>
        </w:rPr>
        <w:t>11</w:t>
      </w:r>
      <w:r w:rsidR="00534FE8" w:rsidRPr="00D44EB0">
        <w:rPr>
          <w:rFonts w:ascii="Century" w:hAnsi="Century"/>
          <w:b/>
          <w:u w:val="single"/>
        </w:rPr>
        <w:t>)</w:t>
      </w:r>
    </w:p>
    <w:p w14:paraId="2A65D087" w14:textId="77777777" w:rsidR="00D27DB7" w:rsidRPr="00D44EB0" w:rsidRDefault="00D27DB7" w:rsidP="00D87F1C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>Čehulić, L. (2006)</w:t>
      </w:r>
      <w:r w:rsidR="0004491C" w:rsidRPr="00D44EB0">
        <w:rPr>
          <w:rFonts w:ascii="Century" w:hAnsi="Century"/>
          <w:u w:val="single"/>
        </w:rPr>
        <w:t>. “</w:t>
      </w:r>
      <w:r w:rsidR="00D87F1C" w:rsidRPr="00D44EB0">
        <w:rPr>
          <w:rFonts w:ascii="Century" w:hAnsi="Century"/>
          <w:u w:val="single"/>
        </w:rPr>
        <w:t>NATO u novom svjetskom poretku”,</w:t>
      </w:r>
      <w:r w:rsidR="0004491C" w:rsidRPr="00D44EB0">
        <w:rPr>
          <w:rFonts w:ascii="Century" w:hAnsi="Century"/>
          <w:u w:val="single"/>
        </w:rPr>
        <w:t xml:space="preserve"> u: Radovan Vukadinović i drugi (ur.) </w:t>
      </w:r>
      <w:r w:rsidR="0004491C" w:rsidRPr="00D44EB0">
        <w:rPr>
          <w:rFonts w:ascii="Century" w:hAnsi="Century"/>
          <w:i/>
          <w:u w:val="single"/>
        </w:rPr>
        <w:t>NATO u međunarodnim odnosima</w:t>
      </w:r>
      <w:r w:rsidR="0004491C" w:rsidRPr="00D44EB0">
        <w:rPr>
          <w:rFonts w:ascii="Century" w:hAnsi="Century"/>
          <w:u w:val="single"/>
        </w:rPr>
        <w:t>, str. 9</w:t>
      </w:r>
      <w:r w:rsidR="009431BA" w:rsidRPr="00D44EB0">
        <w:rPr>
          <w:rFonts w:ascii="Century" w:hAnsi="Century"/>
          <w:u w:val="single"/>
        </w:rPr>
        <w:t>3-138</w:t>
      </w:r>
      <w:r w:rsidR="0004491C" w:rsidRPr="00D44EB0">
        <w:rPr>
          <w:rFonts w:ascii="Century" w:hAnsi="Century"/>
          <w:u w:val="single"/>
        </w:rPr>
        <w:t>, Zagreb: FPZ.</w:t>
      </w:r>
    </w:p>
    <w:p w14:paraId="1EFD8424" w14:textId="77777777" w:rsidR="004F23FF" w:rsidRPr="00D44EB0" w:rsidRDefault="00925E1B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color w:val="FF0000"/>
          <w:u w:val="single"/>
        </w:rPr>
      </w:pPr>
      <w:r w:rsidRPr="00D44EB0">
        <w:rPr>
          <w:rFonts w:ascii="Century" w:hAnsi="Century"/>
          <w:color w:val="FF0000"/>
        </w:rPr>
        <w:t>Asmus, R. D. i drugi</w:t>
      </w:r>
      <w:r w:rsidR="00895EEC" w:rsidRPr="00D44EB0">
        <w:rPr>
          <w:rFonts w:ascii="Century" w:hAnsi="Century"/>
          <w:color w:val="FF0000"/>
        </w:rPr>
        <w:t xml:space="preserve"> (</w:t>
      </w:r>
      <w:r w:rsidR="006F3AF1" w:rsidRPr="00D44EB0">
        <w:rPr>
          <w:rFonts w:ascii="Century" w:hAnsi="Century"/>
          <w:color w:val="FF0000"/>
        </w:rPr>
        <w:t>1993). “</w:t>
      </w:r>
      <w:r w:rsidR="007730A8" w:rsidRPr="00D44EB0">
        <w:rPr>
          <w:rFonts w:ascii="Century" w:hAnsi="Century"/>
          <w:color w:val="FF0000"/>
        </w:rPr>
        <w:t xml:space="preserve">Building a New NATO”, </w:t>
      </w:r>
      <w:r w:rsidR="00A36EAE" w:rsidRPr="00D44EB0">
        <w:rPr>
          <w:rFonts w:ascii="Century" w:hAnsi="Century"/>
          <w:i/>
          <w:color w:val="FF0000"/>
        </w:rPr>
        <w:t>Foreign Affairs</w:t>
      </w:r>
      <w:r w:rsidR="003719C9" w:rsidRPr="00D44EB0">
        <w:rPr>
          <w:rFonts w:ascii="Century" w:hAnsi="Century"/>
          <w:color w:val="FF0000"/>
        </w:rPr>
        <w:t>, 72(4)</w:t>
      </w:r>
      <w:r w:rsidR="001507E2" w:rsidRPr="00D44EB0">
        <w:rPr>
          <w:rFonts w:ascii="Century" w:hAnsi="Century"/>
          <w:color w:val="FF0000"/>
        </w:rPr>
        <w:t xml:space="preserve">: </w:t>
      </w:r>
      <w:r w:rsidR="003719C9" w:rsidRPr="00D44EB0">
        <w:rPr>
          <w:rFonts w:ascii="Century" w:hAnsi="Century"/>
          <w:color w:val="FF0000"/>
        </w:rPr>
        <w:t>28-40.</w:t>
      </w:r>
    </w:p>
    <w:p w14:paraId="7EC31C49" w14:textId="77777777" w:rsidR="00342A55" w:rsidRPr="00D44EB0" w:rsidRDefault="00700062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Duffield, </w:t>
      </w:r>
      <w:r w:rsidR="00CD49F6" w:rsidRPr="00D44EB0">
        <w:rPr>
          <w:rFonts w:ascii="Century" w:hAnsi="Century"/>
        </w:rPr>
        <w:t>J. S. (</w:t>
      </w:r>
      <w:r w:rsidR="002529E2" w:rsidRPr="00D44EB0">
        <w:rPr>
          <w:rFonts w:ascii="Century" w:hAnsi="Century"/>
        </w:rPr>
        <w:t>1994-1995). “</w:t>
      </w:r>
      <w:r w:rsidR="00206DA6" w:rsidRPr="00D44EB0">
        <w:rPr>
          <w:rFonts w:ascii="Century" w:hAnsi="Century"/>
        </w:rPr>
        <w:t xml:space="preserve">NATO’s Functions after the Cold War”, </w:t>
      </w:r>
      <w:r w:rsidR="0017021B" w:rsidRPr="00D44EB0">
        <w:rPr>
          <w:rFonts w:ascii="Century" w:hAnsi="Century"/>
          <w:i/>
        </w:rPr>
        <w:t>Political Science Quarterly</w:t>
      </w:r>
      <w:r w:rsidR="0017021B" w:rsidRPr="00D44EB0">
        <w:rPr>
          <w:rFonts w:ascii="Century" w:hAnsi="Century"/>
        </w:rPr>
        <w:t xml:space="preserve">, </w:t>
      </w:r>
      <w:r w:rsidR="00CA61A0" w:rsidRPr="00D44EB0">
        <w:rPr>
          <w:rFonts w:ascii="Century" w:hAnsi="Century"/>
        </w:rPr>
        <w:t xml:space="preserve">109(5): </w:t>
      </w:r>
      <w:r w:rsidR="00A364CA" w:rsidRPr="00D44EB0">
        <w:rPr>
          <w:rFonts w:ascii="Century" w:hAnsi="Century"/>
        </w:rPr>
        <w:t xml:space="preserve">763-787. </w:t>
      </w:r>
    </w:p>
    <w:p w14:paraId="1E211A1A" w14:textId="77777777" w:rsidR="000C2394" w:rsidRPr="00D44EB0" w:rsidRDefault="000C2394" w:rsidP="00121E36">
      <w:pPr>
        <w:jc w:val="both"/>
        <w:rPr>
          <w:rFonts w:ascii="Century" w:hAnsi="Century"/>
          <w:b/>
          <w:u w:val="single"/>
        </w:rPr>
      </w:pPr>
    </w:p>
    <w:p w14:paraId="76F31B67" w14:textId="285D8D5F" w:rsidR="00CA686D" w:rsidRPr="00D44EB0" w:rsidRDefault="0041637B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>Odnosi NATO-EU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F9086B">
        <w:rPr>
          <w:rFonts w:ascii="Century" w:hAnsi="Century"/>
          <w:b/>
          <w:u w:val="single"/>
        </w:rPr>
        <w:t>30</w:t>
      </w:r>
      <w:r w:rsidR="00534FE8" w:rsidRPr="00D44EB0">
        <w:rPr>
          <w:rFonts w:ascii="Century" w:hAnsi="Century"/>
          <w:b/>
          <w:u w:val="single"/>
        </w:rPr>
        <w:t>.1</w:t>
      </w:r>
      <w:r w:rsidR="00F9086B">
        <w:rPr>
          <w:rFonts w:ascii="Century" w:hAnsi="Century"/>
          <w:b/>
          <w:u w:val="single"/>
        </w:rPr>
        <w:t>1</w:t>
      </w:r>
      <w:r w:rsidR="00534FE8" w:rsidRPr="00D44EB0">
        <w:rPr>
          <w:rFonts w:ascii="Century" w:hAnsi="Century"/>
          <w:b/>
          <w:u w:val="single"/>
        </w:rPr>
        <w:t>)</w:t>
      </w:r>
    </w:p>
    <w:p w14:paraId="676F34F4" w14:textId="77777777" w:rsidR="000C2394" w:rsidRPr="00D44EB0" w:rsidRDefault="0025429C" w:rsidP="0025429C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D44EB0">
        <w:rPr>
          <w:rFonts w:ascii="Century" w:hAnsi="Century"/>
          <w:u w:val="single"/>
        </w:rPr>
        <w:t xml:space="preserve">Čehulić, L. (2003). </w:t>
      </w:r>
      <w:r w:rsidRPr="00D44EB0">
        <w:rPr>
          <w:rFonts w:ascii="Century" w:hAnsi="Century"/>
          <w:i/>
          <w:u w:val="single"/>
        </w:rPr>
        <w:t>Euroatlantizam</w:t>
      </w:r>
      <w:r w:rsidRPr="00D44EB0">
        <w:rPr>
          <w:rFonts w:ascii="Century" w:hAnsi="Century"/>
          <w:u w:val="single"/>
        </w:rPr>
        <w:t>, str.</w:t>
      </w:r>
      <w:r w:rsidR="00061AB3" w:rsidRPr="00D44EB0">
        <w:rPr>
          <w:rFonts w:ascii="Century" w:hAnsi="Century"/>
          <w:u w:val="single"/>
        </w:rPr>
        <w:t xml:space="preserve"> 153-</w:t>
      </w:r>
      <w:r w:rsidR="00852A96" w:rsidRPr="00D44EB0">
        <w:rPr>
          <w:rFonts w:ascii="Century" w:hAnsi="Century"/>
          <w:u w:val="single"/>
        </w:rPr>
        <w:t>162;</w:t>
      </w:r>
      <w:r w:rsidRPr="00D44EB0">
        <w:rPr>
          <w:rFonts w:ascii="Century" w:hAnsi="Century"/>
          <w:u w:val="single"/>
        </w:rPr>
        <w:t xml:space="preserve"> </w:t>
      </w:r>
      <w:r w:rsidR="00F2389A" w:rsidRPr="00D44EB0">
        <w:rPr>
          <w:rFonts w:ascii="Century" w:hAnsi="Century"/>
          <w:u w:val="single"/>
        </w:rPr>
        <w:t>170-</w:t>
      </w:r>
      <w:r w:rsidR="00050E30" w:rsidRPr="00D44EB0">
        <w:rPr>
          <w:rFonts w:ascii="Century" w:hAnsi="Century"/>
          <w:u w:val="single"/>
        </w:rPr>
        <w:t>187.</w:t>
      </w:r>
    </w:p>
    <w:p w14:paraId="304F5C45" w14:textId="77777777" w:rsidR="00050E30" w:rsidRPr="00D44EB0" w:rsidRDefault="00E53648" w:rsidP="00050E30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Deklaracija iz St. Maloa (</w:t>
      </w:r>
      <w:r w:rsidR="00841E59" w:rsidRPr="00D44EB0">
        <w:rPr>
          <w:rFonts w:ascii="Century" w:hAnsi="Century"/>
        </w:rPr>
        <w:t xml:space="preserve">dostupna na: </w:t>
      </w:r>
      <w:hyperlink r:id="rId10" w:history="1">
        <w:r w:rsidR="00841E59" w:rsidRPr="00D44EB0">
          <w:rPr>
            <w:rStyle w:val="Hyperlink"/>
            <w:rFonts w:ascii="Century" w:hAnsi="Century"/>
          </w:rPr>
          <w:t>http://www.cvce.eu/obj/franco_british_st_malo_declaration_4_december_1998-en-f3cd16fb-fc37-4d52-936f-c8e9bc80f24f.html</w:t>
        </w:r>
      </w:hyperlink>
      <w:r w:rsidRPr="00D44EB0">
        <w:rPr>
          <w:rFonts w:ascii="Century" w:hAnsi="Century"/>
        </w:rPr>
        <w:t>)</w:t>
      </w:r>
      <w:r w:rsidR="00841E59" w:rsidRPr="00D44EB0">
        <w:rPr>
          <w:rFonts w:ascii="Century" w:hAnsi="Century"/>
        </w:rPr>
        <w:t xml:space="preserve"> </w:t>
      </w:r>
    </w:p>
    <w:p w14:paraId="6F937E8F" w14:textId="77777777" w:rsidR="00F04096" w:rsidRPr="00D44EB0" w:rsidRDefault="00BA4360" w:rsidP="00050E30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>Cornish, P. i Edwards, G. (2001). “</w:t>
      </w:r>
      <w:r w:rsidR="0050506F" w:rsidRPr="00D44EB0">
        <w:rPr>
          <w:rFonts w:ascii="Century" w:hAnsi="Century"/>
          <w:color w:val="FF0000"/>
        </w:rPr>
        <w:t xml:space="preserve">Beyond the EU/NATO Dichotomy: </w:t>
      </w:r>
      <w:r w:rsidR="003A096A" w:rsidRPr="00D44EB0">
        <w:rPr>
          <w:rFonts w:ascii="Century" w:hAnsi="Century"/>
          <w:color w:val="FF0000"/>
        </w:rPr>
        <w:t xml:space="preserve">The Beginnings of a European Strategic Culture”, </w:t>
      </w:r>
      <w:r w:rsidR="00584284" w:rsidRPr="00D44EB0">
        <w:rPr>
          <w:rFonts w:ascii="Century" w:hAnsi="Century"/>
          <w:i/>
          <w:color w:val="FF0000"/>
        </w:rPr>
        <w:t>International Affairs</w:t>
      </w:r>
      <w:r w:rsidR="00584284" w:rsidRPr="00D44EB0">
        <w:rPr>
          <w:rFonts w:ascii="Century" w:hAnsi="Century"/>
          <w:color w:val="FF0000"/>
        </w:rPr>
        <w:t xml:space="preserve">, 77(3): </w:t>
      </w:r>
      <w:r w:rsidR="00D75E23" w:rsidRPr="00D44EB0">
        <w:rPr>
          <w:rFonts w:ascii="Century" w:hAnsi="Century"/>
          <w:color w:val="FF0000"/>
        </w:rPr>
        <w:t xml:space="preserve">587-603. </w:t>
      </w:r>
    </w:p>
    <w:p w14:paraId="086B1655" w14:textId="77777777" w:rsidR="00BA4360" w:rsidRPr="00D44EB0" w:rsidRDefault="003E6DD1" w:rsidP="00050E30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Toje, A. (2008). “</w:t>
      </w:r>
      <w:r w:rsidR="00663A8E" w:rsidRPr="00D44EB0">
        <w:rPr>
          <w:rFonts w:ascii="Century" w:hAnsi="Century"/>
        </w:rPr>
        <w:t xml:space="preserve">The EU, NATO, and European Defence: A Slow Train Coming”, </w:t>
      </w:r>
      <w:r w:rsidR="006D2012" w:rsidRPr="00D44EB0">
        <w:rPr>
          <w:rFonts w:ascii="Century" w:hAnsi="Century"/>
          <w:i/>
        </w:rPr>
        <w:t>EU Institute for Security Studies: Occasional Papers</w:t>
      </w:r>
      <w:r w:rsidR="006D2012" w:rsidRPr="00D44EB0">
        <w:rPr>
          <w:rFonts w:ascii="Century" w:hAnsi="Century"/>
        </w:rPr>
        <w:t xml:space="preserve">, </w:t>
      </w:r>
      <w:r w:rsidR="00B957D5" w:rsidRPr="00D44EB0">
        <w:rPr>
          <w:rFonts w:ascii="Century" w:hAnsi="Century"/>
        </w:rPr>
        <w:t xml:space="preserve">74: </w:t>
      </w:r>
      <w:r w:rsidR="00525935" w:rsidRPr="00D44EB0">
        <w:rPr>
          <w:rFonts w:ascii="Century" w:hAnsi="Century"/>
        </w:rPr>
        <w:t xml:space="preserve">5-33. </w:t>
      </w:r>
      <w:r w:rsidR="00663A8E" w:rsidRPr="00D44EB0">
        <w:rPr>
          <w:rFonts w:ascii="Century" w:hAnsi="Century"/>
        </w:rPr>
        <w:t xml:space="preserve"> </w:t>
      </w:r>
      <w:r w:rsidR="003A096A" w:rsidRPr="00D44EB0">
        <w:rPr>
          <w:rFonts w:ascii="Century" w:hAnsi="Century"/>
        </w:rPr>
        <w:t xml:space="preserve"> </w:t>
      </w:r>
    </w:p>
    <w:p w14:paraId="0F448164" w14:textId="77777777" w:rsidR="00E666B8" w:rsidRPr="00D44EB0" w:rsidRDefault="00E666B8" w:rsidP="00E666B8">
      <w:pPr>
        <w:pStyle w:val="ListParagraph"/>
        <w:jc w:val="both"/>
        <w:rPr>
          <w:rFonts w:ascii="Century" w:hAnsi="Century"/>
          <w:b/>
          <w:u w:val="single"/>
        </w:rPr>
      </w:pPr>
    </w:p>
    <w:p w14:paraId="522489E2" w14:textId="4A7D3F4A" w:rsidR="0062619C" w:rsidRPr="00D44EB0" w:rsidRDefault="00D60135" w:rsidP="0062619C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>NATO u bivšoj Jugoslaviji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F9086B">
        <w:rPr>
          <w:rFonts w:ascii="Century" w:hAnsi="Century"/>
          <w:b/>
          <w:u w:val="single"/>
        </w:rPr>
        <w:t>07</w:t>
      </w:r>
      <w:r w:rsidR="00534FE8" w:rsidRPr="00D44EB0">
        <w:rPr>
          <w:rFonts w:ascii="Century" w:hAnsi="Century"/>
          <w:b/>
          <w:u w:val="single"/>
        </w:rPr>
        <w:t>.12)</w:t>
      </w:r>
    </w:p>
    <w:p w14:paraId="5ECA718D" w14:textId="77777777" w:rsidR="0062619C" w:rsidRPr="00D44EB0" w:rsidRDefault="002A7CDF" w:rsidP="0062619C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i/>
        </w:rPr>
        <w:t>Studenti su dužni da, koristeći navedene izvore, sami pronađu</w:t>
      </w:r>
      <w:r w:rsidR="00C934C4" w:rsidRPr="00D44EB0">
        <w:rPr>
          <w:rFonts w:ascii="Century" w:hAnsi="Century"/>
          <w:i/>
        </w:rPr>
        <w:t xml:space="preserve"> i predstave</w:t>
      </w:r>
      <w:r w:rsidRPr="00D44EB0">
        <w:rPr>
          <w:rFonts w:ascii="Century" w:hAnsi="Century"/>
          <w:i/>
        </w:rPr>
        <w:t xml:space="preserve"> referente analize na ovu temu</w:t>
      </w:r>
    </w:p>
    <w:p w14:paraId="17730EE2" w14:textId="77777777" w:rsidR="008645B2" w:rsidRPr="00D44EB0" w:rsidRDefault="008645B2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Schulte, G. L. (1997). “</w:t>
      </w:r>
      <w:r w:rsidR="009D012A" w:rsidRPr="00D44EB0">
        <w:rPr>
          <w:rFonts w:ascii="Century" w:hAnsi="Century"/>
        </w:rPr>
        <w:t xml:space="preserve">Former Yugoslavia and the New NATO”, </w:t>
      </w:r>
      <w:r w:rsidR="00E94052" w:rsidRPr="00D44EB0">
        <w:rPr>
          <w:rFonts w:ascii="Century" w:hAnsi="Century"/>
          <w:i/>
        </w:rPr>
        <w:t>Survival</w:t>
      </w:r>
      <w:r w:rsidR="00E94052" w:rsidRPr="00D44EB0">
        <w:rPr>
          <w:rFonts w:ascii="Century" w:hAnsi="Century"/>
        </w:rPr>
        <w:t xml:space="preserve">, </w:t>
      </w:r>
      <w:r w:rsidR="00EA7010" w:rsidRPr="00D44EB0">
        <w:rPr>
          <w:rFonts w:ascii="Century" w:hAnsi="Century"/>
        </w:rPr>
        <w:t xml:space="preserve">39(1): </w:t>
      </w:r>
      <w:r w:rsidR="00620686" w:rsidRPr="00D44EB0">
        <w:rPr>
          <w:rFonts w:ascii="Century" w:hAnsi="Century"/>
        </w:rPr>
        <w:t xml:space="preserve">19-42. </w:t>
      </w:r>
    </w:p>
    <w:p w14:paraId="340EB3B7" w14:textId="77777777" w:rsidR="009D736A" w:rsidRPr="00D44EB0" w:rsidRDefault="009D736A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>Roberts, A. (1999). “</w:t>
      </w:r>
      <w:r w:rsidR="00A653BE" w:rsidRPr="00D44EB0">
        <w:rPr>
          <w:rFonts w:ascii="Century" w:hAnsi="Century"/>
          <w:color w:val="FF0000"/>
        </w:rPr>
        <w:t xml:space="preserve">NATO’s ‘Humanitarian War’ over Kosovo”, </w:t>
      </w:r>
      <w:r w:rsidR="00E91874" w:rsidRPr="00D44EB0">
        <w:rPr>
          <w:rFonts w:ascii="Century" w:hAnsi="Century"/>
          <w:i/>
          <w:color w:val="FF0000"/>
        </w:rPr>
        <w:t>Survival</w:t>
      </w:r>
      <w:r w:rsidR="00E91874" w:rsidRPr="00D44EB0">
        <w:rPr>
          <w:rFonts w:ascii="Century" w:hAnsi="Century"/>
          <w:color w:val="FF0000"/>
        </w:rPr>
        <w:t xml:space="preserve">, </w:t>
      </w:r>
      <w:r w:rsidR="00A07875" w:rsidRPr="00D44EB0">
        <w:rPr>
          <w:rFonts w:ascii="Century" w:hAnsi="Century"/>
          <w:color w:val="FF0000"/>
        </w:rPr>
        <w:t xml:space="preserve">41(3): </w:t>
      </w:r>
      <w:r w:rsidR="00790875" w:rsidRPr="00D44EB0">
        <w:rPr>
          <w:rFonts w:ascii="Century" w:hAnsi="Century"/>
          <w:color w:val="FF0000"/>
        </w:rPr>
        <w:t xml:space="preserve">102-123. </w:t>
      </w:r>
    </w:p>
    <w:p w14:paraId="3311557D" w14:textId="77777777" w:rsidR="00677017" w:rsidRPr="00D44EB0" w:rsidRDefault="00677017" w:rsidP="002F50EB">
      <w:pPr>
        <w:jc w:val="both"/>
        <w:rPr>
          <w:rFonts w:ascii="Century" w:hAnsi="Century"/>
          <w:b/>
          <w:u w:val="single"/>
        </w:rPr>
      </w:pPr>
    </w:p>
    <w:p w14:paraId="3B09665D" w14:textId="07E58AD9" w:rsidR="005241E3" w:rsidRPr="00D44EB0" w:rsidRDefault="000A5D7F" w:rsidP="002F50E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>NATO nakon terorističkih napada 11.09.</w:t>
      </w:r>
      <w:r w:rsidR="006B791B" w:rsidRPr="00D44EB0">
        <w:rPr>
          <w:rFonts w:ascii="Century" w:hAnsi="Century"/>
          <w:b/>
          <w:u w:val="single"/>
        </w:rPr>
        <w:t xml:space="preserve"> (</w:t>
      </w:r>
      <w:r w:rsidR="00F9086B">
        <w:rPr>
          <w:rFonts w:ascii="Century" w:hAnsi="Century"/>
          <w:b/>
          <w:u w:val="single"/>
        </w:rPr>
        <w:t>14</w:t>
      </w:r>
      <w:r w:rsidR="00534FE8" w:rsidRPr="00D44EB0">
        <w:rPr>
          <w:rFonts w:ascii="Century" w:hAnsi="Century"/>
          <w:b/>
          <w:u w:val="single"/>
        </w:rPr>
        <w:t>.12)</w:t>
      </w:r>
    </w:p>
    <w:p w14:paraId="72A8E256" w14:textId="77777777" w:rsidR="00E86C0A" w:rsidRPr="00D44EB0" w:rsidRDefault="00E86C0A" w:rsidP="00E86C0A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u w:val="single"/>
        </w:rPr>
        <w:t xml:space="preserve">Čehulić, L. (2003). </w:t>
      </w:r>
      <w:r w:rsidRPr="00D44EB0">
        <w:rPr>
          <w:rFonts w:ascii="Century" w:hAnsi="Century"/>
          <w:i/>
          <w:u w:val="single"/>
        </w:rPr>
        <w:t>Euroatlantizam</w:t>
      </w:r>
      <w:r w:rsidRPr="00D44EB0">
        <w:rPr>
          <w:rFonts w:ascii="Century" w:hAnsi="Century"/>
          <w:u w:val="single"/>
        </w:rPr>
        <w:t xml:space="preserve">, </w:t>
      </w:r>
      <w:r w:rsidR="00537F93" w:rsidRPr="00D44EB0">
        <w:rPr>
          <w:rFonts w:ascii="Century" w:hAnsi="Century"/>
          <w:u w:val="single"/>
        </w:rPr>
        <w:t>str. 303-311, Zagreb: Politička kultura.</w:t>
      </w:r>
    </w:p>
    <w:p w14:paraId="53FFF44D" w14:textId="77777777" w:rsidR="0041637B" w:rsidRPr="00D44EB0" w:rsidRDefault="00117ADF" w:rsidP="002F50EB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color w:val="FF0000"/>
          <w:u w:val="single"/>
        </w:rPr>
      </w:pPr>
      <w:r w:rsidRPr="00D44EB0">
        <w:rPr>
          <w:rFonts w:ascii="Century" w:hAnsi="Century"/>
          <w:color w:val="FF0000"/>
        </w:rPr>
        <w:t>Gordon, P. H. (</w:t>
      </w:r>
      <w:r w:rsidR="00E756CD" w:rsidRPr="00D44EB0">
        <w:rPr>
          <w:rFonts w:ascii="Century" w:hAnsi="Century"/>
          <w:color w:val="FF0000"/>
        </w:rPr>
        <w:t>2000). “</w:t>
      </w:r>
      <w:r w:rsidR="00BC6837" w:rsidRPr="00D44EB0">
        <w:rPr>
          <w:rFonts w:ascii="Century" w:hAnsi="Century"/>
          <w:color w:val="FF0000"/>
        </w:rPr>
        <w:t xml:space="preserve">NATO after 11 September”, </w:t>
      </w:r>
      <w:r w:rsidR="002A0582" w:rsidRPr="00D44EB0">
        <w:rPr>
          <w:rFonts w:ascii="Century" w:hAnsi="Century"/>
          <w:i/>
          <w:color w:val="FF0000"/>
        </w:rPr>
        <w:t>Survival</w:t>
      </w:r>
      <w:r w:rsidR="002A0582" w:rsidRPr="00D44EB0">
        <w:rPr>
          <w:rFonts w:ascii="Century" w:hAnsi="Century"/>
          <w:color w:val="FF0000"/>
        </w:rPr>
        <w:t xml:space="preserve">, 43(4): </w:t>
      </w:r>
      <w:r w:rsidR="006C155F" w:rsidRPr="00D44EB0">
        <w:rPr>
          <w:rFonts w:ascii="Century" w:hAnsi="Century"/>
          <w:color w:val="FF0000"/>
        </w:rPr>
        <w:t xml:space="preserve">1-18. </w:t>
      </w:r>
    </w:p>
    <w:p w14:paraId="1D4C1FF1" w14:textId="77777777" w:rsidR="000A29C0" w:rsidRPr="00D44EB0" w:rsidRDefault="007838A6" w:rsidP="00C07F8F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>Hallams, E. i Schreer, B. (2012). “</w:t>
      </w:r>
      <w:r w:rsidR="00283B42" w:rsidRPr="00D44EB0">
        <w:rPr>
          <w:rFonts w:ascii="Century" w:hAnsi="Century"/>
          <w:color w:val="FF0000"/>
        </w:rPr>
        <w:t xml:space="preserve">Towards a ‘Post-American’ Alliance? </w:t>
      </w:r>
      <w:r w:rsidR="00676366" w:rsidRPr="00D44EB0">
        <w:rPr>
          <w:rFonts w:ascii="Century" w:hAnsi="Century"/>
          <w:color w:val="FF0000"/>
        </w:rPr>
        <w:t xml:space="preserve">NATO Burden-Sharing after Libya”, </w:t>
      </w:r>
      <w:r w:rsidR="00A116E6" w:rsidRPr="00D44EB0">
        <w:rPr>
          <w:rFonts w:ascii="Century" w:hAnsi="Century"/>
          <w:i/>
          <w:color w:val="FF0000"/>
        </w:rPr>
        <w:t>International Affairs</w:t>
      </w:r>
      <w:r w:rsidR="00A116E6" w:rsidRPr="00D44EB0">
        <w:rPr>
          <w:rFonts w:ascii="Century" w:hAnsi="Century"/>
          <w:color w:val="FF0000"/>
        </w:rPr>
        <w:t xml:space="preserve">, </w:t>
      </w:r>
      <w:r w:rsidR="000077D9" w:rsidRPr="00D44EB0">
        <w:rPr>
          <w:rFonts w:ascii="Century" w:hAnsi="Century"/>
          <w:color w:val="FF0000"/>
        </w:rPr>
        <w:t xml:space="preserve">88(2): </w:t>
      </w:r>
      <w:r w:rsidR="00C07F8F" w:rsidRPr="00D44EB0">
        <w:rPr>
          <w:rFonts w:ascii="Century" w:hAnsi="Century"/>
          <w:color w:val="FF0000"/>
        </w:rPr>
        <w:t>313-327.</w:t>
      </w:r>
    </w:p>
    <w:p w14:paraId="0C721E98" w14:textId="77777777" w:rsidR="000A29C0" w:rsidRPr="00D44EB0" w:rsidRDefault="000A29C0" w:rsidP="002F50EB">
      <w:pPr>
        <w:pStyle w:val="ListParagraph"/>
        <w:jc w:val="both"/>
        <w:rPr>
          <w:rFonts w:ascii="Century" w:hAnsi="Century"/>
          <w:b/>
          <w:u w:val="single"/>
        </w:rPr>
      </w:pPr>
    </w:p>
    <w:p w14:paraId="2530C3F5" w14:textId="41676898" w:rsidR="004B62FA" w:rsidRPr="00F9086B" w:rsidRDefault="00F93234" w:rsidP="00291C22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F9086B">
        <w:rPr>
          <w:rFonts w:ascii="Century" w:hAnsi="Century"/>
          <w:b/>
          <w:u w:val="single"/>
        </w:rPr>
        <w:t xml:space="preserve"> </w:t>
      </w:r>
      <w:r w:rsidR="00AA19C6" w:rsidRPr="00F9086B">
        <w:rPr>
          <w:rFonts w:ascii="Century" w:hAnsi="Century"/>
          <w:b/>
          <w:u w:val="single"/>
        </w:rPr>
        <w:t>Odnosi NATO saveza s Rusijom</w:t>
      </w:r>
      <w:r w:rsidR="004B62FA" w:rsidRPr="00F9086B">
        <w:rPr>
          <w:rFonts w:ascii="Century" w:hAnsi="Century"/>
        </w:rPr>
        <w:t xml:space="preserve"> </w:t>
      </w:r>
      <w:r w:rsidR="006B791B" w:rsidRPr="00F9086B">
        <w:rPr>
          <w:rFonts w:ascii="Century" w:hAnsi="Century"/>
          <w:b/>
        </w:rPr>
        <w:t>(</w:t>
      </w:r>
      <w:r w:rsidR="00F9086B" w:rsidRPr="00F9086B">
        <w:rPr>
          <w:rFonts w:ascii="Century" w:hAnsi="Century"/>
          <w:b/>
        </w:rPr>
        <w:t>21</w:t>
      </w:r>
      <w:r w:rsidR="00534FE8" w:rsidRPr="00F9086B">
        <w:rPr>
          <w:rFonts w:ascii="Century" w:hAnsi="Century"/>
          <w:b/>
        </w:rPr>
        <w:t>.12)</w:t>
      </w:r>
      <w:r w:rsidRPr="00F9086B">
        <w:rPr>
          <w:rFonts w:ascii="Century" w:hAnsi="Century"/>
          <w:b/>
        </w:rPr>
        <w:t xml:space="preserve"> </w:t>
      </w:r>
    </w:p>
    <w:p w14:paraId="5ADA4453" w14:textId="77777777" w:rsidR="00E55AD8" w:rsidRPr="00B82C2A" w:rsidRDefault="00A40F6F" w:rsidP="00207018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B82C2A">
        <w:rPr>
          <w:rFonts w:ascii="Century" w:hAnsi="Century"/>
          <w:u w:val="single"/>
        </w:rPr>
        <w:t>Vukadinović, R. (</w:t>
      </w:r>
      <w:r w:rsidR="00AA19C6" w:rsidRPr="00B82C2A">
        <w:rPr>
          <w:rFonts w:ascii="Century" w:hAnsi="Century"/>
          <w:u w:val="single"/>
        </w:rPr>
        <w:t xml:space="preserve">2004). “NATO i Rusija”, u: </w:t>
      </w:r>
      <w:r w:rsidR="00692A7D" w:rsidRPr="00B82C2A">
        <w:rPr>
          <w:rFonts w:ascii="Century" w:hAnsi="Century"/>
          <w:u w:val="single"/>
        </w:rPr>
        <w:t>Lidija Čehulić (ur.)</w:t>
      </w:r>
      <w:r w:rsidR="00AF0F4B" w:rsidRPr="00B82C2A">
        <w:rPr>
          <w:rFonts w:ascii="Century" w:hAnsi="Century"/>
          <w:u w:val="single"/>
        </w:rPr>
        <w:t xml:space="preserve"> </w:t>
      </w:r>
      <w:r w:rsidR="00AF0F4B" w:rsidRPr="00B82C2A">
        <w:rPr>
          <w:rFonts w:ascii="Century" w:hAnsi="Century"/>
          <w:i/>
          <w:u w:val="single"/>
        </w:rPr>
        <w:t>NATO i novi međunarodni odnosi</w:t>
      </w:r>
      <w:r w:rsidR="00AF0F4B" w:rsidRPr="00B82C2A">
        <w:rPr>
          <w:rFonts w:ascii="Century" w:hAnsi="Century"/>
          <w:u w:val="single"/>
        </w:rPr>
        <w:t xml:space="preserve">, </w:t>
      </w:r>
      <w:r w:rsidR="000F65B8" w:rsidRPr="00B82C2A">
        <w:rPr>
          <w:rFonts w:ascii="Century" w:hAnsi="Century"/>
          <w:u w:val="single"/>
        </w:rPr>
        <w:t>str. 147-165,</w:t>
      </w:r>
      <w:r w:rsidR="00E55AD8" w:rsidRPr="00B82C2A">
        <w:rPr>
          <w:rFonts w:ascii="Century" w:hAnsi="Century"/>
          <w:u w:val="single"/>
        </w:rPr>
        <w:t xml:space="preserve"> Zagreb: Politička kultura.</w:t>
      </w:r>
    </w:p>
    <w:p w14:paraId="027C1872" w14:textId="77777777" w:rsidR="00BE6F9B" w:rsidRPr="00B82C2A" w:rsidRDefault="00DC1595" w:rsidP="00207018">
      <w:pPr>
        <w:pStyle w:val="ListParagraph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B82C2A">
        <w:rPr>
          <w:rFonts w:ascii="Century" w:hAnsi="Century"/>
          <w:u w:val="single"/>
        </w:rPr>
        <w:t xml:space="preserve">Čehulić, L. (2003). </w:t>
      </w:r>
      <w:r w:rsidR="00330A63" w:rsidRPr="00B82C2A">
        <w:rPr>
          <w:rFonts w:ascii="Century" w:hAnsi="Century"/>
          <w:i/>
          <w:u w:val="single"/>
        </w:rPr>
        <w:t>Euroatlantizam</w:t>
      </w:r>
      <w:r w:rsidR="00330A63" w:rsidRPr="00B82C2A">
        <w:rPr>
          <w:rFonts w:ascii="Century" w:hAnsi="Century"/>
          <w:u w:val="single"/>
        </w:rPr>
        <w:t xml:space="preserve">, str. </w:t>
      </w:r>
      <w:r w:rsidR="00A91C3D" w:rsidRPr="00B82C2A">
        <w:rPr>
          <w:rFonts w:ascii="Century" w:hAnsi="Century"/>
          <w:u w:val="single"/>
        </w:rPr>
        <w:t>266-292; 297-301, Zagreb: Politička kultura.</w:t>
      </w:r>
    </w:p>
    <w:p w14:paraId="6DC27D4A" w14:textId="77777777" w:rsidR="00DE27BF" w:rsidRPr="00D44EB0" w:rsidRDefault="00462AA1" w:rsidP="00A91C3D">
      <w:pPr>
        <w:pStyle w:val="ListParagraph"/>
        <w:numPr>
          <w:ilvl w:val="1"/>
          <w:numId w:val="2"/>
        </w:numPr>
        <w:jc w:val="both"/>
        <w:rPr>
          <w:rFonts w:ascii="Century" w:hAnsi="Century"/>
          <w:color w:val="FF0000"/>
        </w:rPr>
      </w:pPr>
      <w:r w:rsidRPr="00D44EB0">
        <w:rPr>
          <w:rFonts w:ascii="Century" w:hAnsi="Century"/>
          <w:color w:val="FF0000"/>
        </w:rPr>
        <w:t>Belkin, P. i drugi (</w:t>
      </w:r>
      <w:r w:rsidR="0070777A" w:rsidRPr="00D44EB0">
        <w:rPr>
          <w:rFonts w:ascii="Century" w:hAnsi="Century"/>
          <w:color w:val="FF0000"/>
        </w:rPr>
        <w:t>2014). “</w:t>
      </w:r>
      <w:r w:rsidR="00201C03" w:rsidRPr="00D44EB0">
        <w:rPr>
          <w:rFonts w:ascii="Century" w:hAnsi="Century"/>
          <w:color w:val="FF0000"/>
        </w:rPr>
        <w:t>NATO: Response to the Crisis in Ukraine and Security Concerns in Central and Eastern Europe”,</w:t>
      </w:r>
      <w:r w:rsidR="000E6925" w:rsidRPr="00D44EB0">
        <w:rPr>
          <w:rFonts w:ascii="Century" w:hAnsi="Century"/>
          <w:color w:val="FF0000"/>
        </w:rPr>
        <w:t xml:space="preserve"> </w:t>
      </w:r>
      <w:r w:rsidR="000E6925" w:rsidRPr="00D44EB0">
        <w:rPr>
          <w:rFonts w:ascii="Century" w:hAnsi="Century"/>
          <w:i/>
          <w:color w:val="FF0000"/>
        </w:rPr>
        <w:t>CRS Report</w:t>
      </w:r>
      <w:r w:rsidR="000E6925" w:rsidRPr="00D44EB0">
        <w:rPr>
          <w:rFonts w:ascii="Century" w:hAnsi="Century"/>
          <w:color w:val="FF0000"/>
        </w:rPr>
        <w:t>,</w:t>
      </w:r>
      <w:r w:rsidR="00201C03" w:rsidRPr="00D44EB0">
        <w:rPr>
          <w:rFonts w:ascii="Century" w:hAnsi="Century"/>
          <w:color w:val="FF0000"/>
        </w:rPr>
        <w:t xml:space="preserve"> </w:t>
      </w:r>
      <w:r w:rsidR="00DE4DAE" w:rsidRPr="00D44EB0">
        <w:rPr>
          <w:rFonts w:ascii="Century" w:hAnsi="Century"/>
          <w:color w:val="FF0000"/>
        </w:rPr>
        <w:t xml:space="preserve">Washington, D.C.: </w:t>
      </w:r>
      <w:r w:rsidR="00FB082A" w:rsidRPr="00D44EB0">
        <w:rPr>
          <w:rFonts w:ascii="Century" w:hAnsi="Century"/>
          <w:color w:val="FF0000"/>
        </w:rPr>
        <w:t>Congressional Research Service.</w:t>
      </w:r>
      <w:r w:rsidR="0070777A" w:rsidRPr="00D44EB0">
        <w:rPr>
          <w:rFonts w:ascii="Century" w:hAnsi="Century"/>
          <w:color w:val="FF0000"/>
        </w:rPr>
        <w:t xml:space="preserve"> </w:t>
      </w:r>
    </w:p>
    <w:p w14:paraId="594D82B5" w14:textId="77777777" w:rsidR="00645F3E" w:rsidRPr="00D44EB0" w:rsidRDefault="00645F3E" w:rsidP="00A91C3D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 xml:space="preserve">Kirchick, J. (2014). “Putin’s Nordic Shadow”, </w:t>
      </w:r>
      <w:r w:rsidRPr="00D44EB0">
        <w:rPr>
          <w:rFonts w:ascii="Century" w:hAnsi="Century"/>
          <w:i/>
        </w:rPr>
        <w:t>Foreign Policy</w:t>
      </w:r>
      <w:r w:rsidRPr="00D44EB0">
        <w:rPr>
          <w:rFonts w:ascii="Century" w:hAnsi="Century"/>
        </w:rPr>
        <w:t>,</w:t>
      </w:r>
      <w:r w:rsidR="000F6828" w:rsidRPr="00D44EB0">
        <w:rPr>
          <w:rFonts w:ascii="Century" w:hAnsi="Century"/>
        </w:rPr>
        <w:t xml:space="preserve"> str.</w:t>
      </w:r>
      <w:r w:rsidRPr="00D44EB0">
        <w:rPr>
          <w:rFonts w:ascii="Century" w:hAnsi="Century"/>
        </w:rPr>
        <w:t xml:space="preserve"> </w:t>
      </w:r>
      <w:r w:rsidR="000F6828" w:rsidRPr="00D44EB0">
        <w:rPr>
          <w:rFonts w:ascii="Century" w:hAnsi="Century"/>
        </w:rPr>
        <w:t xml:space="preserve">1-12. </w:t>
      </w:r>
    </w:p>
    <w:p w14:paraId="789DF4BF" w14:textId="6DB01D57" w:rsidR="000A29C0" w:rsidRDefault="00A91C3D" w:rsidP="00F93234">
      <w:pPr>
        <w:pStyle w:val="ListParagraph"/>
        <w:ind w:left="1080"/>
        <w:jc w:val="both"/>
        <w:rPr>
          <w:rFonts w:ascii="Century" w:hAnsi="Century"/>
        </w:rPr>
      </w:pPr>
      <w:r w:rsidRPr="00D44EB0">
        <w:rPr>
          <w:rFonts w:ascii="Century" w:hAnsi="Century"/>
        </w:rPr>
        <w:lastRenderedPageBreak/>
        <w:tab/>
      </w:r>
    </w:p>
    <w:p w14:paraId="2F05C234" w14:textId="19DC069A" w:rsidR="00F9086B" w:rsidRPr="00D44EB0" w:rsidRDefault="00F9086B" w:rsidP="00F9086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  <w:b/>
          <w:u w:val="single"/>
        </w:rPr>
        <w:t xml:space="preserve">Crna Gora u procesu euroatlantskih integracija – </w:t>
      </w:r>
      <w:r w:rsidRPr="000358BB">
        <w:rPr>
          <w:rFonts w:ascii="Century" w:hAnsi="Century"/>
          <w:b/>
          <w:color w:val="FF0000"/>
          <w:u w:val="single"/>
        </w:rPr>
        <w:t>P</w:t>
      </w:r>
      <w:r>
        <w:rPr>
          <w:rFonts w:ascii="Century" w:hAnsi="Century"/>
          <w:b/>
          <w:color w:val="FF0000"/>
          <w:u w:val="single"/>
        </w:rPr>
        <w:t>OPRAVNI KOLOKVIJUM</w:t>
      </w:r>
      <w:r w:rsidRPr="000358BB">
        <w:rPr>
          <w:rFonts w:ascii="Century" w:hAnsi="Century"/>
          <w:b/>
          <w:color w:val="FF0000"/>
          <w:u w:val="single"/>
        </w:rPr>
        <w:t xml:space="preserve"> (2</w:t>
      </w:r>
      <w:r>
        <w:rPr>
          <w:rFonts w:ascii="Century" w:hAnsi="Century"/>
          <w:b/>
          <w:color w:val="FF0000"/>
          <w:u w:val="single"/>
        </w:rPr>
        <w:t>8</w:t>
      </w:r>
      <w:r w:rsidRPr="000358BB">
        <w:rPr>
          <w:rFonts w:ascii="Century" w:hAnsi="Century"/>
          <w:b/>
          <w:color w:val="FF0000"/>
          <w:u w:val="single"/>
        </w:rPr>
        <w:t>.12)</w:t>
      </w:r>
    </w:p>
    <w:p w14:paraId="0AF7FF30" w14:textId="77777777" w:rsidR="00F9086B" w:rsidRPr="00D44EB0" w:rsidRDefault="00F9086B" w:rsidP="00F9086B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Tahirović, M. (2010). </w:t>
      </w:r>
      <w:r w:rsidRPr="00D44EB0">
        <w:rPr>
          <w:rFonts w:ascii="Century" w:hAnsi="Century"/>
          <w:i/>
        </w:rPr>
        <w:t>Crna Gora na putu u NATO</w:t>
      </w:r>
      <w:r w:rsidRPr="00D44EB0">
        <w:rPr>
          <w:rFonts w:ascii="Century" w:hAnsi="Century"/>
        </w:rPr>
        <w:t xml:space="preserve">, str. 55-91, Podgorica: Uprava za kadrove. </w:t>
      </w:r>
    </w:p>
    <w:p w14:paraId="036E06C1" w14:textId="77777777" w:rsidR="00F9086B" w:rsidRPr="00F93234" w:rsidRDefault="00F9086B" w:rsidP="00F93234">
      <w:pPr>
        <w:pStyle w:val="ListParagraph"/>
        <w:ind w:left="1080"/>
        <w:jc w:val="both"/>
        <w:rPr>
          <w:rFonts w:ascii="Century" w:hAnsi="Century"/>
        </w:rPr>
      </w:pPr>
    </w:p>
    <w:p w14:paraId="5EC32EFB" w14:textId="77777777" w:rsidR="000A29C0" w:rsidRPr="00D44EB0" w:rsidRDefault="000A29C0" w:rsidP="002F50EB">
      <w:pPr>
        <w:jc w:val="both"/>
        <w:rPr>
          <w:rFonts w:ascii="Century" w:hAnsi="Century"/>
          <w:b/>
          <w:u w:val="single"/>
        </w:rPr>
      </w:pPr>
    </w:p>
    <w:p w14:paraId="00EE4D19" w14:textId="77777777" w:rsidR="005F1A00" w:rsidRPr="00D44EB0" w:rsidRDefault="00645F3E" w:rsidP="002F50EB">
      <w:pPr>
        <w:jc w:val="both"/>
        <w:rPr>
          <w:rFonts w:ascii="Century" w:hAnsi="Century"/>
        </w:rPr>
      </w:pPr>
      <w:r w:rsidRPr="00D44EB0">
        <w:rPr>
          <w:rFonts w:ascii="Century" w:hAnsi="Century"/>
          <w:b/>
          <w:u w:val="single"/>
        </w:rPr>
        <w:t>Korisni linkovi</w:t>
      </w:r>
    </w:p>
    <w:p w14:paraId="51105980" w14:textId="77777777" w:rsidR="00645F3E" w:rsidRPr="00D44EB0" w:rsidRDefault="00645F3E" w:rsidP="002F50EB">
      <w:pPr>
        <w:jc w:val="both"/>
        <w:rPr>
          <w:rFonts w:ascii="Century" w:hAnsi="Century"/>
        </w:rPr>
      </w:pPr>
    </w:p>
    <w:p w14:paraId="7B465DC9" w14:textId="77777777" w:rsidR="008077A1" w:rsidRPr="00D44EB0" w:rsidRDefault="00180FDF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Ujedinjene nacije (</w:t>
      </w:r>
      <w:hyperlink r:id="rId11" w:history="1">
        <w:r w:rsidRPr="00D44EB0">
          <w:rPr>
            <w:rStyle w:val="Hyperlink"/>
            <w:rFonts w:ascii="Century" w:hAnsi="Century"/>
          </w:rPr>
          <w:t>http://www.un.org/en/</w:t>
        </w:r>
      </w:hyperlink>
      <w:r w:rsidRPr="00D44EB0">
        <w:rPr>
          <w:rFonts w:ascii="Century" w:hAnsi="Century"/>
        </w:rPr>
        <w:t xml:space="preserve">) </w:t>
      </w:r>
    </w:p>
    <w:p w14:paraId="5588EEF7" w14:textId="77777777" w:rsidR="00F235A8" w:rsidRPr="00D44EB0" w:rsidRDefault="00F235A8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NATO (</w:t>
      </w:r>
      <w:hyperlink r:id="rId12" w:history="1">
        <w:r w:rsidR="00500831" w:rsidRPr="00D44EB0">
          <w:rPr>
            <w:rStyle w:val="Hyperlink"/>
            <w:rFonts w:ascii="Century" w:hAnsi="Century"/>
          </w:rPr>
          <w:t>http://www.nato.int/</w:t>
        </w:r>
      </w:hyperlink>
      <w:r w:rsidR="00500831" w:rsidRPr="00D44EB0">
        <w:rPr>
          <w:rFonts w:ascii="Century" w:hAnsi="Century"/>
        </w:rPr>
        <w:t xml:space="preserve">) </w:t>
      </w:r>
    </w:p>
    <w:p w14:paraId="014458D2" w14:textId="77777777" w:rsidR="007C0821" w:rsidRPr="00D44EB0" w:rsidRDefault="007C0821" w:rsidP="007C0821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NATO-Russia Relations (zvanični sajt NATO saveza: </w:t>
      </w:r>
      <w:hyperlink r:id="rId13" w:history="1">
        <w:r w:rsidRPr="00D44EB0">
          <w:rPr>
            <w:rStyle w:val="Hyperlink"/>
            <w:rFonts w:ascii="Century" w:hAnsi="Century"/>
          </w:rPr>
          <w:t>http://www.nato.int/cps/en/natohq/topics_51105.htm</w:t>
        </w:r>
      </w:hyperlink>
      <w:r w:rsidRPr="00D44EB0">
        <w:rPr>
          <w:rFonts w:ascii="Century" w:hAnsi="Century"/>
        </w:rPr>
        <w:t xml:space="preserve">) </w:t>
      </w:r>
    </w:p>
    <w:p w14:paraId="361010A9" w14:textId="77777777" w:rsidR="007C0821" w:rsidRPr="00D44EB0" w:rsidRDefault="007C0821" w:rsidP="007C0821">
      <w:pPr>
        <w:pStyle w:val="ListParagraph"/>
        <w:numPr>
          <w:ilvl w:val="1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 xml:space="preserve">NATO-Russia Council (zvanični sajt Savjeta NATO-Rusija: </w:t>
      </w:r>
      <w:hyperlink r:id="rId14" w:history="1">
        <w:r w:rsidRPr="00D44EB0">
          <w:rPr>
            <w:rStyle w:val="Hyperlink"/>
            <w:rFonts w:ascii="Century" w:hAnsi="Century"/>
          </w:rPr>
          <w:t>http://www.nato-russia-council.info/en/about/</w:t>
        </w:r>
      </w:hyperlink>
      <w:r w:rsidRPr="00D44EB0">
        <w:rPr>
          <w:rFonts w:ascii="Century" w:hAnsi="Century"/>
        </w:rPr>
        <w:t xml:space="preserve">) </w:t>
      </w:r>
    </w:p>
    <w:p w14:paraId="215BE8DB" w14:textId="77777777" w:rsidR="00852A8E" w:rsidRPr="00D44EB0" w:rsidRDefault="00852A8E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EU, Vanjska i bezbjednosna politika (</w:t>
      </w:r>
      <w:hyperlink r:id="rId15" w:history="1">
        <w:r w:rsidRPr="00D44EB0">
          <w:rPr>
            <w:rStyle w:val="Hyperlink"/>
            <w:rFonts w:ascii="Century" w:hAnsi="Century"/>
          </w:rPr>
          <w:t>http://europa.eu/pol/cfsp/index_hr.htm</w:t>
        </w:r>
      </w:hyperlink>
      <w:r w:rsidRPr="00D44EB0">
        <w:rPr>
          <w:rFonts w:ascii="Century" w:hAnsi="Century"/>
        </w:rPr>
        <w:t xml:space="preserve">) </w:t>
      </w:r>
    </w:p>
    <w:p w14:paraId="5E00E71C" w14:textId="77777777" w:rsidR="001B2425" w:rsidRPr="00D44EB0" w:rsidRDefault="001B2425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U.S. Department of State-NATO (</w:t>
      </w:r>
      <w:hyperlink r:id="rId16" w:history="1">
        <w:r w:rsidRPr="00D44EB0">
          <w:rPr>
            <w:rStyle w:val="Hyperlink"/>
            <w:rFonts w:ascii="Century" w:hAnsi="Century"/>
          </w:rPr>
          <w:t>http://www.state.gov/p/eur/rt/nato/</w:t>
        </w:r>
      </w:hyperlink>
      <w:r w:rsidRPr="00D44EB0">
        <w:rPr>
          <w:rFonts w:ascii="Century" w:hAnsi="Century"/>
        </w:rPr>
        <w:t xml:space="preserve">) </w:t>
      </w:r>
    </w:p>
    <w:p w14:paraId="63AEF6EF" w14:textId="77777777" w:rsidR="00986F3B" w:rsidRPr="00D44EB0" w:rsidRDefault="00986F3B" w:rsidP="00645F3E">
      <w:pPr>
        <w:pStyle w:val="ListParagraph"/>
        <w:numPr>
          <w:ilvl w:val="0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Vlada Crne Gore (</w:t>
      </w:r>
      <w:r w:rsidR="00716E33" w:rsidRPr="00D44EB0">
        <w:rPr>
          <w:rFonts w:ascii="Century" w:hAnsi="Century"/>
        </w:rPr>
        <w:t>http://www.gov.me/naslovna)</w:t>
      </w:r>
    </w:p>
    <w:p w14:paraId="4A441FE4" w14:textId="77777777" w:rsidR="00645F3E" w:rsidRPr="00D44EB0" w:rsidRDefault="00645F3E" w:rsidP="003F01F1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Relations between Montenegro and NATO (</w:t>
      </w:r>
      <w:hyperlink r:id="rId17" w:history="1">
        <w:r w:rsidRPr="00D44EB0">
          <w:rPr>
            <w:rStyle w:val="Hyperlink"/>
            <w:rFonts w:ascii="Century" w:hAnsi="Century"/>
          </w:rPr>
          <w:t>http://www.mvpei.gov.me/en/sections/NATO/Relations-between-Montenegro-and-NATO/</w:t>
        </w:r>
      </w:hyperlink>
      <w:r w:rsidRPr="00D44EB0">
        <w:rPr>
          <w:rFonts w:ascii="Century" w:hAnsi="Century"/>
        </w:rPr>
        <w:t xml:space="preserve">) </w:t>
      </w:r>
    </w:p>
    <w:p w14:paraId="32884B57" w14:textId="77777777" w:rsidR="00645F3E" w:rsidRPr="00D44EB0" w:rsidRDefault="00645F3E" w:rsidP="007B52C2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>Info centar o evroatlantskim integracijama, CDT (</w:t>
      </w:r>
      <w:hyperlink r:id="rId18" w:history="1">
        <w:r w:rsidRPr="00D44EB0">
          <w:rPr>
            <w:rStyle w:val="Hyperlink"/>
            <w:rFonts w:ascii="Century" w:hAnsi="Century"/>
          </w:rPr>
          <w:t>http://www.infocentarmne.net/IC/home/</w:t>
        </w:r>
      </w:hyperlink>
      <w:r w:rsidRPr="00D44EB0">
        <w:rPr>
          <w:rFonts w:ascii="Century" w:hAnsi="Century"/>
        </w:rPr>
        <w:t xml:space="preserve">) </w:t>
      </w:r>
    </w:p>
    <w:p w14:paraId="31BF1675" w14:textId="77777777" w:rsidR="00DA22AD" w:rsidRPr="00D44EB0" w:rsidRDefault="00645F3E" w:rsidP="007B52C2">
      <w:pPr>
        <w:pStyle w:val="ListParagraph"/>
        <w:numPr>
          <w:ilvl w:val="1"/>
          <w:numId w:val="2"/>
        </w:numPr>
        <w:jc w:val="both"/>
        <w:rPr>
          <w:rFonts w:ascii="Century" w:hAnsi="Century"/>
          <w:b/>
          <w:u w:val="single"/>
        </w:rPr>
      </w:pPr>
      <w:r w:rsidRPr="00D44EB0">
        <w:rPr>
          <w:rFonts w:ascii="Century" w:hAnsi="Century"/>
        </w:rPr>
        <w:t xml:space="preserve">Političko javno mnjenje, </w:t>
      </w:r>
      <w:r w:rsidR="004114BB" w:rsidRPr="00D44EB0">
        <w:rPr>
          <w:rFonts w:ascii="Century" w:hAnsi="Century"/>
        </w:rPr>
        <w:t xml:space="preserve">istraživanja </w:t>
      </w:r>
      <w:r w:rsidRPr="00D44EB0">
        <w:rPr>
          <w:rFonts w:ascii="Century" w:hAnsi="Century"/>
        </w:rPr>
        <w:t>CEDEM</w:t>
      </w:r>
      <w:r w:rsidR="004114BB" w:rsidRPr="00D44EB0">
        <w:rPr>
          <w:rFonts w:ascii="Century" w:hAnsi="Century"/>
        </w:rPr>
        <w:t>-a (</w:t>
      </w:r>
      <w:hyperlink r:id="rId19" w:history="1">
        <w:r w:rsidRPr="00D44EB0">
          <w:rPr>
            <w:rStyle w:val="Hyperlink"/>
            <w:rFonts w:ascii="Century" w:hAnsi="Century"/>
          </w:rPr>
          <w:t>http://cedem.me/sr/programi/istraivanja-javnog-mnjenja/politiko-javno-mnjenje.html</w:t>
        </w:r>
      </w:hyperlink>
      <w:r w:rsidRPr="00D44EB0">
        <w:rPr>
          <w:rFonts w:ascii="Century" w:hAnsi="Century"/>
        </w:rPr>
        <w:t xml:space="preserve">) </w:t>
      </w:r>
    </w:p>
    <w:p w14:paraId="0ACD55C8" w14:textId="77777777" w:rsidR="00645F3E" w:rsidRPr="00D44EB0" w:rsidRDefault="00645F3E" w:rsidP="00CB5D83">
      <w:pPr>
        <w:ind w:left="1440"/>
        <w:jc w:val="both"/>
        <w:rPr>
          <w:rFonts w:ascii="Century" w:hAnsi="Century"/>
        </w:rPr>
      </w:pPr>
    </w:p>
    <w:p w14:paraId="026093E1" w14:textId="77777777" w:rsidR="00CB5D83" w:rsidRPr="00D44EB0" w:rsidRDefault="008C0C79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Google Scholar</w:t>
      </w:r>
      <w:r w:rsidR="004B7B9E" w:rsidRPr="00D44EB0">
        <w:rPr>
          <w:rFonts w:ascii="Century" w:hAnsi="Century"/>
        </w:rPr>
        <w:t xml:space="preserve"> (</w:t>
      </w:r>
      <w:hyperlink r:id="rId20" w:history="1">
        <w:r w:rsidR="004B7B9E" w:rsidRPr="00D44EB0">
          <w:rPr>
            <w:rStyle w:val="Hyperlink"/>
            <w:rFonts w:ascii="Century" w:hAnsi="Century"/>
            <w:lang w:val="sr-Latn-CS"/>
          </w:rPr>
          <w:t>www.googlescholar.com</w:t>
        </w:r>
      </w:hyperlink>
      <w:r w:rsidR="004B7B9E" w:rsidRPr="00D44EB0">
        <w:rPr>
          <w:rFonts w:ascii="Century" w:hAnsi="Century"/>
          <w:lang w:val="sr-Latn-CS"/>
        </w:rPr>
        <w:t>)</w:t>
      </w:r>
    </w:p>
    <w:p w14:paraId="4E15D762" w14:textId="77777777" w:rsidR="004B7B9E" w:rsidRPr="00D44EB0" w:rsidRDefault="004B260F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>Foreign Policy</w:t>
      </w:r>
      <w:r w:rsidRPr="00D44EB0">
        <w:rPr>
          <w:rFonts w:ascii="Century" w:hAnsi="Century"/>
        </w:rPr>
        <w:t xml:space="preserve"> (</w:t>
      </w:r>
      <w:hyperlink r:id="rId21" w:history="1">
        <w:r w:rsidRPr="00D44EB0">
          <w:rPr>
            <w:rStyle w:val="Hyperlink"/>
            <w:rFonts w:ascii="Century" w:hAnsi="Century"/>
          </w:rPr>
          <w:t>http://www.foreignpolicy.com/</w:t>
        </w:r>
      </w:hyperlink>
      <w:r w:rsidRPr="00D44EB0">
        <w:rPr>
          <w:rFonts w:ascii="Century" w:hAnsi="Century"/>
        </w:rPr>
        <w:t xml:space="preserve">) </w:t>
      </w:r>
    </w:p>
    <w:p w14:paraId="36F4B0BB" w14:textId="77777777" w:rsidR="004B260F" w:rsidRPr="00D44EB0" w:rsidRDefault="004B260F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>Foreign Affairs</w:t>
      </w:r>
      <w:r w:rsidRPr="00D44EB0">
        <w:rPr>
          <w:rFonts w:ascii="Century" w:hAnsi="Century"/>
        </w:rPr>
        <w:t xml:space="preserve"> (</w:t>
      </w:r>
      <w:hyperlink r:id="rId22" w:history="1">
        <w:r w:rsidR="008C0C79" w:rsidRPr="00D44EB0">
          <w:rPr>
            <w:rStyle w:val="Hyperlink"/>
            <w:rFonts w:ascii="Century" w:hAnsi="Century"/>
          </w:rPr>
          <w:t>http://www.foreignaffairs.com/</w:t>
        </w:r>
      </w:hyperlink>
      <w:r w:rsidR="008C0C79" w:rsidRPr="00D44EB0">
        <w:rPr>
          <w:rFonts w:ascii="Century" w:hAnsi="Century"/>
        </w:rPr>
        <w:t xml:space="preserve">) </w:t>
      </w:r>
    </w:p>
    <w:p w14:paraId="642CD684" w14:textId="77777777" w:rsidR="004B260F" w:rsidRPr="00D44EB0" w:rsidRDefault="004B260F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>The Economist</w:t>
      </w:r>
      <w:r w:rsidRPr="00D44EB0">
        <w:rPr>
          <w:rFonts w:ascii="Century" w:hAnsi="Century"/>
        </w:rPr>
        <w:t xml:space="preserve"> (</w:t>
      </w:r>
      <w:hyperlink r:id="rId23" w:history="1">
        <w:r w:rsidRPr="00D44EB0">
          <w:rPr>
            <w:rStyle w:val="Hyperlink"/>
            <w:rFonts w:ascii="Century" w:hAnsi="Century"/>
          </w:rPr>
          <w:t>http://www.economist.com/</w:t>
        </w:r>
      </w:hyperlink>
      <w:r w:rsidRPr="00D44EB0">
        <w:rPr>
          <w:rFonts w:ascii="Century" w:hAnsi="Century"/>
        </w:rPr>
        <w:t xml:space="preserve">) </w:t>
      </w:r>
    </w:p>
    <w:p w14:paraId="272E64F7" w14:textId="77777777" w:rsidR="00DF7E83" w:rsidRPr="00D44EB0" w:rsidRDefault="00DF7E83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</w:rPr>
        <w:t>S</w:t>
      </w:r>
      <w:r w:rsidRPr="00D44EB0">
        <w:rPr>
          <w:rFonts w:ascii="Century" w:hAnsi="Century"/>
          <w:i/>
        </w:rPr>
        <w:t xml:space="preserve">piegel </w:t>
      </w:r>
      <w:r w:rsidRPr="00D44EB0">
        <w:rPr>
          <w:rFonts w:ascii="Century" w:hAnsi="Century"/>
        </w:rPr>
        <w:t>(</w:t>
      </w:r>
      <w:hyperlink r:id="rId24" w:history="1">
        <w:r w:rsidR="00CA435E" w:rsidRPr="00D44EB0">
          <w:rPr>
            <w:rStyle w:val="Hyperlink"/>
            <w:rFonts w:ascii="Century" w:hAnsi="Century"/>
          </w:rPr>
          <w:t>http://www.spiegel.de/international/</w:t>
        </w:r>
      </w:hyperlink>
      <w:r w:rsidR="00CA435E" w:rsidRPr="00D44EB0">
        <w:rPr>
          <w:rFonts w:ascii="Century" w:hAnsi="Century"/>
        </w:rPr>
        <w:t xml:space="preserve">) </w:t>
      </w:r>
    </w:p>
    <w:p w14:paraId="39E4177F" w14:textId="77777777" w:rsidR="009E7E5B" w:rsidRPr="00D44EB0" w:rsidRDefault="009E7E5B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 xml:space="preserve">Chatam House </w:t>
      </w:r>
      <w:r w:rsidRPr="00D44EB0">
        <w:rPr>
          <w:rFonts w:ascii="Century" w:hAnsi="Century"/>
        </w:rPr>
        <w:t>(</w:t>
      </w:r>
      <w:hyperlink r:id="rId25" w:history="1">
        <w:r w:rsidRPr="00D44EB0">
          <w:rPr>
            <w:rStyle w:val="Hyperlink"/>
            <w:rFonts w:ascii="Century" w:hAnsi="Century"/>
          </w:rPr>
          <w:t>http://www.chathamhouse.org/</w:t>
        </w:r>
      </w:hyperlink>
      <w:r w:rsidRPr="00D44EB0">
        <w:rPr>
          <w:rFonts w:ascii="Century" w:hAnsi="Century"/>
        </w:rPr>
        <w:t xml:space="preserve">) </w:t>
      </w:r>
    </w:p>
    <w:p w14:paraId="7E662CB6" w14:textId="77777777" w:rsidR="0029750E" w:rsidRPr="00D44EB0" w:rsidRDefault="0029750E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 xml:space="preserve">Council on Foreign Relations </w:t>
      </w:r>
      <w:r w:rsidRPr="00D44EB0">
        <w:rPr>
          <w:rFonts w:ascii="Century" w:hAnsi="Century"/>
        </w:rPr>
        <w:t>(</w:t>
      </w:r>
      <w:hyperlink r:id="rId26" w:history="1">
        <w:r w:rsidR="008C0C79" w:rsidRPr="00D44EB0">
          <w:rPr>
            <w:rStyle w:val="Hyperlink"/>
            <w:rFonts w:ascii="Century" w:hAnsi="Century"/>
          </w:rPr>
          <w:t>http://www.cfr.org/</w:t>
        </w:r>
      </w:hyperlink>
      <w:r w:rsidR="008C0C79" w:rsidRPr="00D44EB0">
        <w:rPr>
          <w:rFonts w:ascii="Century" w:hAnsi="Century"/>
        </w:rPr>
        <w:t xml:space="preserve">) </w:t>
      </w:r>
    </w:p>
    <w:p w14:paraId="30CE508F" w14:textId="77777777" w:rsidR="008C0C79" w:rsidRPr="00D44EB0" w:rsidRDefault="000E6E3A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 xml:space="preserve">RAND Corporation </w:t>
      </w:r>
      <w:r w:rsidRPr="00D44EB0">
        <w:rPr>
          <w:rFonts w:ascii="Century" w:hAnsi="Century"/>
        </w:rPr>
        <w:t>(</w:t>
      </w:r>
      <w:hyperlink r:id="rId27" w:history="1">
        <w:r w:rsidRPr="00D44EB0">
          <w:rPr>
            <w:rStyle w:val="Hyperlink"/>
            <w:rFonts w:ascii="Century" w:hAnsi="Century"/>
          </w:rPr>
          <w:t>http://www.rand.org/</w:t>
        </w:r>
      </w:hyperlink>
      <w:r w:rsidRPr="00D44EB0">
        <w:rPr>
          <w:rFonts w:ascii="Century" w:hAnsi="Century"/>
        </w:rPr>
        <w:t xml:space="preserve">) </w:t>
      </w:r>
    </w:p>
    <w:p w14:paraId="75F53CF6" w14:textId="77777777" w:rsidR="00031DE2" w:rsidRPr="00D44EB0" w:rsidRDefault="00031DE2" w:rsidP="00CB5D83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D44EB0">
        <w:rPr>
          <w:rFonts w:ascii="Century" w:hAnsi="Century"/>
          <w:i/>
        </w:rPr>
        <w:t xml:space="preserve">EU Institute for Security Studies </w:t>
      </w:r>
      <w:r w:rsidRPr="00D44EB0">
        <w:rPr>
          <w:rFonts w:ascii="Century" w:hAnsi="Century"/>
        </w:rPr>
        <w:t>(</w:t>
      </w:r>
      <w:hyperlink r:id="rId28" w:history="1">
        <w:r w:rsidRPr="00D44EB0">
          <w:rPr>
            <w:rStyle w:val="Hyperlink"/>
            <w:rFonts w:ascii="Century" w:hAnsi="Century"/>
          </w:rPr>
          <w:t>http://www.iss.europa.eu/</w:t>
        </w:r>
      </w:hyperlink>
      <w:r w:rsidRPr="00D44EB0">
        <w:rPr>
          <w:rFonts w:ascii="Century" w:hAnsi="Century"/>
        </w:rPr>
        <w:t xml:space="preserve">) </w:t>
      </w:r>
    </w:p>
    <w:p w14:paraId="5C30A05A" w14:textId="77777777" w:rsidR="000E6E3A" w:rsidRPr="00D44EB0" w:rsidRDefault="000E6E3A" w:rsidP="009E7E5B">
      <w:pPr>
        <w:pStyle w:val="ListParagraph"/>
        <w:ind w:left="1080"/>
        <w:jc w:val="both"/>
        <w:rPr>
          <w:rFonts w:ascii="Century" w:hAnsi="Century"/>
        </w:rPr>
      </w:pPr>
    </w:p>
    <w:sectPr w:rsidR="000E6E3A" w:rsidRPr="00D44EB0" w:rsidSect="005812D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89B"/>
    <w:multiLevelType w:val="hybridMultilevel"/>
    <w:tmpl w:val="2BFEF948"/>
    <w:lvl w:ilvl="0" w:tplc="E82EEB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E2BCD"/>
    <w:multiLevelType w:val="hybridMultilevel"/>
    <w:tmpl w:val="2D50A1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9B433F"/>
    <w:multiLevelType w:val="hybridMultilevel"/>
    <w:tmpl w:val="335A6FB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681448">
    <w:abstractNumId w:val="2"/>
  </w:num>
  <w:num w:numId="2" w16cid:durableId="648051522">
    <w:abstractNumId w:val="0"/>
  </w:num>
  <w:num w:numId="3" w16cid:durableId="156035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81D"/>
    <w:rsid w:val="000077D9"/>
    <w:rsid w:val="000114B2"/>
    <w:rsid w:val="00015BE3"/>
    <w:rsid w:val="00016A5B"/>
    <w:rsid w:val="0002440A"/>
    <w:rsid w:val="00027981"/>
    <w:rsid w:val="00031DE2"/>
    <w:rsid w:val="00032A2A"/>
    <w:rsid w:val="000358BB"/>
    <w:rsid w:val="0004491C"/>
    <w:rsid w:val="00050E30"/>
    <w:rsid w:val="00061AB3"/>
    <w:rsid w:val="000623DE"/>
    <w:rsid w:val="0008225F"/>
    <w:rsid w:val="00083A8E"/>
    <w:rsid w:val="00087D7E"/>
    <w:rsid w:val="0009778E"/>
    <w:rsid w:val="000A29C0"/>
    <w:rsid w:val="000A3101"/>
    <w:rsid w:val="000A541D"/>
    <w:rsid w:val="000A5D7F"/>
    <w:rsid w:val="000C2394"/>
    <w:rsid w:val="000C3778"/>
    <w:rsid w:val="000C3D29"/>
    <w:rsid w:val="000C5876"/>
    <w:rsid w:val="000E5F45"/>
    <w:rsid w:val="000E6925"/>
    <w:rsid w:val="000E6E3A"/>
    <w:rsid w:val="000F2C53"/>
    <w:rsid w:val="000F570F"/>
    <w:rsid w:val="000F65B8"/>
    <w:rsid w:val="000F6828"/>
    <w:rsid w:val="00111BEA"/>
    <w:rsid w:val="00113823"/>
    <w:rsid w:val="00117ADF"/>
    <w:rsid w:val="0012127C"/>
    <w:rsid w:val="00121E36"/>
    <w:rsid w:val="0013295D"/>
    <w:rsid w:val="00134230"/>
    <w:rsid w:val="001507E2"/>
    <w:rsid w:val="0015501D"/>
    <w:rsid w:val="00157815"/>
    <w:rsid w:val="001621AA"/>
    <w:rsid w:val="00164279"/>
    <w:rsid w:val="0017021B"/>
    <w:rsid w:val="00171561"/>
    <w:rsid w:val="00174190"/>
    <w:rsid w:val="00180FDF"/>
    <w:rsid w:val="001B04C1"/>
    <w:rsid w:val="001B1945"/>
    <w:rsid w:val="001B2425"/>
    <w:rsid w:val="001B6292"/>
    <w:rsid w:val="001C458E"/>
    <w:rsid w:val="001C512D"/>
    <w:rsid w:val="001E0DAD"/>
    <w:rsid w:val="00201C03"/>
    <w:rsid w:val="00206DA6"/>
    <w:rsid w:val="00207018"/>
    <w:rsid w:val="00210D22"/>
    <w:rsid w:val="002341C6"/>
    <w:rsid w:val="002529E2"/>
    <w:rsid w:val="00254178"/>
    <w:rsid w:val="0025429C"/>
    <w:rsid w:val="00255316"/>
    <w:rsid w:val="00276AE2"/>
    <w:rsid w:val="00283B42"/>
    <w:rsid w:val="002956C4"/>
    <w:rsid w:val="0029750E"/>
    <w:rsid w:val="002A0582"/>
    <w:rsid w:val="002A7CDF"/>
    <w:rsid w:val="002C3136"/>
    <w:rsid w:val="002F05A4"/>
    <w:rsid w:val="002F50EB"/>
    <w:rsid w:val="00330A63"/>
    <w:rsid w:val="00341F33"/>
    <w:rsid w:val="00342A55"/>
    <w:rsid w:val="0034577D"/>
    <w:rsid w:val="003459A8"/>
    <w:rsid w:val="00345AA8"/>
    <w:rsid w:val="00346062"/>
    <w:rsid w:val="00350C8F"/>
    <w:rsid w:val="003633F8"/>
    <w:rsid w:val="003719C9"/>
    <w:rsid w:val="00372C92"/>
    <w:rsid w:val="0037355F"/>
    <w:rsid w:val="00376734"/>
    <w:rsid w:val="00380C07"/>
    <w:rsid w:val="0038400D"/>
    <w:rsid w:val="003941D1"/>
    <w:rsid w:val="003A096A"/>
    <w:rsid w:val="003E5C94"/>
    <w:rsid w:val="003E6DD1"/>
    <w:rsid w:val="003F01F1"/>
    <w:rsid w:val="003F1897"/>
    <w:rsid w:val="003F257F"/>
    <w:rsid w:val="004114BB"/>
    <w:rsid w:val="004154AC"/>
    <w:rsid w:val="00415A80"/>
    <w:rsid w:val="0041637B"/>
    <w:rsid w:val="00421FF1"/>
    <w:rsid w:val="00433F2B"/>
    <w:rsid w:val="0045081D"/>
    <w:rsid w:val="00454EFA"/>
    <w:rsid w:val="004616D7"/>
    <w:rsid w:val="00462AA1"/>
    <w:rsid w:val="004634B7"/>
    <w:rsid w:val="00471661"/>
    <w:rsid w:val="00471CB4"/>
    <w:rsid w:val="004755EF"/>
    <w:rsid w:val="00480E93"/>
    <w:rsid w:val="00484997"/>
    <w:rsid w:val="004B260F"/>
    <w:rsid w:val="004B615A"/>
    <w:rsid w:val="004B62FA"/>
    <w:rsid w:val="004B7B9E"/>
    <w:rsid w:val="004D312A"/>
    <w:rsid w:val="004E097A"/>
    <w:rsid w:val="004E46D0"/>
    <w:rsid w:val="004F23FF"/>
    <w:rsid w:val="00500831"/>
    <w:rsid w:val="0050506F"/>
    <w:rsid w:val="005241E3"/>
    <w:rsid w:val="00525935"/>
    <w:rsid w:val="00526A7B"/>
    <w:rsid w:val="00534FE8"/>
    <w:rsid w:val="00537DC9"/>
    <w:rsid w:val="00537F93"/>
    <w:rsid w:val="005510E0"/>
    <w:rsid w:val="00555C81"/>
    <w:rsid w:val="005574AA"/>
    <w:rsid w:val="005617BF"/>
    <w:rsid w:val="0056269C"/>
    <w:rsid w:val="005812D2"/>
    <w:rsid w:val="00584284"/>
    <w:rsid w:val="005B5A0B"/>
    <w:rsid w:val="005C2213"/>
    <w:rsid w:val="005C54D1"/>
    <w:rsid w:val="005D7B9D"/>
    <w:rsid w:val="005E3E05"/>
    <w:rsid w:val="005E7BAA"/>
    <w:rsid w:val="005F1A00"/>
    <w:rsid w:val="00600DF5"/>
    <w:rsid w:val="006104A6"/>
    <w:rsid w:val="00613A89"/>
    <w:rsid w:val="00620686"/>
    <w:rsid w:val="0062619C"/>
    <w:rsid w:val="006336FA"/>
    <w:rsid w:val="00635B6E"/>
    <w:rsid w:val="006360C8"/>
    <w:rsid w:val="006371DF"/>
    <w:rsid w:val="00641876"/>
    <w:rsid w:val="00645F3E"/>
    <w:rsid w:val="00646612"/>
    <w:rsid w:val="00663A8E"/>
    <w:rsid w:val="00664F63"/>
    <w:rsid w:val="00666343"/>
    <w:rsid w:val="006710A4"/>
    <w:rsid w:val="00675822"/>
    <w:rsid w:val="00676366"/>
    <w:rsid w:val="00676CC3"/>
    <w:rsid w:val="00677017"/>
    <w:rsid w:val="00680A65"/>
    <w:rsid w:val="00684812"/>
    <w:rsid w:val="006854E0"/>
    <w:rsid w:val="00692A7D"/>
    <w:rsid w:val="006A46D3"/>
    <w:rsid w:val="006B17EB"/>
    <w:rsid w:val="006B60AA"/>
    <w:rsid w:val="006B791B"/>
    <w:rsid w:val="006C155F"/>
    <w:rsid w:val="006D2012"/>
    <w:rsid w:val="006F3AF1"/>
    <w:rsid w:val="00700062"/>
    <w:rsid w:val="0070777A"/>
    <w:rsid w:val="00716E33"/>
    <w:rsid w:val="007300E5"/>
    <w:rsid w:val="00742F1C"/>
    <w:rsid w:val="007453F2"/>
    <w:rsid w:val="00747671"/>
    <w:rsid w:val="00750BFE"/>
    <w:rsid w:val="00753FA6"/>
    <w:rsid w:val="007730A8"/>
    <w:rsid w:val="007838A6"/>
    <w:rsid w:val="00784FA1"/>
    <w:rsid w:val="00790875"/>
    <w:rsid w:val="007966E2"/>
    <w:rsid w:val="007B0840"/>
    <w:rsid w:val="007B2631"/>
    <w:rsid w:val="007B52C2"/>
    <w:rsid w:val="007C0821"/>
    <w:rsid w:val="007C0F35"/>
    <w:rsid w:val="007D617B"/>
    <w:rsid w:val="007D645D"/>
    <w:rsid w:val="008020AB"/>
    <w:rsid w:val="008077A1"/>
    <w:rsid w:val="0081442D"/>
    <w:rsid w:val="00841E59"/>
    <w:rsid w:val="00842246"/>
    <w:rsid w:val="0084263F"/>
    <w:rsid w:val="00852A8E"/>
    <w:rsid w:val="00852A96"/>
    <w:rsid w:val="00857D1F"/>
    <w:rsid w:val="008645B2"/>
    <w:rsid w:val="00875868"/>
    <w:rsid w:val="00877F3B"/>
    <w:rsid w:val="00884B5A"/>
    <w:rsid w:val="00894AF4"/>
    <w:rsid w:val="00895EEC"/>
    <w:rsid w:val="008B5D8F"/>
    <w:rsid w:val="008C0C79"/>
    <w:rsid w:val="008D0865"/>
    <w:rsid w:val="008D3AD6"/>
    <w:rsid w:val="008E053A"/>
    <w:rsid w:val="008E0AAB"/>
    <w:rsid w:val="008F12C1"/>
    <w:rsid w:val="00903D27"/>
    <w:rsid w:val="00907B10"/>
    <w:rsid w:val="00913EEC"/>
    <w:rsid w:val="00925E1B"/>
    <w:rsid w:val="009431BA"/>
    <w:rsid w:val="00954B1E"/>
    <w:rsid w:val="009577A1"/>
    <w:rsid w:val="00961A48"/>
    <w:rsid w:val="009641B7"/>
    <w:rsid w:val="00965AD3"/>
    <w:rsid w:val="00970A9E"/>
    <w:rsid w:val="0097519E"/>
    <w:rsid w:val="0098601A"/>
    <w:rsid w:val="00986F3B"/>
    <w:rsid w:val="009957F1"/>
    <w:rsid w:val="009977CF"/>
    <w:rsid w:val="009B6D75"/>
    <w:rsid w:val="009B7DB8"/>
    <w:rsid w:val="009C401A"/>
    <w:rsid w:val="009C58BD"/>
    <w:rsid w:val="009D012A"/>
    <w:rsid w:val="009D0FDE"/>
    <w:rsid w:val="009D736A"/>
    <w:rsid w:val="009E290D"/>
    <w:rsid w:val="009E7E5B"/>
    <w:rsid w:val="00A07875"/>
    <w:rsid w:val="00A111AB"/>
    <w:rsid w:val="00A116E6"/>
    <w:rsid w:val="00A13D0A"/>
    <w:rsid w:val="00A364CA"/>
    <w:rsid w:val="00A36EAE"/>
    <w:rsid w:val="00A40F6F"/>
    <w:rsid w:val="00A505D4"/>
    <w:rsid w:val="00A56808"/>
    <w:rsid w:val="00A62533"/>
    <w:rsid w:val="00A653BE"/>
    <w:rsid w:val="00A66D05"/>
    <w:rsid w:val="00A67404"/>
    <w:rsid w:val="00A71379"/>
    <w:rsid w:val="00A73777"/>
    <w:rsid w:val="00A76A97"/>
    <w:rsid w:val="00A8115A"/>
    <w:rsid w:val="00A91C3D"/>
    <w:rsid w:val="00AA19C6"/>
    <w:rsid w:val="00AA7C20"/>
    <w:rsid w:val="00AB05F2"/>
    <w:rsid w:val="00AC6441"/>
    <w:rsid w:val="00AE3A59"/>
    <w:rsid w:val="00AF0F4B"/>
    <w:rsid w:val="00B24C69"/>
    <w:rsid w:val="00B36859"/>
    <w:rsid w:val="00B53235"/>
    <w:rsid w:val="00B71337"/>
    <w:rsid w:val="00B7526A"/>
    <w:rsid w:val="00B82C2A"/>
    <w:rsid w:val="00B94FA3"/>
    <w:rsid w:val="00B957D5"/>
    <w:rsid w:val="00B95EA9"/>
    <w:rsid w:val="00BA1274"/>
    <w:rsid w:val="00BA411C"/>
    <w:rsid w:val="00BA4360"/>
    <w:rsid w:val="00BC15A5"/>
    <w:rsid w:val="00BC1FCD"/>
    <w:rsid w:val="00BC53E7"/>
    <w:rsid w:val="00BC6837"/>
    <w:rsid w:val="00BD615B"/>
    <w:rsid w:val="00BE2A20"/>
    <w:rsid w:val="00BE6F9B"/>
    <w:rsid w:val="00BE732F"/>
    <w:rsid w:val="00C07F8F"/>
    <w:rsid w:val="00C1697A"/>
    <w:rsid w:val="00C23777"/>
    <w:rsid w:val="00C46990"/>
    <w:rsid w:val="00C46C62"/>
    <w:rsid w:val="00C54DBF"/>
    <w:rsid w:val="00C75C27"/>
    <w:rsid w:val="00C84A6D"/>
    <w:rsid w:val="00C934C4"/>
    <w:rsid w:val="00C95992"/>
    <w:rsid w:val="00CA34F6"/>
    <w:rsid w:val="00CA435E"/>
    <w:rsid w:val="00CA61A0"/>
    <w:rsid w:val="00CA620D"/>
    <w:rsid w:val="00CA686D"/>
    <w:rsid w:val="00CB16DA"/>
    <w:rsid w:val="00CB5D83"/>
    <w:rsid w:val="00CC4107"/>
    <w:rsid w:val="00CD49F6"/>
    <w:rsid w:val="00D27DB7"/>
    <w:rsid w:val="00D357E2"/>
    <w:rsid w:val="00D44EB0"/>
    <w:rsid w:val="00D54BF7"/>
    <w:rsid w:val="00D60135"/>
    <w:rsid w:val="00D71E36"/>
    <w:rsid w:val="00D75E23"/>
    <w:rsid w:val="00D83BC2"/>
    <w:rsid w:val="00D87F1C"/>
    <w:rsid w:val="00D96187"/>
    <w:rsid w:val="00DA1AE2"/>
    <w:rsid w:val="00DA22AD"/>
    <w:rsid w:val="00DA3E4A"/>
    <w:rsid w:val="00DB1A10"/>
    <w:rsid w:val="00DB7903"/>
    <w:rsid w:val="00DC1595"/>
    <w:rsid w:val="00DC1BED"/>
    <w:rsid w:val="00DE0807"/>
    <w:rsid w:val="00DE27BF"/>
    <w:rsid w:val="00DE4DAE"/>
    <w:rsid w:val="00DE6DE6"/>
    <w:rsid w:val="00DF37F1"/>
    <w:rsid w:val="00DF7E83"/>
    <w:rsid w:val="00E123E6"/>
    <w:rsid w:val="00E1404D"/>
    <w:rsid w:val="00E1458A"/>
    <w:rsid w:val="00E435D9"/>
    <w:rsid w:val="00E44F42"/>
    <w:rsid w:val="00E53648"/>
    <w:rsid w:val="00E54B3B"/>
    <w:rsid w:val="00E55AD8"/>
    <w:rsid w:val="00E666B8"/>
    <w:rsid w:val="00E756CD"/>
    <w:rsid w:val="00E86C0A"/>
    <w:rsid w:val="00E8725F"/>
    <w:rsid w:val="00E91874"/>
    <w:rsid w:val="00E93CBE"/>
    <w:rsid w:val="00E94052"/>
    <w:rsid w:val="00EA7010"/>
    <w:rsid w:val="00EB7698"/>
    <w:rsid w:val="00EC7703"/>
    <w:rsid w:val="00ED2F3C"/>
    <w:rsid w:val="00ED57DB"/>
    <w:rsid w:val="00ED5E87"/>
    <w:rsid w:val="00EE25D7"/>
    <w:rsid w:val="00EE414A"/>
    <w:rsid w:val="00EE483E"/>
    <w:rsid w:val="00EF48EC"/>
    <w:rsid w:val="00F0320C"/>
    <w:rsid w:val="00F04096"/>
    <w:rsid w:val="00F11FB2"/>
    <w:rsid w:val="00F235A8"/>
    <w:rsid w:val="00F2389A"/>
    <w:rsid w:val="00F31FB4"/>
    <w:rsid w:val="00F37D44"/>
    <w:rsid w:val="00F80163"/>
    <w:rsid w:val="00F81596"/>
    <w:rsid w:val="00F9086B"/>
    <w:rsid w:val="00F91637"/>
    <w:rsid w:val="00F93234"/>
    <w:rsid w:val="00FA3008"/>
    <w:rsid w:val="00FB054C"/>
    <w:rsid w:val="00FB082A"/>
    <w:rsid w:val="00FB15E3"/>
    <w:rsid w:val="00FB3C3D"/>
    <w:rsid w:val="00FB5C6C"/>
    <w:rsid w:val="00FB7803"/>
    <w:rsid w:val="00FC7DD1"/>
    <w:rsid w:val="00FC7FEA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99F5"/>
  <w15:docId w15:val="{5D0B4631-9B76-419B-9F58-2E1882E2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34F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5081D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45081D"/>
    <w:rPr>
      <w:rFonts w:ascii="Arial" w:eastAsia="Times New Roman" w:hAnsi="Arial" w:cs="Times New Roman"/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450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6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1F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4FE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ritycentre.org/sites/default/files/helsinski-zavrsni-akt.pdf" TargetMode="External"/><Relationship Id="rId13" Type="http://schemas.openxmlformats.org/officeDocument/2006/relationships/hyperlink" Target="http://www.nato.int/cps/en/natohq/topics_51105.htm" TargetMode="External"/><Relationship Id="rId18" Type="http://schemas.openxmlformats.org/officeDocument/2006/relationships/hyperlink" Target="http://www.infocentarmne.net/IC/home/" TargetMode="External"/><Relationship Id="rId26" Type="http://schemas.openxmlformats.org/officeDocument/2006/relationships/hyperlink" Target="http://www.cfr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oreignpolicy.com/" TargetMode="External"/><Relationship Id="rId7" Type="http://schemas.openxmlformats.org/officeDocument/2006/relationships/hyperlink" Target="file:///C:/Users/PC/Downloads/Povelja%20UN-a.pdf" TargetMode="External"/><Relationship Id="rId12" Type="http://schemas.openxmlformats.org/officeDocument/2006/relationships/hyperlink" Target="http://www.nato.int/" TargetMode="External"/><Relationship Id="rId17" Type="http://schemas.openxmlformats.org/officeDocument/2006/relationships/hyperlink" Target="http://www.mvpei.gov.me/en/sections/NATO/Relations-between-Montenegro-and-NATO/" TargetMode="External"/><Relationship Id="rId25" Type="http://schemas.openxmlformats.org/officeDocument/2006/relationships/hyperlink" Target="http://www.chathamhous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te.gov/p/eur/rt/nato/" TargetMode="External"/><Relationship Id="rId20" Type="http://schemas.openxmlformats.org/officeDocument/2006/relationships/hyperlink" Target="http://www.googlescholar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cudl.colorado.edu/wwi/pdf/i73728238.pdf" TargetMode="External"/><Relationship Id="rId11" Type="http://schemas.openxmlformats.org/officeDocument/2006/relationships/hyperlink" Target="http://www.un.org/en/" TargetMode="External"/><Relationship Id="rId24" Type="http://schemas.openxmlformats.org/officeDocument/2006/relationships/hyperlink" Target="http://www.spiegel.de/international/" TargetMode="External"/><Relationship Id="rId5" Type="http://schemas.openxmlformats.org/officeDocument/2006/relationships/hyperlink" Target="mailto:nstankov42@gmail.com" TargetMode="External"/><Relationship Id="rId15" Type="http://schemas.openxmlformats.org/officeDocument/2006/relationships/hyperlink" Target="http://europa.eu/pol/cfsp/index_hr.htm" TargetMode="External"/><Relationship Id="rId23" Type="http://schemas.openxmlformats.org/officeDocument/2006/relationships/hyperlink" Target="http://www.economist.com/" TargetMode="External"/><Relationship Id="rId28" Type="http://schemas.openxmlformats.org/officeDocument/2006/relationships/hyperlink" Target="http://www.iss.europa.eu/" TargetMode="External"/><Relationship Id="rId10" Type="http://schemas.openxmlformats.org/officeDocument/2006/relationships/hyperlink" Target="http://www.cvce.eu/obj/franco_british_st_malo_declaration_4_december_1998-en-f3cd16fb-fc37-4d52-936f-c8e9bc80f24f.html" TargetMode="External"/><Relationship Id="rId19" Type="http://schemas.openxmlformats.org/officeDocument/2006/relationships/hyperlink" Target="http://cedem.me/sr/programi/istraivanja-javnog-mnjenja/politiko-javno-mnjenj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u7WvaOwknM&amp;list=PLLM4YcyIwbKPGZkLBMN93itzEkNBDqa8C" TargetMode="External"/><Relationship Id="rId14" Type="http://schemas.openxmlformats.org/officeDocument/2006/relationships/hyperlink" Target="http://www.nato-russia-council.info/en/about/" TargetMode="External"/><Relationship Id="rId22" Type="http://schemas.openxmlformats.org/officeDocument/2006/relationships/hyperlink" Target="http://www.foreignaffairs.com/" TargetMode="External"/><Relationship Id="rId27" Type="http://schemas.openxmlformats.org/officeDocument/2006/relationships/hyperlink" Target="http://www.rand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 Stankov</cp:lastModifiedBy>
  <cp:revision>373</cp:revision>
  <dcterms:created xsi:type="dcterms:W3CDTF">2014-09-01T18:49:00Z</dcterms:created>
  <dcterms:modified xsi:type="dcterms:W3CDTF">2023-09-27T09:22:00Z</dcterms:modified>
</cp:coreProperties>
</file>