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22"/>
        <w:gridCol w:w="390"/>
        <w:gridCol w:w="1130"/>
        <w:gridCol w:w="598"/>
        <w:gridCol w:w="170"/>
        <w:gridCol w:w="562"/>
        <w:gridCol w:w="1337"/>
        <w:gridCol w:w="183"/>
        <w:gridCol w:w="1710"/>
        <w:gridCol w:w="245"/>
        <w:gridCol w:w="1663"/>
      </w:tblGrid>
      <w:tr w:rsidR="00AC7E4C" w:rsidRPr="00D541C1" w:rsidTr="008A671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Naziv predmeta: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Javna diplomatija</w:t>
            </w:r>
          </w:p>
        </w:tc>
      </w:tr>
      <w:tr w:rsidR="00AC7E4C" w:rsidRPr="00D541C1" w:rsidTr="008A6719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AC7E4C" w:rsidRPr="00D541C1" w:rsidTr="008A6719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AC7E4C" w:rsidRPr="00D541C1" w:rsidTr="008A6719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7E4C" w:rsidRDefault="00AC7E4C" w:rsidP="008A671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4D2EF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organizuje: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  <w:lang w:val="sr-Latn-CS"/>
              </w:rPr>
              <w:t>Fakultet politi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čkih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nauka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Osnovne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akademske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studije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studijski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program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Politikologija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Međunarodni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odnosi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modul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Međunarodna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politika</w:t>
            </w:r>
            <w:proofErr w:type="spellEnd"/>
          </w:p>
          <w:p w:rsidR="00AC7E4C" w:rsidRPr="007B08CC" w:rsidRDefault="00A1795E" w:rsidP="008A6719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Studije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traju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godine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i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nose 180 ECTS.</w:t>
            </w:r>
          </w:p>
        </w:tc>
      </w:tr>
      <w:tr w:rsidR="00AC7E4C" w:rsidRPr="00D541C1" w:rsidTr="008A6719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 xml:space="preserve">Uslovljenost drugim predmetima: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Nema uslova za prijavu i slušanje ispita.</w:t>
            </w:r>
          </w:p>
        </w:tc>
      </w:tr>
      <w:tr w:rsidR="00AC7E4C" w:rsidRPr="00D541C1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Ciljevi izučavanja predmeta: </w:t>
            </w:r>
          </w:p>
          <w:p w:rsidR="00AC7E4C" w:rsidRPr="005167E4" w:rsidRDefault="00AC7E4C" w:rsidP="008A671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Sa porastom interesovanja javnosti za diplomatiju, porastao je značaj koji javna diplomatija ima u svijetu i u bilateralnim i multilateralnim odnosima između država. S tim u vezi, cilj predmeta je da upozna studente sa osnovnim metodama i načinima vođenja javne diplomatije i osposobi ih za njihovu aktivnu primjenu u praksi, kao i da razumiju njenu sve veću prisutnost i značaj za diplomatiju malih država. </w:t>
            </w:r>
          </w:p>
        </w:tc>
      </w:tr>
      <w:tr w:rsidR="00AC7E4C" w:rsidRPr="00D541C1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C7E4C" w:rsidRPr="00016E95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Ishodi učenja:</w:t>
            </w:r>
          </w:p>
          <w:p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Nakon uspješno položenog predmeta student će biti u mogućnosti da:</w:t>
            </w:r>
          </w:p>
          <w:p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Objasni pojam javne diplomatije i njene osnovne karakteristike;</w:t>
            </w:r>
          </w:p>
          <w:p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Poznaje zadatke i metode javne diplomatije i primjenjuje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ih u praksi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Analizira različite pristupe javnoj diplomatiji i 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nstrumente koje oni koriste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Planira strategije za izgradnju </w:t>
            </w:r>
            <w:r w:rsidRPr="00426408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imidža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države, zasnovane na pozitivnim primjerima;</w:t>
            </w:r>
          </w:p>
          <w:p w:rsidR="00AC7E4C" w:rsidRPr="00426408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Procijenjuje uticaj javne diplomatije na javnost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, kao i značaj medija u javnoj diplomatiji</w:t>
            </w:r>
          </w:p>
        </w:tc>
      </w:tr>
      <w:tr w:rsidR="00AC7E4C" w:rsidRPr="00D541C1" w:rsidTr="008A6719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C7E4C" w:rsidRPr="00765AB1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Prof. dr Saša Knežević, Todor Lakić</w:t>
            </w:r>
          </w:p>
        </w:tc>
      </w:tr>
      <w:tr w:rsidR="00AC7E4C" w:rsidRPr="00D541C1" w:rsidTr="008A6719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765AB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v-SE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  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Predavanja, vježbe, kolokvijumi, </w:t>
            </w:r>
            <w:r w:rsidR="00765AB1">
              <w:rPr>
                <w:rFonts w:ascii="Arial Narrow" w:hAnsi="Arial Narrow" w:cs="Arial"/>
                <w:color w:val="auto"/>
                <w:szCs w:val="20"/>
                <w:lang w:val="sl-SI"/>
              </w:rPr>
              <w:t>seminarski radovi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>, konsultacije</w:t>
            </w:r>
          </w:p>
        </w:tc>
      </w:tr>
      <w:tr w:rsidR="00AC7E4C" w:rsidRPr="00D541C1" w:rsidTr="008A6719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Heading3"/>
              <w:jc w:val="left"/>
              <w:rPr>
                <w:rFonts w:ascii="Arial Narrow" w:hAnsi="Arial Narrow" w:cs="Arial"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Sadržaj predmeta: 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108" w:right="-91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</w:p>
        </w:tc>
      </w:tr>
      <w:tr w:rsidR="00AC7E4C" w:rsidRPr="00D541C1" w:rsidTr="008A6719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Uvodno predavanje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; pojam javne diplomatije, </w:t>
            </w:r>
            <w:r w:rsidR="00A02021" w:rsidRPr="00A02021">
              <w:rPr>
                <w:rFonts w:ascii="Arial Narrow" w:hAnsi="Arial Narrow"/>
                <w:i/>
                <w:color w:val="auto"/>
                <w:szCs w:val="20"/>
              </w:rPr>
              <w:t>soft power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 u međunarodnim odnosima i diplomatiji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Definisanje javne diplomatije – klasična i savremena diplomatija, nove dimenzije diplomatije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III nedjelja</w:t>
            </w:r>
            <w:r w:rsidRPr="00D541C1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Koncepti i metodi u javnoj diplomatiji 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Područja javne diplomatije – ekonomija, turizam, sport 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Područja javne diplomatije – kultura, obrazovanje, nauka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izgradnji bilateralnih odnosa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6A6EA3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Izgradnja nacionalnog brenda uz pomoć javne diplomatije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Ograničenja javne diplomatije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informaciono doba; Javna diplomatija i mediji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EB7EE7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Kolokvijum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međunarodnim organizacijama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Popravni</w:t>
            </w:r>
            <w:r w:rsidR="00AC7E4C" w:rsidRPr="00573C3C">
              <w:rPr>
                <w:rFonts w:ascii="Arial Narrow" w:hAnsi="Arial Narrow"/>
                <w:b/>
                <w:color w:val="auto"/>
                <w:szCs w:val="20"/>
              </w:rPr>
              <w:t xml:space="preserve"> kolokvijum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postmoderno doba i mjerenje njenog uticaja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institucionalni razvoj, prioriteti u diplomatiji CG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izazovi i buduće djelovanje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573C3C" w:rsidRDefault="00AC7E4C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 w:rsidRPr="00573C3C">
              <w:rPr>
                <w:rFonts w:ascii="Arial Narrow" w:hAnsi="Arial Narrow"/>
                <w:b/>
                <w:color w:val="auto"/>
                <w:szCs w:val="20"/>
              </w:rPr>
              <w:t>Završni ispit</w:t>
            </w: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rPr>
                <w:rFonts w:ascii="Arial Narrow" w:hAnsi="Arial Narrow"/>
                <w:i/>
                <w:iCs/>
                <w:color w:val="auto"/>
                <w:szCs w:val="20"/>
              </w:rPr>
            </w:pPr>
          </w:p>
        </w:tc>
      </w:tr>
      <w:tr w:rsidR="00AC7E4C" w:rsidRPr="00D541C1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XVIII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C7E4C" w:rsidRPr="00573C3C" w:rsidRDefault="00AC7E4C" w:rsidP="008A6719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</w:pPr>
            <w:r w:rsidRPr="00573C3C"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  <w:t>Popravni ispit</w:t>
            </w:r>
          </w:p>
        </w:tc>
      </w:tr>
      <w:tr w:rsidR="00AC7E4C" w:rsidRPr="00D541C1" w:rsidTr="008A6719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4C" w:rsidRPr="00D541C1" w:rsidRDefault="00AC7E4C" w:rsidP="008A6719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AC7E4C" w:rsidRPr="00D541C1" w:rsidTr="008A6719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E4C" w:rsidRPr="00740BB4" w:rsidRDefault="00AC7E4C" w:rsidP="008A6719">
            <w:pPr>
              <w:pStyle w:val="BodyText3"/>
              <w:jc w:val="center"/>
              <w:rPr>
                <w:rFonts w:ascii="Arial Narrow" w:hAnsi="Arial Narrow" w:cs="Arial"/>
                <w:color w:val="auto"/>
                <w:szCs w:val="20"/>
                <w:lang w:val="en-US"/>
              </w:rPr>
            </w:pPr>
          </w:p>
          <w:p w:rsidR="00AC7E4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proofErr w:type="spellStart"/>
            <w:r w:rsidRPr="00740BB4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Nedjeljno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:</w:t>
            </w:r>
          </w:p>
          <w:p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4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kredita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x 40/30 = 5 sati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i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20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minuta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</w:p>
          <w:p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Struktura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:</w:t>
            </w:r>
          </w:p>
          <w:p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2 sati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predavanja</w:t>
            </w:r>
            <w:proofErr w:type="spellEnd"/>
          </w:p>
          <w:p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1 sati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vježbi</w:t>
            </w:r>
            <w:proofErr w:type="spellEnd"/>
          </w:p>
          <w:p w:rsidR="00AC7E4C" w:rsidRPr="00573C3C" w:rsidRDefault="00AC7E4C" w:rsidP="008A6719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</w:pPr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2 sati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i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20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minuta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individua</w:t>
            </w:r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lnog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rada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studenta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priprema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za</w:t>
            </w:r>
            <w:proofErr w:type="spellEnd"/>
            <w:r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vježbe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za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kolokvijume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izrada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domaćih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zadataka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)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uključujući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i</w:t>
            </w:r>
            <w:proofErr w:type="spellEnd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73C3C">
              <w:rPr>
                <w:rFonts w:ascii="Arial Narrow" w:hAnsi="Arial Narrow" w:cs="Arial"/>
                <w:b/>
                <w:color w:val="auto"/>
                <w:szCs w:val="20"/>
                <w:lang w:val="en-US"/>
              </w:rPr>
              <w:t>konsultacije</w:t>
            </w:r>
            <w:proofErr w:type="spellEnd"/>
          </w:p>
          <w:p w:rsidR="00AC7E4C" w:rsidRPr="004D2EF1" w:rsidRDefault="00AC7E4C" w:rsidP="008A6719">
            <w:pPr>
              <w:pStyle w:val="BodyText3"/>
              <w:jc w:val="both"/>
              <w:rPr>
                <w:rFonts w:ascii="Arial Narrow" w:hAnsi="Arial Narrow" w:cs="Arial"/>
                <w:color w:val="auto"/>
                <w:szCs w:val="20"/>
                <w:lang w:val="en-US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4C" w:rsidRDefault="00AC7E4C" w:rsidP="008A6719">
            <w:pPr>
              <w:pStyle w:val="BodyText3"/>
              <w:rPr>
                <w:rFonts w:ascii="Arial Narrow" w:hAnsi="Arial Narrow" w:cs="Arial"/>
                <w:color w:val="auto"/>
                <w:szCs w:val="20"/>
              </w:rPr>
            </w:pPr>
          </w:p>
          <w:p w:rsidR="00AC7E4C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740BB4">
              <w:rPr>
                <w:rFonts w:ascii="Arial Narrow" w:hAnsi="Arial Narrow" w:cs="Arial"/>
                <w:b/>
                <w:color w:val="auto"/>
                <w:szCs w:val="20"/>
              </w:rPr>
              <w:t>U semestru</w:t>
            </w:r>
            <w:r>
              <w:rPr>
                <w:rFonts w:ascii="Arial Narrow" w:hAnsi="Arial Narrow" w:cs="Arial"/>
                <w:b/>
                <w:color w:val="auto"/>
                <w:szCs w:val="20"/>
              </w:rPr>
              <w:t>:</w:t>
            </w:r>
          </w:p>
          <w:p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Nastava i završni ispit: (5 sati i 20 minuta) x 16 = 85 sati i 20 minuta </w:t>
            </w:r>
          </w:p>
          <w:p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Neophodna priprema prije početka semestra (administracija, upis, ovjera): 2 x (5 sati i 20 minuta) = 10 sati i 40 minuta</w:t>
            </w:r>
          </w:p>
          <w:p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Ukupno opterećenje za predmet: 4 x 30 = 120 sati </w:t>
            </w:r>
          </w:p>
          <w:p w:rsidR="00AC7E4C" w:rsidRPr="00A45295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Dopunski rad za pripremu ispita u popravnom ispitnom roku, uključujući i polaganje popravnog ispita od 0 - 30 sati. </w:t>
            </w:r>
          </w:p>
          <w:p w:rsidR="00AC7E4C" w:rsidRPr="00740BB4" w:rsidRDefault="00AC7E4C" w:rsidP="008A6719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Struktura opterećenja: 85 sati i 20 minuta (nastava) + 10 sati i 40 minuta (priprema) + 24 sati (dopunski rad)</w:t>
            </w:r>
          </w:p>
        </w:tc>
      </w:tr>
      <w:tr w:rsidR="00AC7E4C" w:rsidRPr="00D541C1" w:rsidTr="008A6719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E4C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Literatura:</w:t>
            </w:r>
          </w:p>
          <w:p w:rsidR="00AC7E4C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Jelisić, Jasna, </w:t>
            </w:r>
            <w:r w:rsidRPr="00A45295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Javna diplomatija, Ka evropskom glasu u globalnom dijalogu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Synopsis, 2012, Sarajevo</w:t>
            </w:r>
          </w:p>
          <w:p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Craig Hayden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Rhetoric of Soft Power: Public Diplomacy in Global Contexts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</w:rPr>
              <w:t>Lexington Books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, 2011</w:t>
            </w:r>
          </w:p>
          <w:p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(urednik),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Practice of Public Diplomacy: Confronting Challenges Abroad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2011</w:t>
            </w:r>
          </w:p>
          <w:p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New Public Diplomacy: Soft Power in International Relations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2005</w:t>
            </w:r>
          </w:p>
          <w:p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Charles, Jr. Wolf Rand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, Public Diplomacy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: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 How to Think about and Improve It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2004</w:t>
            </w:r>
          </w:p>
          <w:p w:rsidR="0077634D" w:rsidRDefault="0077634D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Front Line Public Diplomacy: How US Embassies Communicate with Foreign Publics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2014</w:t>
            </w:r>
          </w:p>
          <w:p w:rsidR="00AC7E4C" w:rsidRPr="0077634D" w:rsidRDefault="0077634D" w:rsidP="0077634D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Mai’a K. Davis Cross, 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(urednici),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European Public Diplomacy: Soft Power at Work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2013</w:t>
            </w:r>
          </w:p>
        </w:tc>
      </w:tr>
      <w:tr w:rsidR="00AC7E4C" w:rsidRPr="00D541C1" w:rsidTr="008A6719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D541C1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  <w:p w:rsidR="00AC7E4C" w:rsidRDefault="00EB7EE7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Kolokvijum – 40 b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odova</w:t>
            </w:r>
          </w:p>
          <w:p w:rsidR="00AC7E4C" w:rsidRDefault="00EB7EE7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Seminarski rad</w:t>
            </w:r>
            <w:r w:rsidR="00AC7E4C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– 10 poena;</w:t>
            </w:r>
          </w:p>
          <w:p w:rsidR="00AC7E4C" w:rsidRPr="00733C83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Završni ispit (usmeni) – 50 poena</w:t>
            </w:r>
          </w:p>
        </w:tc>
      </w:tr>
      <w:tr w:rsidR="00AC7E4C" w:rsidRPr="00D541C1" w:rsidTr="008A6719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AC7E4C" w:rsidRPr="00D541C1" w:rsidTr="008A6719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51 - 60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71 –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91 - 100</w:t>
            </w:r>
          </w:p>
        </w:tc>
      </w:tr>
      <w:tr w:rsidR="00AC7E4C" w:rsidRPr="00D541C1" w:rsidTr="008A6719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Posebna napomena za predmet: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AC7E4C" w:rsidRPr="00D541C1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="00765AB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>Prof. dr Saša Knežević</w:t>
            </w:r>
          </w:p>
        </w:tc>
      </w:tr>
      <w:tr w:rsidR="00AC7E4C" w:rsidRPr="00D541C1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E4C" w:rsidRPr="00D541C1" w:rsidRDefault="00AC7E4C" w:rsidP="008A6719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nema</w:t>
            </w:r>
          </w:p>
        </w:tc>
      </w:tr>
    </w:tbl>
    <w:p w:rsidR="006D0C23" w:rsidRDefault="006D0C23"/>
    <w:sectPr w:rsidR="006D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150"/>
    <w:multiLevelType w:val="hybridMultilevel"/>
    <w:tmpl w:val="5B6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4C"/>
    <w:rsid w:val="006D0C23"/>
    <w:rsid w:val="00765AB1"/>
    <w:rsid w:val="0077634D"/>
    <w:rsid w:val="007B08CC"/>
    <w:rsid w:val="00A02021"/>
    <w:rsid w:val="00A1795E"/>
    <w:rsid w:val="00AC7E4C"/>
    <w:rsid w:val="00E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0B8E-7D3A-46E5-8FC6-F898149C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C7E4C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E4C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AC7E4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AC7E4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AC7E4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AC7E4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7E4C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7</cp:revision>
  <dcterms:created xsi:type="dcterms:W3CDTF">2016-07-11T17:51:00Z</dcterms:created>
  <dcterms:modified xsi:type="dcterms:W3CDTF">2020-02-06T16:53:00Z</dcterms:modified>
</cp:coreProperties>
</file>