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0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387"/>
        <w:gridCol w:w="365"/>
        <w:gridCol w:w="1037"/>
        <w:gridCol w:w="548"/>
        <w:gridCol w:w="165"/>
        <w:gridCol w:w="513"/>
        <w:gridCol w:w="1239"/>
        <w:gridCol w:w="164"/>
        <w:gridCol w:w="1579"/>
        <w:gridCol w:w="231"/>
        <w:gridCol w:w="1535"/>
      </w:tblGrid>
      <w:tr w:rsidR="006D3942" w:rsidRPr="00E24886" w14:paraId="2C1B0B89" w14:textId="77777777" w:rsidTr="0073720D">
        <w:trPr>
          <w:trHeight w:val="30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AF681" w14:textId="77777777" w:rsidR="006D3942" w:rsidRPr="00E24886" w:rsidRDefault="006D3942" w:rsidP="0073720D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F7792" w14:textId="77777777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  <w:t>Naziv predmeta: Politički sistem Crne Gore</w:t>
            </w:r>
          </w:p>
        </w:tc>
      </w:tr>
      <w:tr w:rsidR="006D3942" w:rsidRPr="00E24886" w14:paraId="5E8DC7DB" w14:textId="77777777" w:rsidTr="0073720D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6450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341F0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5B9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B40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25A43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D3942" w:rsidRPr="00E24886" w14:paraId="27EBA9F7" w14:textId="77777777" w:rsidTr="0073720D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8FECB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6A3E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FA4B8" w14:textId="0E0EF934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II</w:t>
            </w:r>
            <w:r w:rsidR="00A51B7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</w:t>
            </w:r>
            <w:r w:rsidR="00E0450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PMO; V MSN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EE0B1" w14:textId="401CC057" w:rsidR="006D3942" w:rsidRPr="00E04506" w:rsidRDefault="00E04506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4 PMO; 6 MSN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EA278" w14:textId="04BE431A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P</w:t>
            </w: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+</w:t>
            </w:r>
            <w:r w:rsidR="00A51B7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D3942" w:rsidRPr="00E24886" w14:paraId="34D6C762" w14:textId="77777777" w:rsidTr="0073720D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E43071" w14:textId="77777777" w:rsidR="006D3942" w:rsidRDefault="006D3942" w:rsidP="0073720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14:paraId="4B230C02" w14:textId="155308D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Fakultet političkih nauka - 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S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tudijski program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Politikologija – Me</w:t>
            </w:r>
            <w:proofErr w:type="spellStart"/>
            <w:r w:rsidR="00A51B77">
              <w:rPr>
                <w:rFonts w:ascii="Arial Narrow" w:hAnsi="Arial Narrow"/>
                <w:sz w:val="16"/>
                <w:szCs w:val="16"/>
                <w:lang w:val="sr-Latn-ME"/>
              </w:rPr>
              <w:t>đunarodni</w:t>
            </w:r>
            <w:proofErr w:type="spellEnd"/>
            <w:r w:rsidR="00A51B77">
              <w:rPr>
                <w:rFonts w:ascii="Arial Narrow" w:hAnsi="Arial Narrow"/>
                <w:sz w:val="16"/>
                <w:szCs w:val="16"/>
                <w:lang w:val="sr-Latn-ME"/>
              </w:rPr>
              <w:t xml:space="preserve"> odnosi</w:t>
            </w:r>
            <w:r w:rsidR="00F97AA9">
              <w:rPr>
                <w:rFonts w:ascii="Arial Narrow" w:hAnsi="Arial Narrow"/>
                <w:sz w:val="16"/>
                <w:szCs w:val="16"/>
                <w:lang w:val="sr-Latn-ME"/>
              </w:rPr>
              <w:t>: Medijske studije i novinarstvo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za sticanje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diplome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osnovnih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akademskih studija. </w:t>
            </w:r>
          </w:p>
          <w:p w14:paraId="1A9081F8" w14:textId="66D37F86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Studije traju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6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semestara,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180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ECTS kredita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10218ED0" w14:textId="77777777" w:rsidTr="0073720D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EABCE99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</w:rPr>
              <w:t>Nema je</w:t>
            </w:r>
          </w:p>
        </w:tc>
      </w:tr>
      <w:tr w:rsidR="006D3942" w:rsidRPr="00E24886" w14:paraId="616339FD" w14:textId="77777777" w:rsidTr="0073720D">
        <w:trPr>
          <w:trHeight w:val="33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270831F" w14:textId="77777777" w:rsidR="006D3942" w:rsidRPr="00E24886" w:rsidRDefault="006D3942" w:rsidP="0073720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Ciljevi izučavanja predmeta: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  <w:lang w:val="sr-Latn-CS"/>
              </w:rPr>
              <w:t>Detaljno upoznavanje sa istorijom i funkcionisanjem političkog sistema u Crnoj Gori.</w:t>
            </w:r>
          </w:p>
        </w:tc>
      </w:tr>
      <w:tr w:rsidR="006D3942" w:rsidRPr="00E24886" w14:paraId="491DFAA8" w14:textId="77777777" w:rsidTr="0073720D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6B49752" w14:textId="3BF91827" w:rsidR="006D3942" w:rsidRPr="003D3129" w:rsidRDefault="006D3942" w:rsidP="006D3942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hr-HR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prof. dr Srđan </w:t>
            </w: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Darmanović</w:t>
            </w:r>
            <w:proofErr w:type="spellEnd"/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,</w:t>
            </w:r>
            <w:r w:rsidR="00E04506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mr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 w:rsidR="00A51B77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Lakić Todor</w:t>
            </w:r>
          </w:p>
        </w:tc>
      </w:tr>
      <w:tr w:rsidR="006D3942" w:rsidRPr="00E24886" w14:paraId="2DE96A15" w14:textId="77777777" w:rsidTr="0073720D">
        <w:trPr>
          <w:trHeight w:val="14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25DF04" w14:textId="39E86FBE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Metod nastave i savladanja gradiva: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predavanja, vježbe,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testovi, </w:t>
            </w:r>
            <w:r w:rsidR="00A51B77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diskusije</w:t>
            </w:r>
          </w:p>
        </w:tc>
      </w:tr>
      <w:tr w:rsidR="006D3942" w:rsidRPr="00E24886" w14:paraId="40976095" w14:textId="77777777" w:rsidTr="0073720D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761FF" w14:textId="77777777" w:rsidR="006D3942" w:rsidRPr="00E24886" w:rsidRDefault="006D3942" w:rsidP="0073720D">
            <w:pPr>
              <w:pStyle w:val="Heading3"/>
              <w:jc w:val="left"/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D3942" w:rsidRPr="00E24886" w14:paraId="06C7C679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61122B" w14:textId="4DD670A3" w:rsidR="006D3942" w:rsidRPr="00E24886" w:rsidRDefault="006D3942" w:rsidP="00A51B77">
            <w:pPr>
              <w:pStyle w:val="BodyTextIndent2"/>
              <w:ind w:left="-108" w:right="-91"/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02AD86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6D3942" w:rsidRPr="00E24886" w14:paraId="0C66A65D" w14:textId="77777777" w:rsidTr="0073720D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15CCCD" w14:textId="36AC0943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5E9AD5" w14:textId="77777777" w:rsidR="006D3942" w:rsidRPr="00E24886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Priprema</w:t>
            </w:r>
          </w:p>
        </w:tc>
      </w:tr>
      <w:tr w:rsidR="006D3942" w:rsidRPr="00E24886" w14:paraId="10681213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8EE1D" w14:textId="4EC4D1CB" w:rsidR="006D3942" w:rsidRPr="00E24886" w:rsidRDefault="007C40B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3AE71" w14:textId="77777777" w:rsidR="006D3942" w:rsidRPr="000C5457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Uvodno predavanje</w:t>
            </w:r>
          </w:p>
        </w:tc>
      </w:tr>
      <w:tr w:rsidR="006D3942" w:rsidRPr="00E24886" w14:paraId="799389F5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A2166" w14:textId="00EC2656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III nedjelja</w:t>
            </w:r>
            <w:r w:rsidR="007C40B2" w:rsidRPr="00B00B70">
              <w:rPr>
                <w:rFonts w:ascii="Arial Narrow" w:hAnsi="Arial Narrow"/>
                <w:b/>
                <w:color w:val="auto"/>
                <w:szCs w:val="16"/>
              </w:rPr>
              <w:t>.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FE5E6" w14:textId="77777777" w:rsidR="006D3942" w:rsidRPr="000C5457" w:rsidRDefault="007C40B2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 sistem Crne Gor</w:t>
            </w:r>
            <w:r w:rsidR="00B00B70">
              <w:rPr>
                <w:rFonts w:ascii="Arial Narrow" w:hAnsi="Arial Narrow" w:cs="Arial"/>
                <w:color w:val="auto"/>
                <w:sz w:val="16"/>
                <w:szCs w:val="16"/>
              </w:rPr>
              <w:t>e u vrijeme dinastije Petrovića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do knjaza Danila </w:t>
            </w:r>
          </w:p>
        </w:tc>
      </w:tr>
      <w:tr w:rsidR="006D3942" w:rsidRPr="00E24886" w14:paraId="764B33E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0814E" w14:textId="7E87604B" w:rsidR="006D3942" w:rsidRPr="00E24886" w:rsidRDefault="00B00B70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D4634" w14:textId="72492E6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u vrijeme k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n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jaza Danila i knjaza Nikole. Berlinski kongres i sticanje </w:t>
            </w:r>
            <w:proofErr w:type="spellStart"/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međunarodnopravnog</w:t>
            </w:r>
            <w:proofErr w:type="spellEnd"/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subjektiviteta.</w:t>
            </w:r>
          </w:p>
        </w:tc>
      </w:tr>
      <w:tr w:rsidR="006D3942" w:rsidRPr="00BA7221" w14:paraId="12062EBC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13C877" w14:textId="2A862026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E4E15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hr-HR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prema Ustavu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iz 1905.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Ukidanje države Crne Gore – </w:t>
            </w:r>
            <w:proofErr w:type="spellStart"/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Podgorička</w:t>
            </w:r>
            <w:proofErr w:type="spellEnd"/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skupština 1918. godine</w:t>
            </w:r>
          </w:p>
        </w:tc>
      </w:tr>
      <w:tr w:rsidR="006D3942" w:rsidRPr="00E24886" w14:paraId="0BDCAE1E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B9121" w14:textId="768C1D68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B669F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Crna Gora u Kraljevini SHS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/Jugoslaviji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Crna Gora u FNRJ, SFRJ, SRJ i SCG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</w:tr>
      <w:tr w:rsidR="006D3942" w:rsidRPr="00E24886" w14:paraId="0A52D11D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06BE6" w14:textId="7851032F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81679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Tranzicija u  Crnoj Gori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1990 – 2006. i obnova nezavisne države </w:t>
            </w:r>
          </w:p>
        </w:tc>
      </w:tr>
      <w:tr w:rsidR="006D3942" w:rsidRPr="00E24886" w14:paraId="51395E7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CFF02" w14:textId="56F40B33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FAF6B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Država i politički sistem Crne Gore prema Ustavu iz 2007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Ljudska prava i slobode u ustavnom sistemu Crne Gore</w:t>
            </w:r>
          </w:p>
        </w:tc>
      </w:tr>
      <w:tr w:rsidR="006D3942" w:rsidRPr="00610875" w14:paraId="5EDB994C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A80E2" w14:textId="6B5E775F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IX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5F1CAA" w14:textId="5F4D5582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Test </w:t>
            </w:r>
            <w:r w:rsidR="00E04506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26. novembra</w:t>
            </w:r>
          </w:p>
        </w:tc>
      </w:tr>
      <w:tr w:rsidR="006D3942" w:rsidRPr="00610875" w14:paraId="6E80B723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4D5E6" w14:textId="22165B2B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DE9180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Političke partije u Crnoj Gori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610875" w14:paraId="663F02E8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E992C" w14:textId="4EB44A93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716B5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Izbori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 izborni sistem u Crnoj Gori</w:t>
            </w:r>
          </w:p>
        </w:tc>
      </w:tr>
      <w:tr w:rsidR="006D3942" w:rsidRPr="00E24886" w14:paraId="07AEF3F9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F6084" w14:textId="759DCDF4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66073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Parlamentarizam, njegove instituci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je i njihovi međusobni odnosi: Skupština Crne Gore</w:t>
            </w:r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</w:tr>
      <w:tr w:rsidR="006D3942" w:rsidRPr="00E24886" w14:paraId="3D26933A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242EA" w14:textId="41F300B4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DF255" w14:textId="77777777" w:rsidR="006D3942" w:rsidRPr="00610875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Parlamentarizam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njegove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institucije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njihovi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međusobni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odnosi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: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Vlada</w:t>
            </w:r>
            <w:proofErr w:type="spellEnd"/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p</w:t>
            </w:r>
            <w:r w:rsidR="006D3942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redsjednik</w:t>
            </w:r>
            <w:proofErr w:type="spellEnd"/>
            <w:r w:rsidR="006D3942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D3942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Crne</w:t>
            </w:r>
            <w:proofErr w:type="spellEnd"/>
            <w:r w:rsidR="006D3942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Gore</w:t>
            </w:r>
          </w:p>
        </w:tc>
      </w:tr>
      <w:tr w:rsidR="006D3942" w:rsidRPr="00E24886" w14:paraId="02C6E148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AE493" w14:textId="226EC4FF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4FA056" w14:textId="35F1D6C6" w:rsidR="006D3942" w:rsidRPr="006D3942" w:rsidRDefault="006D3942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</w:pPr>
            <w:r w:rsidRPr="006D3942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Popravni test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 xml:space="preserve"> </w:t>
            </w:r>
            <w:r w:rsidR="00E04506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31. decembra</w:t>
            </w:r>
          </w:p>
        </w:tc>
      </w:tr>
      <w:tr w:rsidR="006D3942" w:rsidRPr="00E24886" w14:paraId="2DC8975F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D3910" w14:textId="0E8828AE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2CD3E" w14:textId="77777777" w:rsidR="006D3942" w:rsidRPr="00610875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Sudska vlast i ustavno sudstvo</w:t>
            </w:r>
            <w:r w:rsidRPr="000C5457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E24886" w14:paraId="7DD6E631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3D4CF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7ACA4" w14:textId="10450B7B" w:rsidR="006D3942" w:rsidRPr="00283631" w:rsidRDefault="006D3942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  <w:r w:rsidR="00E04506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10. januar</w:t>
            </w:r>
          </w:p>
        </w:tc>
      </w:tr>
      <w:tr w:rsidR="006D3942" w:rsidRPr="00E24886" w14:paraId="0B1DC9D8" w14:textId="77777777" w:rsidTr="00A51B77">
        <w:trPr>
          <w:cantSplit/>
          <w:trHeight w:val="68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9E51B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E707A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i/>
                <w:iCs/>
                <w:color w:val="auto"/>
                <w:sz w:val="16"/>
                <w:szCs w:val="16"/>
              </w:rPr>
            </w:pPr>
          </w:p>
        </w:tc>
      </w:tr>
      <w:tr w:rsidR="006D3942" w:rsidRPr="00E24886" w14:paraId="7632546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D52915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95B44A" w14:textId="4BAE7589" w:rsidR="006D3942" w:rsidRPr="00283631" w:rsidRDefault="006D3942" w:rsidP="0073720D">
            <w:pPr>
              <w:pStyle w:val="BodyText3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  <w:r w:rsidR="00E04506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21. januar</w:t>
            </w:r>
          </w:p>
        </w:tc>
      </w:tr>
      <w:tr w:rsidR="006D3942" w:rsidRPr="00E24886" w14:paraId="65D2FFB7" w14:textId="77777777" w:rsidTr="0073720D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8F66" w14:textId="77777777" w:rsidR="006D3942" w:rsidRPr="00E24886" w:rsidRDefault="006D3942" w:rsidP="0073720D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6D3942" w:rsidRPr="00E24886" w14:paraId="215F965B" w14:textId="77777777" w:rsidTr="0073720D">
        <w:trPr>
          <w:cantSplit/>
          <w:trHeight w:val="720"/>
        </w:trPr>
        <w:tc>
          <w:tcPr>
            <w:tcW w:w="1882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A8EA24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Nedjeljno</w:t>
            </w:r>
          </w:p>
          <w:p w14:paraId="6D2B5F09" w14:textId="5F82D85A" w:rsidR="006D3942" w:rsidRPr="00E24886" w:rsidRDefault="00A51B77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5</w:t>
            </w:r>
            <w:r w:rsidR="006D3942"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 kredita x 40/ 30 = </w:t>
            </w:r>
            <w:r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6 </w:t>
            </w:r>
            <w:r w:rsidR="006D3942"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sati</w:t>
            </w:r>
          </w:p>
          <w:p w14:paraId="33E9D50E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14:paraId="2C9F4C6F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2 sata predavanja</w:t>
            </w:r>
          </w:p>
          <w:p w14:paraId="764409B3" w14:textId="1D1A1EE4" w:rsidR="006D3942" w:rsidRPr="00E24886" w:rsidRDefault="00A51B77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2</w:t>
            </w:r>
            <w:r w:rsidR="006D3942"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sat vježbi</w:t>
            </w:r>
          </w:p>
          <w:p w14:paraId="2B350DE4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5 sati samostalnog rada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B307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U semestru</w:t>
            </w:r>
          </w:p>
          <w:p w14:paraId="3E7AED28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(8 sati) x 16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128 sati</w:t>
            </w:r>
          </w:p>
          <w:p w14:paraId="0CE8FAA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prije početka semestra (administracija, upis, ovjera)  2 x (8 sati)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16 sati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14:paraId="60E50B25" w14:textId="6EF445D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Ukupno opterećenje za  predmet  </w:t>
            </w:r>
            <w:r w:rsidR="00A51B77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5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x30  = 1</w:t>
            </w:r>
            <w:r w:rsidR="00A51B77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50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 xml:space="preserve"> sati</w:t>
            </w:r>
          </w:p>
          <w:p w14:paraId="4DE97DE8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Dopunski rad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za pripremu ispita u popravnom ispitnom roku, uključujući i polaganje popravnog ispita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od 0 do 48 sati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(preostalo vrijeme od prve dvije stavke do ukupnog opterećenja za predmet 240 sati)</w:t>
            </w:r>
          </w:p>
          <w:p w14:paraId="1190039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</w:t>
            </w:r>
          </w:p>
          <w:p w14:paraId="5CE6E803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128sati (Nastava)+16 sati.(Priprema)+36 sati (Dopunski rad)</w:t>
            </w:r>
          </w:p>
        </w:tc>
      </w:tr>
      <w:tr w:rsidR="006D3942" w:rsidRPr="00E24886" w14:paraId="3F54E5A5" w14:textId="77777777" w:rsidTr="0073720D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7DDAC" w14:textId="77777777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0DA00DAB" w14:textId="77777777" w:rsidR="006D3942" w:rsidRPr="00283631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ME"/>
              </w:rPr>
            </w:pPr>
            <w:proofErr w:type="spellStart"/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Šuković</w:t>
            </w:r>
            <w:proofErr w:type="spellEnd"/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, Mijat,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Skripta za predmet Politički sistem Crne Gore</w:t>
            </w:r>
          </w:p>
          <w:p w14:paraId="6DC60F30" w14:textId="40CD5F8D" w:rsidR="00E04506" w:rsidRPr="00F8148F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283631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Demokratske performanse parlamenata Srbije, Bosne i Hercegovine i Crne Gore,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Beograd, Sarajevo, Podgorica, 2012 (djelovi koji se odnose na Crnu Goru)</w:t>
            </w:r>
          </w:p>
          <w:p w14:paraId="36F8A304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Pavićević, Veselin, </w:t>
            </w:r>
            <w:proofErr w:type="spellStart"/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Darmanović</w:t>
            </w:r>
            <w:proofErr w:type="spellEnd"/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, Srđan, </w:t>
            </w:r>
            <w:proofErr w:type="spellStart"/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Komar</w:t>
            </w:r>
            <w:proofErr w:type="spellEnd"/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, Olivera, Vujović, Zlatko, </w:t>
            </w:r>
            <w:r w:rsidRPr="0045608F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 xml:space="preserve">Izbori i izborno zakonodavstvo u Crnoj Gori od 1990 do 2006 godine,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Centar za monitoring CEMI, Podgorica, 2007, ISBN 978-86-85547-10-2</w:t>
            </w:r>
          </w:p>
          <w:p w14:paraId="7B92948F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sr-Latn-CS"/>
              </w:rPr>
              <w:t>Darmanović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sr-Latn-CS"/>
              </w:rPr>
              <w:t>, Srđan, Crna Gora-nova nezavisna država na Balkanu, u: Referendum u Crnoj Gori 2006, CEMI, Podgorica, 2006.</w:t>
            </w:r>
          </w:p>
          <w:p w14:paraId="415A366C" w14:textId="77777777" w:rsidR="006D3942" w:rsidRPr="0045608F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Ustav Crne Gore od 1992. godine</w:t>
            </w:r>
          </w:p>
          <w:p w14:paraId="3CE6AC78" w14:textId="77777777" w:rsidR="006D3942" w:rsidRPr="0045608F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Ustav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od 2007. godine</w:t>
            </w:r>
          </w:p>
          <w:p w14:paraId="78734C42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Poslovnik Skupštine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</w:p>
          <w:p w14:paraId="7A4189EB" w14:textId="77777777" w:rsidR="006D3942" w:rsidRPr="00283631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Odredbe Berlinskog ugovora iz 1878. koje se odnose na Crnu Goru</w:t>
            </w:r>
          </w:p>
        </w:tc>
      </w:tr>
      <w:tr w:rsidR="006D3942" w:rsidRPr="00E24886" w14:paraId="5CB25026" w14:textId="77777777" w:rsidTr="0073720D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36FACCB9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E24886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</w:t>
            </w:r>
          </w:p>
          <w:p w14:paraId="4E8CB09E" w14:textId="77777777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Test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=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30 poena</w:t>
            </w:r>
          </w:p>
          <w:p w14:paraId="41408900" w14:textId="096D1C6E" w:rsidR="00942951" w:rsidRPr="00653DE5" w:rsidRDefault="00B00B70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Aktivnost na vježbama = </w:t>
            </w:r>
            <w:r w:rsidR="005C1BD9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2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0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14:paraId="63D49B17" w14:textId="0A387AF2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Završni ispit </w:t>
            </w:r>
            <w:r w:rsidR="00B00B70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– 50 poena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6E4EB63E" w14:textId="70E56248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Ispit se polaže sa osvojenim najmanje 5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poena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78E63BE8" w14:textId="77777777" w:rsidTr="0073720D">
        <w:trPr>
          <w:cantSplit/>
          <w:trHeight w:val="255"/>
        </w:trPr>
        <w:tc>
          <w:tcPr>
            <w:tcW w:w="7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9A3BC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B4CA5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83E9E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9703B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5F769F41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C872BA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D3942" w:rsidRPr="00E24886" w14:paraId="78AAA0C7" w14:textId="77777777" w:rsidTr="0073720D">
        <w:trPr>
          <w:cantSplit/>
          <w:trHeight w:val="330"/>
        </w:trPr>
        <w:tc>
          <w:tcPr>
            <w:tcW w:w="761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3953A87" w14:textId="7F46EF81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do 5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EF321A2" w14:textId="50684B88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05E46D3" w14:textId="5A7B3BF4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BCFF9F9" w14:textId="162258FE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79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14:paraId="04B59FD3" w14:textId="672921D7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89</w:t>
            </w:r>
          </w:p>
        </w:tc>
        <w:tc>
          <w:tcPr>
            <w:tcW w:w="101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6C11760" w14:textId="26EC2985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9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D3942" w:rsidRPr="00E24886" w14:paraId="6998D366" w14:textId="77777777" w:rsidTr="0073720D">
        <w:trPr>
          <w:gridBefore w:val="1"/>
          <w:wBefore w:w="539" w:type="pct"/>
          <w:trHeight w:val="156"/>
        </w:trPr>
        <w:tc>
          <w:tcPr>
            <w:tcW w:w="4461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6E981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9F195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Nema</w:t>
            </w:r>
          </w:p>
        </w:tc>
      </w:tr>
    </w:tbl>
    <w:p w14:paraId="26F2F295" w14:textId="77777777" w:rsidR="006D3942" w:rsidRDefault="006D3942" w:rsidP="006D3942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14:paraId="515101A3" w14:textId="77777777" w:rsidR="00B65F16" w:rsidRDefault="00B65F16"/>
    <w:sectPr w:rsidR="00B65F16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42"/>
    <w:rsid w:val="005C1BD9"/>
    <w:rsid w:val="006D3942"/>
    <w:rsid w:val="007C40B2"/>
    <w:rsid w:val="00942951"/>
    <w:rsid w:val="00A51B77"/>
    <w:rsid w:val="00B00B70"/>
    <w:rsid w:val="00B65F16"/>
    <w:rsid w:val="00E04506"/>
    <w:rsid w:val="00F8148F"/>
    <w:rsid w:val="00F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332C"/>
  <w15:chartTrackingRefBased/>
  <w15:docId w15:val="{CE6D506A-D42F-4672-9462-81CA9680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D3942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3942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6D3942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D394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6D39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D3942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D3942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FPN1</cp:lastModifiedBy>
  <cp:revision>6</cp:revision>
  <dcterms:created xsi:type="dcterms:W3CDTF">2017-02-17T11:43:00Z</dcterms:created>
  <dcterms:modified xsi:type="dcterms:W3CDTF">2021-09-25T16:28:00Z</dcterms:modified>
</cp:coreProperties>
</file>