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bCs/>
        </w:rPr>
      </w:pPr>
      <w:r>
        <w:rPr>
          <w:b/>
          <w:bCs/>
        </w:rPr>
      </w:r>
    </w:p>
    <w:p>
      <w:pPr>
        <w:pStyle w:val="Normal"/>
        <w:rPr>
          <w:b/>
          <w:b/>
          <w:bCs/>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Markuze, H., </w:t>
      </w:r>
      <w:r>
        <w:rPr>
          <w:b/>
          <w:bCs/>
          <w:i/>
          <w:iCs/>
        </w:rPr>
        <w:t>Čovjek jedne dimenzije (</w:t>
      </w:r>
      <w:r>
        <w:rPr>
          <w:b/>
          <w:bCs/>
          <w:i w:val="false"/>
          <w:iCs w:val="false"/>
        </w:rPr>
        <w:t>28.04.2020.)</w:t>
      </w:r>
    </w:p>
    <w:p>
      <w:pPr>
        <w:pStyle w:val="Normal"/>
        <w:rPr/>
      </w:pPr>
      <w:r>
        <w:rPr/>
      </w:r>
    </w:p>
    <w:p>
      <w:pPr>
        <w:pStyle w:val="Normal"/>
        <w:rPr/>
      </w:pPr>
      <w:r>
        <w:rPr/>
        <w:t>Pitanja:</w:t>
      </w:r>
    </w:p>
    <w:p>
      <w:pPr>
        <w:pStyle w:val="Normal"/>
        <w:spacing w:lineRule="auto" w:line="360"/>
        <w:rPr/>
      </w:pPr>
      <w:r>
        <w:rPr/>
        <w:t>- Negativno mišljenje</w:t>
      </w:r>
    </w:p>
    <w:p>
      <w:pPr>
        <w:pStyle w:val="Normal"/>
        <w:spacing w:lineRule="auto" w:line="360"/>
        <w:rPr/>
      </w:pPr>
      <w:r>
        <w:rPr/>
        <w:t>- Tehnološka racionalnost i logika dominacije</w:t>
      </w:r>
    </w:p>
    <w:p>
      <w:pPr>
        <w:pStyle w:val="Normal"/>
        <w:spacing w:lineRule="auto" w:line="360"/>
        <w:rPr/>
      </w:pPr>
      <w:r>
        <w:rPr/>
        <w:t>- Novi oblici kontrole</w:t>
      </w:r>
    </w:p>
    <w:p>
      <w:pPr>
        <w:pStyle w:val="Normal"/>
        <w:spacing w:lineRule="auto" w:line="360"/>
        <w:rPr/>
      </w:pPr>
      <w:r>
        <w:rPr/>
      </w:r>
    </w:p>
    <w:p>
      <w:pPr>
        <w:pStyle w:val="Normal"/>
        <w:spacing w:lineRule="auto" w:line="360"/>
        <w:rPr/>
      </w:pPr>
      <w:r>
        <w:rPr/>
        <w:t>Izvodi:</w:t>
      </w:r>
    </w:p>
    <w:p>
      <w:pPr>
        <w:pStyle w:val="Normal"/>
        <w:spacing w:lineRule="auto" w:line="480"/>
        <w:jc w:val="both"/>
        <w:rPr/>
      </w:pPr>
      <w:r>
        <w:rPr>
          <w:rFonts w:eastAsia="Times New Roman" w:cs="Times New Roman"/>
        </w:rPr>
        <w:t>„ ‚…</w:t>
      </w:r>
      <w:r>
        <w:rPr>
          <w:rFonts w:eastAsia="NSimSun" w:cs="Arial"/>
        </w:rPr>
        <w:t xml:space="preserve"> </w:t>
      </w:r>
      <w:r>
        <w:rPr>
          <w:rFonts w:eastAsia="NSimSun" w:cs="Arial"/>
        </w:rPr>
        <w:t xml:space="preserve">ono što jest, ne može biti istinito‘. Za naše dobro priučene uši i oči ova izjava je neozbiljna i smiješna, ili isto tako pretjerana kao i ova druga tvrdnja, koja, čini se, izriče suprotno: ‚što je zbiljsko, to je umno‘. Pa ipak, u tradiciji zapadnjačke misli obje razotkrivaju u provokativno skraćenoj formulaciji ideju uma koja je vodila njenu logiku. Čak štaviše, obje izražavaju isti pojam, naime antagonističku strukturu zbilje i misli koja pokušava razumjeti zbilju. Svijet neposrednog iskustva – svijet u kojem se zatičemo – mora biti shvaćen, transformisan i čak oboren da postane to što on stvarno jest. U jednačenju um=istinito=realnost, što povezuje subjektivni i objektivni svijet u antagonističko jedinstvo, um je rušilačka moć, ‚moć negativnog‘, koji ustanovljuje, kao teoretski i praktični um, istinu za ljude i stvari – tj. uvjete u kojima ljudi i stvari postaju ono što jesu. Izvorna preokupacija zapadnjačke misli je bilo nastojanje da se pokaže kako ta istina teorije i prakse nije subjektivna, već objektivna okolnost. To je i porijeklo njene logike – logike ne u smislu posebne filozofijske discipline, </w:t>
      </w:r>
      <w:r>
        <w:rPr>
          <w:rFonts w:eastAsia="NSimSun" w:cs="Arial"/>
        </w:rPr>
        <w:t>već kao odlika mišljenja primjerenog razumijevanja stvarnog kao umnog.</w:t>
      </w:r>
      <w:r>
        <w:rPr>
          <w:rFonts w:eastAsia="Times New Roman" w:cs="Times New Roman"/>
        </w:rPr>
        <w:t>‟</w:t>
      </w:r>
    </w:p>
    <w:p>
      <w:pPr>
        <w:pStyle w:val="Normal"/>
        <w:spacing w:lineRule="auto" w:line="360"/>
        <w:jc w:val="both"/>
        <w:rPr>
          <w:rFonts w:ascii="Times New Roman" w:hAnsi="Times New Roman" w:eastAsia="NSimSun" w:cs="Arial"/>
        </w:rPr>
      </w:pPr>
      <w:r>
        <w:rPr/>
      </w:r>
    </w:p>
    <w:p>
      <w:pPr>
        <w:pStyle w:val="Normal"/>
        <w:spacing w:lineRule="auto" w:line="480"/>
        <w:jc w:val="both"/>
        <w:rPr/>
      </w:pPr>
      <w:r>
        <w:rPr>
          <w:rFonts w:eastAsia="Times New Roman" w:cs="Times New Roman"/>
        </w:rPr>
        <w:t>„</w:t>
      </w:r>
      <w:r>
        <w:rPr>
          <w:rFonts w:eastAsia="NSimSun" w:cs="Arial"/>
        </w:rPr>
        <w:t xml:space="preserve">Totalni univerzum tehnološke racionalnosti jest posljednja preobrazba ideje uma… Ideja znanosti o univerzalno ovladanoj prirodi projektira prirodu kao beskonačnu materiju u funkciji, puki materijal teorije i prakse. U toj formi je svijet objekta ušao u konstrukciju tehnološkog univerzuma – univerzuma mentalne i fizičke instrumentalnosti, sredstava u samima sebi… U konstrukciji tehnološke stvarnosti nema ničeg takvog kao čisto racionalni znanstveni poredak; proces tehnološkog racionaliteta je politički proces. Jedino u medijumu tehnologije čovjek i priroda postaju funkcionalni objekti organizacije. Univerzalna efikasnost i produktivnost aparata pod koji su subsumirani prikriva posebne interese što organizuju aparat. Drugim riječima, tehnologija postaje značajan nosilac </w:t>
      </w:r>
      <w:r>
        <w:rPr>
          <w:rFonts w:eastAsia="NSimSun" w:cs="Arial"/>
          <w:i/>
          <w:iCs/>
        </w:rPr>
        <w:t xml:space="preserve">postvarenja – </w:t>
      </w:r>
      <w:r>
        <w:rPr>
          <w:rFonts w:eastAsia="NSimSun" w:cs="Arial"/>
          <w:i w:val="false"/>
          <w:iCs w:val="false"/>
        </w:rPr>
        <w:t>postvarenje u njegovoj najzrelijoj i najefikasnijoj formi… Svijet ide k tome da postane materijal totalnog upravljanja koje apsorbira čak upravljače. Tkivo dominacije je postalo tkivo samog uma i ovo društvo je sudbonosno upleteno u njega.</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
    </w:p>
    <w:p>
      <w:pPr>
        <w:pStyle w:val="Normal"/>
        <w:spacing w:lineRule="auto" w:line="480"/>
        <w:jc w:val="both"/>
        <w:rPr/>
      </w:pPr>
      <w:r>
        <w:rPr>
          <w:rFonts w:eastAsia="Times New Roman" w:cs="Times New Roman"/>
          <w:i w:val="false"/>
          <w:iCs w:val="false"/>
        </w:rPr>
        <w:t>„</w:t>
      </w:r>
      <w:r>
        <w:rPr>
          <w:rFonts w:eastAsia="NSimSun" w:cs="Arial"/>
          <w:i w:val="false"/>
          <w:iCs w:val="false"/>
        </w:rPr>
        <w:t>U razvijenoj industrijskoj civilizaciji prevladava ugodna, uhodana, razumna, demokratska nesloboda. To je znamen tehničkog progresa. Zaista, što može biti razumnije nego obuzdavanje individualiteta u mehanizaciji društveno potrebnih, no bolnih izvedbi; konkretizacija individualne inicijative u efektivnije, produktivnije korporacije; reguliranje slobode konkurencije među nejednako opremljenim ekonomskim subjektima; ograničenje prerogativa i nacionalnih suvereniteta koji koče internacionalnu organizaciju sredstava… Neovisnost misli, autonomija i pravo na političku opoziciju lišeni su svoje bazične kritičke funkcije u društvu koje je, čini se, sve sposobnije da zadovolji potrebe pojedinaca posredstvom načina na koje je organizirano… U uslovima porasta životnog standarda nekonformizam sa sistemom izgleda kao društveno nekoristan, tim više što on uključuje osjetne ekonomske i političke reperkusije i prijeti glatkom funkcionisanju cjeline… Aparat nameće svoje ekonomske i političke zahtjeve za odbranom i ekspanzijom u radno vrijeme i slobodno vrijeme, u materijalnu i intelektualnu kulturu. Suvremeno industrijsko društvo tendira totalitarizmu na osnovu organizacije njegove tehnološke baze… Produktivnost i efikasnost tog društva, njegova spo</w:t>
      </w:r>
      <w:r>
        <w:rPr>
          <w:rFonts w:eastAsia="NSimSun" w:cs="Arial"/>
          <w:i w:val="false"/>
          <w:iCs w:val="false"/>
        </w:rPr>
        <w:t>sobnost da uveća i širi udobnost, da preokrene suvišno u potrebu i destrukciju u konstrukciju, razmjer u kome ta civilizacija transformira svijet objekta u produžetak čovjekova duha i tijela – dovodi u pitanje sam pojam alijenacije. Ljudi poznaju sebe u svojim robama; nalaze svoju dušu u automobilima… kuhinjskim aparatima… Tehnološki racionalitet je osvojio i reducirao privatni prostor. Masovna proizvodnja i masovna potrošnja traže cijelog čovjeka, a industrijska psihologija je već odavno prestala biti ograničena na tvornicu… U tom procesu je odsječena unutarnja dimenzija duha u kojoj se može ukorijeniti opozicija status quo-a. Gubitak ove dimenzije, koja je obitavalište moći negativnog mišljenja – kritičke moći uma, jest ideološki komplement materijalnog procesa u kome razvijeno industrijsko društvo utišava i pomiruje opoziciju. Udar progresa obrće um u podređivanje faktima života...</w:t>
      </w:r>
      <w:r>
        <w:rPr>
          <w:rFonts w:eastAsia="Times New Roman" w:cs="Times New Roman"/>
          <w:i w:val="false"/>
          <w:iCs w:val="false"/>
        </w:rPr>
        <w:t>‟</w:t>
      </w:r>
      <w:r>
        <w:rPr>
          <w:rFonts w:eastAsia="NSimSun" w:cs="Arial"/>
          <w:i w:val="false"/>
          <w:iCs w:val="false"/>
        </w:rPr>
        <w:t xml:space="preserve"> </w:t>
      </w:r>
    </w:p>
    <w:p>
      <w:pPr>
        <w:pStyle w:val="Normal"/>
        <w:spacing w:lineRule="auto" w:line="360"/>
        <w:jc w:val="both"/>
        <w:rPr>
          <w:rFonts w:ascii="Times New Roman" w:hAnsi="Times New Roman" w:eastAsia="NSimSun" w:cs="Arial"/>
          <w:i w:val="false"/>
          <w:i w:val="false"/>
          <w:iCs w:val="false"/>
        </w:rPr>
      </w:pPr>
      <w:r>
        <w:rPr/>
      </w:r>
    </w:p>
    <w:p>
      <w:pPr>
        <w:pStyle w:val="Normal"/>
        <w:spacing w:lineRule="auto" w:line="360"/>
        <w:jc w:val="both"/>
        <w:rPr>
          <w:rFonts w:ascii="Times New Roman" w:hAnsi="Times New Roman" w:eastAsia="NSimSun" w:cs="Arial"/>
          <w:i w:val="false"/>
          <w:i w:val="false"/>
          <w:iCs w:val="false"/>
        </w:rPr>
      </w:pPr>
      <w:r>
        <w:rPr/>
      </w:r>
    </w:p>
    <w:p>
      <w:pPr>
        <w:pStyle w:val="Normal"/>
        <w:spacing w:lineRule="auto" w:line="360"/>
        <w:jc w:val="both"/>
        <w:rPr/>
      </w:pPr>
      <w:r>
        <w:rPr>
          <w:rFonts w:eastAsia="NSimSun" w:cs="Arial"/>
          <w:i w:val="false"/>
          <w:iCs w:val="false"/>
        </w:rPr>
        <w:t>Alternativa</w:t>
      </w:r>
    </w:p>
    <w:p>
      <w:pPr>
        <w:pStyle w:val="Normal"/>
        <w:spacing w:lineRule="auto" w:line="360"/>
        <w:jc w:val="both"/>
        <w:rPr>
          <w:b/>
          <w:b/>
          <w:bCs/>
        </w:rPr>
      </w:pPr>
      <w:r>
        <w:rPr>
          <w:rFonts w:eastAsia="NSimSun" w:cs="Arial"/>
          <w:b/>
          <w:bCs/>
          <w:i w:val="false"/>
          <w:iCs w:val="false"/>
        </w:rPr>
        <w:t xml:space="preserve">FUNDAMENTALNA ONTOLOGIJA </w:t>
      </w:r>
      <w:r>
        <w:rPr>
          <w:rFonts w:eastAsia="NSimSun" w:cs="Arial"/>
          <w:b/>
          <w:bCs/>
          <w:i w:val="false"/>
          <w:iCs w:val="false"/>
        </w:rPr>
        <w:t>(28.04.2020.)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ascii="Times New Roman" w:hAnsi="Times New Roman" w:eastAsia="NSimSun" w:cs="Arial"/>
          <w:i/>
          <w:i/>
          <w:iCs/>
        </w:rPr>
      </w:pPr>
      <w:r>
        <w:rPr/>
      </w:r>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-Nužnost, struktura i prvenstvo pitanja o biću</w:t>
      </w:r>
    </w:p>
    <w:p>
      <w:pPr>
        <w:pStyle w:val="Normal"/>
        <w:spacing w:lineRule="auto" w:line="360"/>
        <w:jc w:val="both"/>
        <w:rPr>
          <w:i w:val="false"/>
          <w:i w:val="false"/>
          <w:iCs w:val="false"/>
        </w:rPr>
      </w:pPr>
      <w:r>
        <w:rPr>
          <w:rFonts w:eastAsia="NSimSun" w:cs="Arial"/>
          <w:i w:val="false"/>
          <w:iCs w:val="false"/>
        </w:rPr>
        <w:t>- Fundamentalna analiza tubića</w:t>
      </w:r>
    </w:p>
    <w:p>
      <w:pPr>
        <w:pStyle w:val="Normal"/>
        <w:spacing w:lineRule="auto" w:line="360"/>
        <w:jc w:val="both"/>
        <w:rPr>
          <w:i w:val="false"/>
          <w:i w:val="false"/>
          <w:iCs w:val="false"/>
        </w:rPr>
      </w:pPr>
      <w:r>
        <w:rPr>
          <w:rFonts w:eastAsia="NSimSun" w:cs="Arial"/>
          <w:i w:val="false"/>
          <w:iCs w:val="false"/>
        </w:rPr>
        <w:t>- Tubiće i vremenitost</w:t>
      </w:r>
    </w:p>
    <w:p>
      <w:pPr>
        <w:pStyle w:val="Normal"/>
        <w:spacing w:lineRule="auto" w:line="360"/>
        <w:jc w:val="both"/>
        <w:rPr>
          <w:i w:val="false"/>
          <w:i w:val="false"/>
          <w:iCs w:val="false"/>
        </w:rPr>
      </w:pPr>
      <w:r>
        <w:rPr>
          <w:rFonts w:eastAsia="NSimSun" w:cs="Arial"/>
          <w:i w:val="false"/>
          <w:iCs w:val="false"/>
        </w:rPr>
        <w:t>- Vremenitost i povijesnost</w:t>
      </w:r>
    </w:p>
    <w:p>
      <w:pPr>
        <w:pStyle w:val="Normal"/>
        <w:spacing w:lineRule="auto" w:line="360"/>
        <w:jc w:val="both"/>
        <w:rPr>
          <w:rFonts w:ascii="Times New Roman" w:hAnsi="Times New Roman" w:eastAsia="NSimSun" w:cs="Arial"/>
        </w:rPr>
      </w:pPr>
      <w:r>
        <w:rPr>
          <w:i w:val="false"/>
          <w:iCs w:val="false"/>
        </w:rPr>
      </w:r>
    </w:p>
    <w:p>
      <w:pPr>
        <w:pStyle w:val="Normal"/>
        <w:spacing w:lineRule="auto" w:line="360"/>
        <w:jc w:val="both"/>
        <w:rPr>
          <w:rFonts w:ascii="Times New Roman" w:hAnsi="Times New Roman" w:eastAsia="NSimSun" w:cs="Arial"/>
        </w:rPr>
      </w:pPr>
      <w:r>
        <w:rPr>
          <w:i w:val="false"/>
          <w:iCs w:val="false"/>
        </w:rPr>
      </w:r>
    </w:p>
    <w:p>
      <w:pPr>
        <w:pStyle w:val="Normal"/>
        <w:spacing w:lineRule="auto" w:line="360"/>
        <w:jc w:val="both"/>
        <w:rPr>
          <w:rFonts w:ascii="Times New Roman" w:hAnsi="Times New Roman" w:eastAsia="NSimSun" w:cs="Arial"/>
          <w:i w:val="false"/>
          <w:i w:val="false"/>
          <w:iCs w:val="false"/>
        </w:rPr>
      </w:pPr>
      <w:r>
        <w:rPr/>
      </w:r>
    </w:p>
    <w:p>
      <w:pPr>
        <w:pStyle w:val="Normal"/>
        <w:spacing w:lineRule="auto" w:line="360"/>
        <w:jc w:val="both"/>
        <w:rPr/>
      </w:pPr>
      <w:r>
        <w:rPr>
          <w:rFonts w:eastAsia="NSimSun" w:cs="Arial"/>
          <w:i w:val="false"/>
          <w:iCs w:val="false"/>
        </w:rPr>
        <w:t>Prethodno</w:t>
      </w:r>
    </w:p>
    <w:p>
      <w:pPr>
        <w:pStyle w:val="Normal"/>
        <w:rPr/>
      </w:pPr>
      <w:r>
        <w:rPr/>
      </w:r>
    </w:p>
    <w:p>
      <w:pPr>
        <w:pStyle w:val="Normal"/>
        <w:rPr>
          <w:b/>
          <w:b/>
          <w:bCs/>
        </w:rPr>
      </w:pPr>
      <w:r>
        <w:rPr>
          <w:b/>
          <w:bCs/>
        </w:rPr>
        <w:t>KRITIČKA TEORIJA DRUŠTVA (21.04.2020.)</w:t>
      </w:r>
    </w:p>
    <w:p>
      <w:pPr>
        <w:pStyle w:val="Normal"/>
        <w:rPr/>
      </w:pPr>
      <w:r>
        <w:rPr/>
      </w:r>
    </w:p>
    <w:p>
      <w:pPr>
        <w:pStyle w:val="Normal"/>
        <w:rPr/>
      </w:pPr>
      <w:r>
        <w:rPr/>
        <w:t xml:space="preserve">Horkhajmer, M., Adorno, T., </w:t>
      </w:r>
      <w:r>
        <w:rPr>
          <w:i/>
          <w:iCs/>
        </w:rPr>
        <w:t>Dijalektika prosvjetiteljstva</w:t>
      </w:r>
    </w:p>
    <w:p>
      <w:pPr>
        <w:pStyle w:val="Normal"/>
        <w:rPr>
          <w:i w:val="false"/>
          <w:i w:val="false"/>
          <w:iCs w:val="false"/>
        </w:rPr>
      </w:pPr>
      <w:r>
        <w:rPr>
          <w:i w:val="false"/>
          <w:iCs w:val="false"/>
        </w:rPr>
      </w:r>
    </w:p>
    <w:p>
      <w:pPr>
        <w:pStyle w:val="Normal"/>
        <w:rPr>
          <w:b/>
          <w:b/>
          <w:bCs/>
        </w:rPr>
      </w:pPr>
      <w:r>
        <w:rPr>
          <w:b/>
          <w:bCs/>
          <w:i w:val="false"/>
          <w:iCs w:val="false"/>
        </w:rPr>
        <w:t>Pitanja:</w:t>
      </w:r>
    </w:p>
    <w:p>
      <w:pPr>
        <w:pStyle w:val="Normal"/>
        <w:rPr/>
      </w:pPr>
      <w:r>
        <w:rPr>
          <w:i w:val="false"/>
          <w:iCs w:val="false"/>
        </w:rPr>
        <w:t>- Kulturna industrija. Prosvjetiteljstvo kao masovna obmana</w:t>
      </w:r>
    </w:p>
    <w:p>
      <w:pPr>
        <w:pStyle w:val="Normal"/>
        <w:rPr>
          <w:i w:val="false"/>
          <w:i w:val="false"/>
          <w:iCs w:val="false"/>
        </w:rPr>
      </w:pPr>
      <w:r>
        <w:rPr/>
      </w:r>
    </w:p>
    <w:p>
      <w:pPr>
        <w:pStyle w:val="Normal"/>
        <w:rPr>
          <w:i w:val="false"/>
          <w:i w:val="false"/>
          <w:iCs w:val="false"/>
        </w:rPr>
      </w:pPr>
      <w:r>
        <w:rPr/>
      </w:r>
    </w:p>
    <w:p>
      <w:pPr>
        <w:pStyle w:val="Normal"/>
        <w:rPr>
          <w:i w:val="false"/>
          <w:i w:val="false"/>
          <w:iCs w:val="false"/>
        </w:rPr>
      </w:pPr>
      <w:r>
        <w:rPr>
          <w:i w:val="false"/>
          <w:iCs w:val="false"/>
        </w:rPr>
      </w:r>
    </w:p>
    <w:p>
      <w:pPr>
        <w:pStyle w:val="Normal"/>
        <w:rPr/>
      </w:pPr>
      <w:r>
        <w:rPr>
          <w:b/>
          <w:bCs/>
          <w:i w:val="false"/>
          <w:iCs w:val="false"/>
        </w:rPr>
        <w:t>Izvod:</w:t>
      </w:r>
    </w:p>
    <w:p>
      <w:pPr>
        <w:pStyle w:val="Normal"/>
        <w:rPr>
          <w:b/>
          <w:b/>
          <w:bCs/>
          <w:i w:val="false"/>
          <w:i w:val="false"/>
          <w:iCs w:val="false"/>
        </w:rPr>
      </w:pPr>
      <w:r>
        <w:rPr/>
      </w:r>
    </w:p>
    <w:p>
      <w:pPr>
        <w:pStyle w:val="Normal"/>
        <w:spacing w:lineRule="auto" w:line="480"/>
        <w:jc w:val="both"/>
        <w:rPr/>
      </w:pPr>
      <w:r>
        <w:rPr>
          <w:rFonts w:eastAsia="Times New Roman" w:cs="Times New Roman"/>
          <w:i w:val="false"/>
          <w:iCs w:val="false"/>
        </w:rPr>
        <w:t>„</w:t>
      </w:r>
      <w:r>
        <w:rPr>
          <w:rFonts w:eastAsia="NSimSun" w:cs="Arial"/>
          <w:i w:val="false"/>
          <w:iCs w:val="false"/>
        </w:rPr>
        <w:t>Kultura danas svemu nameće sličnost… Sva je masovna kultura pod monopolom identična… Kulturna industrija konačno postavlja imitaciju kao apsolut. Budući da daje samo još stil, ona razotkriva njegovu tajnu, poslušnost društvenoj hijerarhiji. Današnje estetičko barbarstvo dopunjuje ono što prijeti duhovnim tvorevinama već čitavo vrijeme otkada se udružuju u kulturu i neutraliziraju. Govoriti o kulturi oduvijek je suprotstavljeno kulturi. Zajednički nazivnik kultura već sadrži ono zahvaćanje, katalogiziranje, klasificiranje kojim kultura stupa u carstvo administracije. Tek je industrijalizirana, konzekventna supstancija sasvim primjerena ovom pojmu kulture. Time što sve grane duhovne produkcije podjednako podređuje jednoj te istoj svrsi, svrsi zaposjedanja osjetila ljudi sve do izlaska iz tvornice uveče pa do dolaska do kontrolnog sata sljedećeg jutra obilježjima onog istog procesa rada koji danju sami provode, ona podrugivo ozbiljuje pojam jedinstvene kulture koji filozofi osobnosti suprotstavljaju omasovljenju… Danas nije više presudan puritanizam, nego neophodnost koja leži u sistemu, da se, naime, potrošač ne ispusti iz ruku, da mu se ni za trenutak ne da naslutiti mogućnost otpora. Princip propisuje da potrošaču, doduše, treba sve potrebe predstaviti kao da ih kulturna industrija može ispuniti, ali, s druge strane, te potrebe već unaprijed urediti tako da u njima samog sebe doživljava samo kao potrošača, kao objekt kulturne industrije. Ne samo da ga ona uvjerava da je ta njezina obmana zadovoljenje, nego mu, osim toga, još i pojašnjuje da se, htio to on ili ne, mora pomiriti s time što mu se nudi… Zabava uvećava rezignaciju koja je zabavom željela zaboraviti na sebe...</w:t>
      </w:r>
      <w:r>
        <w:rPr>
          <w:rFonts w:eastAsia="Times New Roman" w:cs="Times New Roman"/>
          <w:i w:val="false"/>
          <w:iCs w:val="false"/>
        </w:rPr>
        <w:t>‟</w:t>
      </w:r>
    </w:p>
    <w:p>
      <w:pPr>
        <w:pStyle w:val="Normal"/>
        <w:spacing w:lineRule="auto" w:line="48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NSimSun" w:cs="Arial"/>
          <w:b w:val="false"/>
          <w:bCs w:val="false"/>
          <w:i w:val="false"/>
          <w:iCs w:val="false"/>
        </w:rPr>
        <w:t>Alternativa</w:t>
      </w:r>
    </w:p>
    <w:p>
      <w:pPr>
        <w:pStyle w:val="Normal"/>
        <w:jc w:val="both"/>
        <w:rPr/>
      </w:pPr>
      <w:r>
        <w:rPr>
          <w:rFonts w:eastAsia="NSimSun" w:cs="Arial"/>
          <w:b/>
          <w:bCs/>
          <w:i w:val="false"/>
          <w:iCs w:val="false"/>
        </w:rPr>
        <w:t>FENOMENOLOGIJA (21.04.2020.)</w:t>
      </w:r>
    </w:p>
    <w:p>
      <w:pPr>
        <w:pStyle w:val="Normal"/>
        <w:rPr>
          <w:b/>
          <w:b/>
          <w:bCs/>
        </w:rPr>
      </w:pPr>
      <w:r>
        <w:rPr>
          <w:b/>
          <w:bCs/>
        </w:rPr>
      </w:r>
    </w:p>
    <w:p>
      <w:pPr>
        <w:pStyle w:val="Normal"/>
        <w:rPr/>
      </w:pPr>
      <w:r>
        <w:rPr>
          <w:b w:val="false"/>
          <w:bCs w:val="false"/>
        </w:rPr>
        <w:t xml:space="preserve">Huserl, E., </w:t>
      </w:r>
      <w:r>
        <w:rPr>
          <w:b w:val="false"/>
          <w:bCs w:val="false"/>
          <w:i/>
          <w:iCs/>
        </w:rPr>
        <w:t>Ideja fenomenologije</w:t>
      </w:r>
    </w:p>
    <w:p>
      <w:pPr>
        <w:pStyle w:val="Normal"/>
        <w:rPr>
          <w:b w:val="false"/>
          <w:b w:val="false"/>
          <w:bCs w:val="false"/>
          <w:i/>
          <w:i/>
          <w:iCs/>
        </w:rPr>
      </w:pPr>
      <w:r>
        <w:rPr>
          <w:b w:val="false"/>
          <w:bCs w:val="false"/>
          <w:i/>
          <w:iCs/>
        </w:rPr>
      </w:r>
    </w:p>
    <w:p>
      <w:pPr>
        <w:pStyle w:val="Normal"/>
        <w:rPr>
          <w:b/>
          <w:b/>
          <w:bCs/>
          <w:i w:val="false"/>
          <w:i w:val="false"/>
          <w:iCs w:val="false"/>
        </w:rPr>
      </w:pPr>
      <w:r>
        <w:rPr>
          <w:b/>
          <w:bCs/>
          <w:i w:val="false"/>
          <w:iCs w:val="false"/>
        </w:rPr>
        <w:t>Pitanja:</w:t>
      </w:r>
    </w:p>
    <w:p>
      <w:pPr>
        <w:pStyle w:val="Normal"/>
        <w:jc w:val="both"/>
        <w:rPr>
          <w:i w:val="false"/>
          <w:i w:val="false"/>
          <w:iCs w:val="false"/>
        </w:rPr>
      </w:pPr>
      <w:r>
        <w:rPr>
          <w:b w:val="false"/>
          <w:bCs w:val="false"/>
          <w:i w:val="false"/>
          <w:iCs w:val="false"/>
        </w:rPr>
        <w:t>- Princip saznajnoteorijske redukcije</w:t>
      </w:r>
    </w:p>
    <w:p>
      <w:pPr>
        <w:pStyle w:val="Normal"/>
        <w:jc w:val="both"/>
        <w:rPr/>
      </w:pPr>
      <w:r>
        <w:rPr>
          <w:b w:val="false"/>
          <w:bCs w:val="false"/>
          <w:i w:val="false"/>
          <w:iCs w:val="false"/>
        </w:rPr>
        <w:t>- Pojam intencionalnosti</w:t>
      </w:r>
    </w:p>
    <w:p>
      <w:pPr>
        <w:pStyle w:val="Normal"/>
        <w:jc w:val="both"/>
        <w:rPr>
          <w:b w:val="false"/>
          <w:b w:val="false"/>
          <w:bCs w:val="false"/>
          <w:i w:val="false"/>
          <w:i w:val="false"/>
          <w:iCs w:val="false"/>
        </w:rPr>
      </w:pPr>
      <w:r>
        <w:rPr/>
      </w:r>
    </w:p>
    <w:p>
      <w:pPr>
        <w:pStyle w:val="Normal"/>
        <w:jc w:val="both"/>
        <w:rPr>
          <w:b w:val="false"/>
          <w:b w:val="false"/>
          <w:bCs w:val="false"/>
          <w:i w:val="false"/>
          <w:i w:val="false"/>
          <w:iCs w:val="false"/>
        </w:rPr>
      </w:pPr>
      <w:r>
        <w:rPr/>
      </w:r>
    </w:p>
    <w:p>
      <w:pPr>
        <w:pStyle w:val="Normal"/>
        <w:jc w:val="both"/>
        <w:rPr>
          <w:b w:val="false"/>
          <w:b w:val="false"/>
          <w:bCs w:val="false"/>
        </w:rPr>
      </w:pPr>
      <w:r>
        <w:rPr>
          <w:b w:val="false"/>
          <w:bCs w:val="false"/>
        </w:rPr>
      </w:r>
    </w:p>
    <w:p>
      <w:pPr>
        <w:pStyle w:val="Normal"/>
        <w:jc w:val="both"/>
        <w:rPr/>
      </w:pPr>
      <w:r>
        <w:rPr>
          <w:b/>
          <w:bCs/>
          <w:i w:val="false"/>
          <w:iCs w:val="false"/>
        </w:rPr>
        <w:t>Izvodi:</w:t>
      </w:r>
    </w:p>
    <w:p>
      <w:pPr>
        <w:pStyle w:val="Normal"/>
        <w:jc w:val="both"/>
        <w:rPr>
          <w:b/>
          <w:b/>
          <w:bCs/>
          <w:i w:val="false"/>
          <w:i w:val="false"/>
          <w:iCs w:val="false"/>
        </w:rPr>
      </w:pPr>
      <w:r>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Kod svakog saznajnoteoretskog istraživanja, bilo to ovaj ili onaj tip saznanja, treba sprovesti saznajnoteoretsku redukciju, tj. svu transcendenciju koja saučestvuje treba zahvatiti indeksom isključivanja ili indeksom iste vrednosti, saznajnoteoretskog nuliteta, jednim indeksom koji tu kaže: egzistencija svih ovih transcendencija, bilo da ja verujem u njih ili ne, ništa me se ovde ne tiče, ovde nije mesto da se o tome sudi, to ostaje potpuno van igre.</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Saznajni doživljaji, to spada u njihovu suštinu, imaju jedan </w:t>
      </w:r>
      <w:r>
        <w:rPr>
          <w:rFonts w:eastAsia="NSimSun" w:cs="Arial"/>
          <w:b w:val="false"/>
          <w:bCs w:val="false"/>
          <w:i/>
          <w:iCs/>
        </w:rPr>
        <w:t xml:space="preserve">intentio, </w:t>
      </w:r>
      <w:r>
        <w:rPr>
          <w:rFonts w:eastAsia="NSimSun" w:cs="Arial"/>
          <w:b w:val="false"/>
          <w:bCs w:val="false"/>
          <w:i w:val="false"/>
          <w:iCs w:val="false"/>
        </w:rPr>
        <w:t xml:space="preserve">oni nešto zamišljaju i oni se, na ovaj ili onaj način, odnose na neku predmetnost. To odnošenje na neku predmetnost pripada njima iako im predmetnost ne pripada. A to predmetno može se pojaviti, može u pojavi imati neku određenu datost, a ipak niti je realno u fenomenu saznanja, niti i inače kao </w:t>
      </w:r>
      <w:r>
        <w:rPr>
          <w:rFonts w:eastAsia="NSimSun" w:cs="Arial"/>
          <w:b w:val="false"/>
          <w:bCs w:val="false"/>
          <w:i/>
          <w:iCs/>
        </w:rPr>
        <w:t>cogitatio.</w:t>
      </w:r>
      <w:r>
        <w:rPr>
          <w:rFonts w:eastAsia="NSimSun" w:cs="Arial"/>
          <w:b w:val="false"/>
          <w:bCs w:val="false"/>
          <w:i w:val="false"/>
          <w:iCs w:val="false"/>
        </w:rPr>
        <w:t xml:space="preserve"> Objasniti suštinu saznanja i dovesti do samodatosti suštinske odnose koji mu pripadaju, to dakle znači istraživati na obe strane, znači slediti ovaj odnos koji spada u suštinu saznanja. I ovde leže zagonetke, misterije, problemi oko krajnjeg smisla predmetnosti saznanja, među njima njegove obrazloženosti, odnosno neobrazloženosti, ako je reč o prosuđujućem saznanju, a njegove adekvacije, ako je reč o evidentnom saznanju itd.</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val="false"/>
          <w:i w:val="false"/>
          <w:iCs w:val="false"/>
        </w:rPr>
      </w:pPr>
      <w:r>
        <w:rPr/>
      </w:r>
    </w:p>
    <w:p>
      <w:pPr>
        <w:pStyle w:val="Normal"/>
        <w:rPr>
          <w:b/>
          <w:b/>
          <w:bCs/>
        </w:rPr>
      </w:pPr>
      <w:r>
        <w:rPr>
          <w:b/>
          <w:bCs/>
        </w:rPr>
        <w:t>KRITIČKA TEORIJA DRUŠTVA (14.04.2020.)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Mit i prosvjetiteljstvo</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bookmarkStart w:id="0" w:name="__DdeLink__93_2338782400"/>
      <w:bookmarkEnd w:id="0"/>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 (14.04.2020.)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i/>
          <w:iCs/>
        </w:rPr>
      </w:r>
      <w:bookmarkStart w:id="1" w:name="__DdeLink__93_23387824001"/>
      <w:bookmarkStart w:id="2" w:name="__DdeLink__93_23387824001"/>
      <w:bookmarkEnd w:id="2"/>
    </w:p>
    <w:p>
      <w:pPr>
        <w:pStyle w:val="Normal"/>
        <w:rPr>
          <w:b w:val="false"/>
          <w:b w:val="false"/>
          <w:bCs w:val="false"/>
          <w:i w:val="false"/>
          <w:i w:val="false"/>
          <w:iCs w:val="false"/>
        </w:rPr>
      </w:pPr>
      <w:r>
        <w:rPr>
          <w:b w:val="false"/>
          <w:bCs w:val="false"/>
          <w:i w:val="false"/>
          <w:iCs w:val="false"/>
        </w:rPr>
        <w:t xml:space="preserve">Pitanja: </w:t>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pPr>
      <w:r>
        <w:rPr>
          <w:b w:val="false"/>
          <w:bCs w:val="false"/>
          <w:i w:val="false"/>
          <w:iCs w:val="false"/>
        </w:rPr>
        <w:t>- Stupnjevi fenomenološkog posmatranja</w:t>
      </w:r>
    </w:p>
    <w:p>
      <w:pPr>
        <w:pStyle w:val="Normal"/>
        <w:spacing w:lineRule="auto" w:line="360"/>
        <w:rPr>
          <w:b w:val="false"/>
          <w:b w:val="false"/>
          <w:bCs w:val="false"/>
          <w:i w:val="false"/>
          <w:i w:val="false"/>
          <w:iCs w:val="false"/>
        </w:rPr>
      </w:pPr>
      <w:r>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Samo u saznanju može da se studira suština predmetnosti uopšte 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rFonts w:ascii="Times New Roman" w:hAnsi="Times New Roman" w:eastAsia="NSimSun" w:cs="Arial"/>
        </w:rPr>
      </w:pPr>
      <w:r>
        <w:rPr>
          <w:rFonts w:eastAsia="NSimSun" w:cs="Arial"/>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i w:val="false"/>
          <w:i w:val="false"/>
          <w:iCs w:val="false"/>
        </w:rPr>
      </w:pPr>
      <w:r>
        <w:rPr/>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FENOMENOLOGIJA (07.04.2020.)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b/>
          <w:b/>
          <w:bCs/>
        </w:rPr>
      </w:pPr>
      <w:bookmarkStart w:id="3" w:name="__DdeLink__122_572147076"/>
      <w:r>
        <w:rPr>
          <w:b/>
          <w:bCs/>
        </w:rPr>
        <w:t>KRITIČKA TEORIJA DRUŠTVA</w:t>
      </w:r>
    </w:p>
    <w:p>
      <w:pPr>
        <w:pStyle w:val="Normal"/>
        <w:jc w:val="both"/>
        <w:rPr/>
      </w:pPr>
      <w:r>
        <w:rPr/>
        <w:t xml:space="preserve">Horkhajmer, M., </w:t>
      </w:r>
      <w:r>
        <w:rPr>
          <w:i/>
          <w:iCs/>
        </w:rPr>
        <w:t>Tradicionalna i kritička teorija (31.03. 2020.)</w:t>
      </w:r>
      <w:bookmarkEnd w:id="3"/>
    </w:p>
    <w:p>
      <w:pPr>
        <w:pStyle w:val="Normal"/>
        <w:jc w:val="both"/>
        <w:rPr>
          <w:i/>
          <w:i/>
          <w:iCs/>
        </w:rPr>
      </w:pPr>
      <w:r>
        <w:rPr>
          <w:i/>
          <w:iCs/>
        </w:rPr>
      </w:r>
    </w:p>
    <w:p>
      <w:pPr>
        <w:pStyle w:val="Normal"/>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pPr>
      <w:r>
        <w:rPr>
          <w:b/>
          <w:bCs/>
        </w:rPr>
        <w:t>KRITIČKA TEORIJA DRUŠTVA</w:t>
      </w:r>
    </w:p>
    <w:p>
      <w:pPr>
        <w:pStyle w:val="Normal"/>
        <w:spacing w:lineRule="auto" w:line="360"/>
        <w:jc w:val="both"/>
        <w:rPr>
          <w:i w:val="false"/>
          <w:i w:val="false"/>
          <w:iCs w:val="false"/>
        </w:rPr>
      </w:pPr>
      <w:r>
        <w:rPr>
          <w:i w:val="false"/>
          <w:iCs w:val="false"/>
        </w:rPr>
        <w:t xml:space="preserve">Horkhajmer, M., </w:t>
      </w:r>
      <w:r>
        <w:rPr>
          <w:i/>
          <w:iCs/>
        </w:rPr>
        <w:t>Tradicionalna i kritička teorija (24.03. 2020.)</w:t>
      </w:r>
    </w:p>
    <w:p>
      <w:pPr>
        <w:pStyle w:val="Normal"/>
        <w:spacing w:lineRule="auto" w:line="360"/>
        <w:jc w:val="both"/>
        <w:rPr>
          <w:i/>
          <w:i/>
          <w:iCs/>
        </w:rPr>
      </w:pPr>
      <w:r>
        <w:rPr>
          <w:i/>
          <w:iCs/>
        </w:rPr>
      </w:r>
    </w:p>
    <w:p>
      <w:pPr>
        <w:pStyle w:val="Normal"/>
        <w:spacing w:lineRule="auto" w:line="360"/>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Tradicionalna teorija</w:t>
      </w:r>
    </w:p>
    <w:p>
      <w:pPr>
        <w:pStyle w:val="Normal"/>
        <w:spacing w:lineRule="auto" w:line="360"/>
        <w:jc w:val="both"/>
        <w:rPr>
          <w:i w:val="false"/>
          <w:i w:val="false"/>
          <w:iCs w:val="false"/>
        </w:rPr>
      </w:pPr>
      <w:r>
        <w:rPr>
          <w:i w:val="false"/>
          <w:iCs w:val="false"/>
        </w:rPr>
        <w:t>- Kritička teorija</w:t>
      </w:r>
    </w:p>
    <w:p>
      <w:pPr>
        <w:pStyle w:val="Normal"/>
        <w:spacing w:lineRule="auto" w:line="360"/>
        <w:jc w:val="both"/>
        <w:rPr>
          <w:i/>
          <w:i/>
          <w:iCs/>
        </w:rPr>
      </w:pPr>
      <w:r>
        <w:rPr>
          <w:i/>
          <w:iCs/>
        </w:rPr>
      </w:r>
    </w:p>
    <w:p>
      <w:pPr>
        <w:pStyle w:val="Normal"/>
        <w:spacing w:lineRule="auto" w:line="360"/>
        <w:jc w:val="both"/>
        <w:rPr>
          <w:i w:val="false"/>
          <w:i w:val="false"/>
          <w:iCs w:val="false"/>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LibreOffice/6.2.1.2$Windows_X86_64 LibreOffice_project/7bcb35dc3024a62dea0caee87020152d1ee96e71</Application>
  <Pages>9</Pages>
  <Words>2511</Words>
  <Characters>15291</Characters>
  <CharactersWithSpaces>17730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2020-04-26T16:26:30Z</dcterms:modified>
  <cp:revision>8</cp:revision>
  <dc:subject/>
  <dc:title/>
</cp:coreProperties>
</file>