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C211" w14:textId="77777777" w:rsidR="008C4990" w:rsidRDefault="00000000">
      <w:pPr>
        <w:pStyle w:val="Title"/>
        <w:rPr>
          <w:sz w:val="76"/>
          <w:szCs w:val="76"/>
        </w:rPr>
      </w:pPr>
      <w:r>
        <w:rPr>
          <w:sz w:val="76"/>
          <w:szCs w:val="76"/>
        </w:rPr>
        <w:t>Korporativno komuniciranje</w:t>
      </w:r>
    </w:p>
    <w:p w14:paraId="6619BE4C" w14:textId="02C4DB3F" w:rsidR="008C4990" w:rsidRPr="005F7868" w:rsidRDefault="00000000">
      <w:pPr>
        <w:pStyle w:val="Subtitle"/>
        <w:rPr>
          <w:lang w:val="hr-HR"/>
        </w:rPr>
      </w:pPr>
      <w:r>
        <w:t>Fakultet političkih nauka</w:t>
      </w:r>
      <w:r w:rsidR="005F7868">
        <w:rPr>
          <w:lang w:val="hr-HR"/>
        </w:rPr>
        <w:t xml:space="preserve">, </w:t>
      </w:r>
      <w:r w:rsidR="005F7868" w:rsidRPr="005F7868">
        <w:rPr>
          <w:b w:val="0"/>
          <w:bCs w:val="0"/>
        </w:rPr>
        <w:t>ljetnji semestar 202</w:t>
      </w:r>
      <w:r w:rsidR="005F7868" w:rsidRPr="005F7868">
        <w:rPr>
          <w:b w:val="0"/>
          <w:bCs w:val="0"/>
          <w:lang w:val="hr-HR"/>
        </w:rPr>
        <w:t>3</w:t>
      </w:r>
      <w:r w:rsidR="005F7868" w:rsidRPr="005F7868">
        <w:rPr>
          <w:b w:val="0"/>
          <w:bCs w:val="0"/>
        </w:rPr>
        <w:t>/2</w:t>
      </w:r>
      <w:r w:rsidR="005F7868" w:rsidRPr="005F7868">
        <w:rPr>
          <w:b w:val="0"/>
          <w:bCs w:val="0"/>
          <w:lang w:val="hr-HR"/>
        </w:rPr>
        <w:t>4</w:t>
      </w:r>
      <w:r w:rsidR="005F7868" w:rsidRPr="005F7868">
        <w:rPr>
          <w:b w:val="0"/>
          <w:bCs w:val="0"/>
        </w:rPr>
        <w:t>.</w:t>
      </w:r>
    </w:p>
    <w:p w14:paraId="04A64553" w14:textId="77777777" w:rsidR="008C4990" w:rsidRDefault="008C4990">
      <w:pPr>
        <w:pStyle w:val="Subheading"/>
      </w:pPr>
    </w:p>
    <w:p w14:paraId="79BE4136" w14:textId="35CC0393" w:rsidR="008C4990" w:rsidRPr="005F7868" w:rsidRDefault="00000000">
      <w:pPr>
        <w:pStyle w:val="Subheading"/>
        <w:rPr>
          <w:lang w:val="hr-HR"/>
        </w:rPr>
      </w:pPr>
      <w:r>
        <w:rPr>
          <w:rFonts w:eastAsia="Arial Unicode MS" w:cs="Arial Unicode MS"/>
        </w:rPr>
        <w:t xml:space="preserve">dr Bojana Femić-Radosavović, </w:t>
      </w:r>
      <w:r w:rsidR="005F7868">
        <w:rPr>
          <w:rFonts w:eastAsia="Arial Unicode MS" w:cs="Arial Unicode MS"/>
          <w:lang w:val="hr-HR"/>
        </w:rPr>
        <w:t>mr Jovana Svrkota-Kečina</w:t>
      </w:r>
    </w:p>
    <w:p w14:paraId="205B3A11" w14:textId="77777777" w:rsidR="008C4990" w:rsidRDefault="008C4990">
      <w:pPr>
        <w:pStyle w:val="Subheading"/>
      </w:pPr>
    </w:p>
    <w:p w14:paraId="66CF6C8C" w14:textId="77777777" w:rsidR="008C4990" w:rsidRDefault="008C4990">
      <w:pPr>
        <w:pStyle w:val="Body2"/>
      </w:pPr>
    </w:p>
    <w:p w14:paraId="3E8436EA" w14:textId="77777777" w:rsidR="008C4990" w:rsidRDefault="00000000">
      <w:pPr>
        <w:pStyle w:val="Heading"/>
      </w:pPr>
      <w:r>
        <w:t>Plan rada</w:t>
      </w:r>
    </w:p>
    <w:p w14:paraId="713B72BE" w14:textId="77777777" w:rsidR="008C4990" w:rsidRDefault="008C4990">
      <w:pPr>
        <w:pStyle w:val="Body2"/>
      </w:pPr>
    </w:p>
    <w:tbl>
      <w:tblPr>
        <w:tblW w:w="9596" w:type="dxa"/>
        <w:tblInd w:w="108" w:type="dxa"/>
        <w:tblBorders>
          <w:top w:val="single" w:sz="4" w:space="0" w:color="FEFEFE"/>
          <w:left w:val="single" w:sz="2" w:space="0" w:color="FEFEFE"/>
          <w:bottom w:val="single" w:sz="4" w:space="0" w:color="FEFEFE"/>
          <w:right w:val="single" w:sz="2" w:space="0" w:color="FEFEFE"/>
          <w:insideH w:val="single" w:sz="2" w:space="0" w:color="7ACBF1"/>
          <w:insideV w:val="single" w:sz="2" w:space="0" w:color="7ACBF1"/>
        </w:tblBorders>
        <w:shd w:val="clear" w:color="auto" w:fill="008CB4"/>
        <w:tblLayout w:type="fixed"/>
        <w:tblLook w:val="04A0" w:firstRow="1" w:lastRow="0" w:firstColumn="1" w:lastColumn="0" w:noHBand="0" w:noVBand="1"/>
      </w:tblPr>
      <w:tblGrid>
        <w:gridCol w:w="2371"/>
        <w:gridCol w:w="7225"/>
      </w:tblGrid>
      <w:tr w:rsidR="008C4990" w14:paraId="392DE3E5" w14:textId="77777777" w:rsidTr="00091F10">
        <w:trPr>
          <w:trHeight w:val="280"/>
          <w:tblHeader/>
        </w:trPr>
        <w:tc>
          <w:tcPr>
            <w:tcW w:w="2371" w:type="dxa"/>
            <w:tcBorders>
              <w:top w:val="nil"/>
              <w:left w:val="nil"/>
              <w:bottom w:val="single" w:sz="12" w:space="0" w:color="7ACBF1"/>
              <w:right w:val="nil"/>
            </w:tcBorders>
            <w:shd w:val="clear" w:color="auto" w:fill="008C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DC4A9" w14:textId="77777777" w:rsidR="008C4990" w:rsidRDefault="00000000">
            <w:pPr>
              <w:pStyle w:val="TableStyle1"/>
            </w:pPr>
            <w:r>
              <w:rPr>
                <w:rFonts w:eastAsia="Arial Unicode MS" w:cs="Arial Unicode MS"/>
              </w:rPr>
              <w:t>Dan i datum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12" w:space="0" w:color="7ACBF1"/>
              <w:right w:val="nil"/>
            </w:tcBorders>
            <w:shd w:val="clear" w:color="auto" w:fill="008C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E2E94" w14:textId="77777777" w:rsidR="008C4990" w:rsidRDefault="00000000">
            <w:pPr>
              <w:pStyle w:val="TableStyle1"/>
            </w:pPr>
            <w:r>
              <w:rPr>
                <w:rFonts w:eastAsia="Arial Unicode MS" w:cs="Arial Unicode MS"/>
              </w:rPr>
              <w:t>Tema</w:t>
            </w:r>
          </w:p>
        </w:tc>
      </w:tr>
      <w:tr w:rsidR="008C4990" w14:paraId="2CD4F306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12" w:space="0" w:color="7ACBF1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C930C" w14:textId="327BC2A7" w:rsidR="008C4990" w:rsidRDefault="005F7868">
            <w:pPr>
              <w:pStyle w:val="TableStyle2"/>
            </w:pPr>
            <w:r>
              <w:rPr>
                <w:rFonts w:eastAsia="Arial Unicode MS" w:cs="Arial Unicode MS"/>
                <w:lang w:val="hr-HR"/>
              </w:rPr>
              <w:t>Petak</w:t>
            </w:r>
            <w:r w:rsidR="00091F10">
              <w:rPr>
                <w:rFonts w:eastAsia="Arial Unicode MS" w:cs="Arial Unicode MS"/>
              </w:rPr>
              <w:t xml:space="preserve">, </w:t>
            </w:r>
            <w:r w:rsidR="00091F10">
              <w:rPr>
                <w:rFonts w:eastAsia="Arial Unicode MS" w:cs="Arial Unicode MS"/>
                <w:lang w:val="hr-HR"/>
              </w:rPr>
              <w:t>2</w:t>
            </w:r>
            <w:r>
              <w:rPr>
                <w:rFonts w:eastAsia="Arial Unicode MS" w:cs="Arial Unicode MS"/>
                <w:lang w:val="hr-HR"/>
              </w:rPr>
              <w:t>3</w:t>
            </w:r>
            <w:r w:rsidR="00091F10">
              <w:rPr>
                <w:rFonts w:eastAsia="Arial Unicode MS" w:cs="Arial Unicode MS"/>
              </w:rPr>
              <w:t xml:space="preserve">.02 </w:t>
            </w:r>
          </w:p>
        </w:tc>
        <w:tc>
          <w:tcPr>
            <w:tcW w:w="7225" w:type="dxa"/>
            <w:tcBorders>
              <w:top w:val="single" w:sz="12" w:space="0" w:color="7ACBF1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1F872" w14:textId="77777777" w:rsidR="008C4990" w:rsidRDefault="00000000">
            <w:pPr>
              <w:pStyle w:val="TableStyle3"/>
            </w:pPr>
            <w:r>
              <w:rPr>
                <w:rFonts w:eastAsia="Arial Unicode MS" w:cs="Arial Unicode MS"/>
              </w:rPr>
              <w:t xml:space="preserve">Pravila polaganja ispita + Uvod u korporativno komuniciranje </w:t>
            </w:r>
          </w:p>
        </w:tc>
      </w:tr>
      <w:tr w:rsidR="008C4990" w14:paraId="02A0621C" w14:textId="77777777" w:rsidTr="00091F10">
        <w:tblPrEx>
          <w:shd w:val="clear" w:color="auto" w:fill="7AC4EA"/>
        </w:tblPrEx>
        <w:trPr>
          <w:trHeight w:val="53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747A4" w14:textId="5776942A" w:rsidR="008C4990" w:rsidRDefault="00000000">
            <w:pPr>
              <w:pStyle w:val="TableStyle2"/>
            </w:pPr>
            <w:r>
              <w:rPr>
                <w:rFonts w:eastAsia="Arial Unicode MS" w:cs="Arial Unicode MS"/>
              </w:rPr>
              <w:t xml:space="preserve">Petak, </w:t>
            </w:r>
            <w:r w:rsidR="00091F10">
              <w:rPr>
                <w:rFonts w:eastAsia="Arial Unicode MS" w:cs="Arial Unicode MS"/>
                <w:lang w:val="hr-HR"/>
              </w:rPr>
              <w:t>0</w:t>
            </w:r>
            <w:r w:rsidR="005F7868">
              <w:rPr>
                <w:rFonts w:eastAsia="Arial Unicode MS" w:cs="Arial Unicode MS"/>
                <w:lang w:val="hr-HR"/>
              </w:rPr>
              <w:t>1</w:t>
            </w:r>
            <w:r>
              <w:rPr>
                <w:rFonts w:eastAsia="Arial Unicode MS" w:cs="Arial Unicode MS"/>
              </w:rPr>
              <w:t>.0</w:t>
            </w:r>
            <w:r w:rsidR="00091F10">
              <w:rPr>
                <w:rFonts w:eastAsia="Arial Unicode MS" w:cs="Arial Unicode MS"/>
                <w:lang w:val="hr-HR"/>
              </w:rPr>
              <w:t>3</w:t>
            </w:r>
            <w:r>
              <w:rPr>
                <w:rFonts w:eastAsia="Arial Unicode MS" w:cs="Arial Unicode MS"/>
              </w:rPr>
              <w:t xml:space="preserve">. 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41397" w14:textId="77777777" w:rsidR="008C4990" w:rsidRDefault="00000000">
            <w:pPr>
              <w:pStyle w:val="TableStyle3"/>
            </w:pPr>
            <w:r>
              <w:rPr>
                <w:rFonts w:eastAsia="Arial Unicode MS" w:cs="Arial Unicode MS"/>
              </w:rPr>
              <w:t>Razgraničenje pojmova: korporativno komuniciranje, PR, marketing, oglašavanje, publicitet.</w:t>
            </w:r>
          </w:p>
        </w:tc>
      </w:tr>
      <w:tr w:rsidR="00A8402D" w14:paraId="2B33CC4B" w14:textId="77777777" w:rsidTr="00091F10">
        <w:tblPrEx>
          <w:shd w:val="clear" w:color="auto" w:fill="7AC4EA"/>
        </w:tblPrEx>
        <w:trPr>
          <w:trHeight w:val="53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2F024" w14:textId="1C3D77C7" w:rsidR="00A8402D" w:rsidRPr="00A8402D" w:rsidRDefault="00A8402D">
            <w:pPr>
              <w:pStyle w:val="TableStyle2"/>
              <w:rPr>
                <w:rFonts w:eastAsia="Arial Unicode MS" w:cs="Arial Unicode MS"/>
                <w:lang w:val="sr-Latn-RS"/>
              </w:rPr>
            </w:pPr>
            <w:r>
              <w:rPr>
                <w:rFonts w:eastAsia="Arial Unicode MS" w:cs="Arial Unicode MS"/>
                <w:lang w:val="sr-Latn-RS"/>
              </w:rPr>
              <w:t>Utorak, 05.03.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379C8" w14:textId="63967740" w:rsidR="00A8402D" w:rsidRPr="006A7449" w:rsidRDefault="006A7449">
            <w:pPr>
              <w:pStyle w:val="TableStyle3"/>
              <w:rPr>
                <w:rFonts w:eastAsia="Arial Unicode MS" w:cs="Arial Unicode MS"/>
                <w:lang w:val="sr-Latn-RS"/>
              </w:rPr>
            </w:pPr>
            <w:r>
              <w:rPr>
                <w:rFonts w:eastAsia="Arial Unicode MS" w:cs="Arial Unicode MS"/>
                <w:lang w:val="sr-Latn-RS"/>
              </w:rPr>
              <w:t xml:space="preserve">Uvodne napomene. </w:t>
            </w:r>
            <w:r w:rsidR="00217087">
              <w:rPr>
                <w:rFonts w:eastAsia="Arial Unicode MS" w:cs="Arial Unicode MS"/>
                <w:lang w:val="sr-Latn-RS"/>
              </w:rPr>
              <w:t>Identitet, imidž, reputacija.</w:t>
            </w:r>
          </w:p>
        </w:tc>
      </w:tr>
      <w:tr w:rsidR="008C4990" w14:paraId="1400A342" w14:textId="77777777" w:rsidTr="00091F10">
        <w:tblPrEx>
          <w:shd w:val="clear" w:color="auto" w:fill="7AC4EA"/>
        </w:tblPrEx>
        <w:trPr>
          <w:trHeight w:val="53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FEFF1" w14:textId="2988C88A" w:rsidR="008C4990" w:rsidRDefault="00091F10">
            <w:pPr>
              <w:pStyle w:val="TableStyle2"/>
            </w:pPr>
            <w:r>
              <w:rPr>
                <w:rFonts w:eastAsia="Arial Unicode MS" w:cs="Arial Unicode MS"/>
                <w:lang w:val="hr-HR"/>
              </w:rPr>
              <w:t>Petak</w:t>
            </w:r>
            <w:r>
              <w:rPr>
                <w:rFonts w:eastAsia="Arial Unicode MS" w:cs="Arial Unicode MS"/>
              </w:rPr>
              <w:t xml:space="preserve">, </w:t>
            </w:r>
            <w:r w:rsidR="005F7868">
              <w:rPr>
                <w:rFonts w:eastAsia="Arial Unicode MS" w:cs="Arial Unicode MS"/>
                <w:lang w:val="hr-HR"/>
              </w:rPr>
              <w:t>08</w:t>
            </w:r>
            <w:r>
              <w:rPr>
                <w:rFonts w:eastAsia="Arial Unicode MS" w:cs="Arial Unicode MS"/>
              </w:rPr>
              <w:t xml:space="preserve">.03. 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4F6E5" w14:textId="77777777" w:rsidR="008C4990" w:rsidRDefault="00000000">
            <w:pPr>
              <w:pStyle w:val="TableStyle3"/>
            </w:pPr>
            <w:r>
              <w:rPr>
                <w:rFonts w:eastAsia="Arial Unicode MS" w:cs="Arial Unicode MS"/>
              </w:rPr>
              <w:t>Komunikacija i javno mnjenje (Elementi komunikacijskog modela. Javnosti i njihova mišljenja)</w:t>
            </w:r>
          </w:p>
        </w:tc>
      </w:tr>
      <w:tr w:rsidR="00A8402D" w14:paraId="41F60D7B" w14:textId="77777777" w:rsidTr="00091F10">
        <w:tblPrEx>
          <w:shd w:val="clear" w:color="auto" w:fill="7AC4EA"/>
        </w:tblPrEx>
        <w:trPr>
          <w:trHeight w:val="53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C6622" w14:textId="7BBE9561" w:rsidR="00A8402D" w:rsidRDefault="00A8402D">
            <w:pPr>
              <w:pStyle w:val="TableStyle2"/>
              <w:rPr>
                <w:rFonts w:eastAsia="Arial Unicode MS" w:cs="Arial Unicode MS"/>
                <w:lang w:val="hr-HR"/>
              </w:rPr>
            </w:pPr>
            <w:r>
              <w:rPr>
                <w:rFonts w:eastAsia="Arial Unicode MS" w:cs="Arial Unicode MS"/>
                <w:lang w:val="hr-HR"/>
              </w:rPr>
              <w:t>Utorak, 12.03.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6FDDD" w14:textId="4A0FDAA6" w:rsidR="00A8402D" w:rsidRPr="006A7449" w:rsidRDefault="006A7449">
            <w:pPr>
              <w:pStyle w:val="TableStyle3"/>
              <w:rPr>
                <w:rFonts w:eastAsia="Arial Unicode MS" w:cs="Arial Unicode MS"/>
                <w:lang w:val="sr-Latn-RS"/>
              </w:rPr>
            </w:pPr>
            <w:r>
              <w:rPr>
                <w:rFonts w:eastAsia="Arial Unicode MS" w:cs="Arial Unicode MS"/>
                <w:lang w:val="sr-Latn-RS"/>
              </w:rPr>
              <w:t>Javnosti</w:t>
            </w:r>
            <w:r w:rsidR="00360C61">
              <w:rPr>
                <w:rFonts w:eastAsia="Arial Unicode MS" w:cs="Arial Unicode MS"/>
                <w:lang w:val="sr-Latn-RS"/>
              </w:rPr>
              <w:t xml:space="preserve"> - vježba.</w:t>
            </w:r>
          </w:p>
        </w:tc>
      </w:tr>
      <w:tr w:rsidR="008C4990" w14:paraId="2F23E2FF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92995" w14:textId="3C8082C8" w:rsidR="008C4990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Petak, 1</w:t>
            </w:r>
            <w:r w:rsidR="005F7868">
              <w:rPr>
                <w:rFonts w:eastAsia="Arial Unicode MS" w:cs="Arial Unicode MS"/>
                <w:lang w:val="hr-HR"/>
              </w:rPr>
              <w:t>5</w:t>
            </w:r>
            <w:r>
              <w:rPr>
                <w:rFonts w:eastAsia="Arial Unicode MS" w:cs="Arial Unicode MS"/>
              </w:rPr>
              <w:t xml:space="preserve">.03. 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D0208" w14:textId="77777777" w:rsidR="008C4990" w:rsidRDefault="00000000">
            <w:pPr>
              <w:pStyle w:val="TableStyle3"/>
            </w:pPr>
            <w:r>
              <w:rPr>
                <w:rFonts w:eastAsia="Arial Unicode MS" w:cs="Arial Unicode MS"/>
              </w:rPr>
              <w:t>Značaj i struktura komunikacione strategije</w:t>
            </w:r>
          </w:p>
        </w:tc>
      </w:tr>
      <w:tr w:rsidR="00A8402D" w14:paraId="162C6F9D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B8327" w14:textId="58D50A0B" w:rsidR="00A8402D" w:rsidRPr="00A8402D" w:rsidRDefault="00A8402D">
            <w:pPr>
              <w:pStyle w:val="TableStyle2"/>
              <w:rPr>
                <w:rFonts w:eastAsia="Arial Unicode MS" w:cs="Arial Unicode MS"/>
                <w:lang w:val="sr-Latn-RS"/>
              </w:rPr>
            </w:pPr>
            <w:r>
              <w:rPr>
                <w:rFonts w:eastAsia="Arial Unicode MS" w:cs="Arial Unicode MS"/>
                <w:lang w:val="sr-Latn-RS"/>
              </w:rPr>
              <w:t>Utorak, 19.03.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35478" w14:textId="5D45C3D8" w:rsidR="00A8402D" w:rsidRPr="002C36E7" w:rsidRDefault="002C36E7">
            <w:pPr>
              <w:pStyle w:val="TableStyle3"/>
              <w:rPr>
                <w:rFonts w:eastAsia="Arial Unicode MS" w:cs="Arial Unicode MS"/>
                <w:lang w:val="sr-Latn-RS"/>
              </w:rPr>
            </w:pPr>
            <w:r>
              <w:rPr>
                <w:rFonts w:eastAsia="Arial Unicode MS" w:cs="Arial Unicode MS"/>
                <w:lang w:val="sr-Latn-RS"/>
              </w:rPr>
              <w:t xml:space="preserve">Analiza komunikacionih strategija. </w:t>
            </w:r>
          </w:p>
        </w:tc>
      </w:tr>
      <w:tr w:rsidR="008C4990" w14:paraId="0E969B22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D93BE" w14:textId="3335FBC2" w:rsidR="008C4990" w:rsidRDefault="00000000">
            <w:pPr>
              <w:pStyle w:val="TableStyle2"/>
            </w:pPr>
            <w:r>
              <w:rPr>
                <w:rFonts w:eastAsia="Arial Unicode MS" w:cs="Arial Unicode MS"/>
              </w:rPr>
              <w:t xml:space="preserve">Petak, </w:t>
            </w:r>
            <w:r w:rsidR="00091F10">
              <w:rPr>
                <w:rFonts w:eastAsia="Arial Unicode MS" w:cs="Arial Unicode MS"/>
                <w:lang w:val="hr-HR"/>
              </w:rPr>
              <w:t>2</w:t>
            </w:r>
            <w:r w:rsidR="005F7868">
              <w:rPr>
                <w:rFonts w:eastAsia="Arial Unicode MS" w:cs="Arial Unicode MS"/>
                <w:lang w:val="hr-HR"/>
              </w:rPr>
              <w:t>2</w:t>
            </w:r>
            <w:r>
              <w:rPr>
                <w:rFonts w:eastAsia="Arial Unicode MS" w:cs="Arial Unicode MS"/>
              </w:rPr>
              <w:t xml:space="preserve">.03. 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9BF8E" w14:textId="77777777" w:rsidR="008C4990" w:rsidRDefault="00000000">
            <w:pPr>
              <w:pStyle w:val="TableStyle3"/>
            </w:pPr>
            <w:r>
              <w:rPr>
                <w:rFonts w:eastAsia="Arial Unicode MS" w:cs="Arial Unicode MS"/>
              </w:rPr>
              <w:t>Ciljne javnosti i avatar kupca (“buyer persona”)</w:t>
            </w:r>
          </w:p>
        </w:tc>
      </w:tr>
      <w:tr w:rsidR="00A8402D" w14:paraId="5875CF0F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16C50" w14:textId="72D50B0D" w:rsidR="00A8402D" w:rsidRPr="00A8402D" w:rsidRDefault="00A8402D">
            <w:pPr>
              <w:pStyle w:val="TableStyle2"/>
              <w:rPr>
                <w:rFonts w:eastAsia="Arial Unicode MS" w:cs="Arial Unicode MS"/>
                <w:lang w:val="sr-Latn-RS"/>
              </w:rPr>
            </w:pPr>
            <w:r>
              <w:rPr>
                <w:rFonts w:eastAsia="Arial Unicode MS" w:cs="Arial Unicode MS"/>
                <w:lang w:val="sr-Latn-RS"/>
              </w:rPr>
              <w:t>Utorak, 26.03.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50676" w14:textId="10F8BA5C" w:rsidR="00A8402D" w:rsidRPr="002C36E7" w:rsidRDefault="002C36E7">
            <w:pPr>
              <w:pStyle w:val="TableStyle3"/>
              <w:rPr>
                <w:rFonts w:eastAsia="Arial Unicode MS" w:cs="Arial Unicode MS"/>
                <w:lang w:val="sr-Latn-RS"/>
              </w:rPr>
            </w:pPr>
            <w:r>
              <w:rPr>
                <w:rFonts w:eastAsia="Arial Unicode MS" w:cs="Arial Unicode MS"/>
                <w:lang w:val="sr-Latn-RS"/>
              </w:rPr>
              <w:t>Vježba - ciljne javnosti i kreiranje avatara kupca.</w:t>
            </w:r>
          </w:p>
        </w:tc>
      </w:tr>
      <w:tr w:rsidR="008C4990" w14:paraId="4B1B7B94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5CFE5" w14:textId="21B4C4E2" w:rsidR="008C4990" w:rsidRDefault="00091F10">
            <w:pPr>
              <w:pStyle w:val="TableStyle2"/>
            </w:pPr>
            <w:r>
              <w:rPr>
                <w:rFonts w:eastAsia="Arial Unicode MS" w:cs="Arial Unicode MS"/>
                <w:lang w:val="hr-HR"/>
              </w:rPr>
              <w:t>Petak</w:t>
            </w:r>
            <w:r>
              <w:rPr>
                <w:rFonts w:eastAsia="Arial Unicode MS" w:cs="Arial Unicode MS"/>
              </w:rPr>
              <w:t xml:space="preserve">, </w:t>
            </w:r>
            <w:r w:rsidR="005F7868">
              <w:rPr>
                <w:rFonts w:eastAsia="Arial Unicode MS" w:cs="Arial Unicode MS"/>
                <w:lang w:val="hr-HR"/>
              </w:rPr>
              <w:t>29</w:t>
            </w:r>
            <w:r>
              <w:rPr>
                <w:rFonts w:eastAsia="Arial Unicode MS" w:cs="Arial Unicode MS"/>
              </w:rPr>
              <w:t xml:space="preserve">.03. 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5794E" w14:textId="77777777" w:rsidR="008C4990" w:rsidRDefault="00000000">
            <w:pPr>
              <w:pStyle w:val="TableStyle3"/>
            </w:pPr>
            <w:r>
              <w:rPr>
                <w:rFonts w:eastAsia="Arial Unicode MS" w:cs="Arial Unicode MS"/>
              </w:rPr>
              <w:t>KOLOKVIJUM</w:t>
            </w:r>
          </w:p>
        </w:tc>
      </w:tr>
      <w:tr w:rsidR="00A8402D" w14:paraId="425BF72A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0709" w14:textId="26085E9D" w:rsidR="00A8402D" w:rsidRDefault="00A8402D">
            <w:pPr>
              <w:pStyle w:val="TableStyle2"/>
              <w:rPr>
                <w:rFonts w:eastAsia="Arial Unicode MS" w:cs="Arial Unicode MS"/>
                <w:lang w:val="hr-HR"/>
              </w:rPr>
            </w:pPr>
            <w:r>
              <w:rPr>
                <w:rFonts w:eastAsia="Arial Unicode MS" w:cs="Arial Unicode MS"/>
                <w:lang w:val="hr-HR"/>
              </w:rPr>
              <w:t>Utorak, 02.04.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2B664" w14:textId="40F10585" w:rsidR="00A8402D" w:rsidRPr="002C36E7" w:rsidRDefault="002C36E7">
            <w:pPr>
              <w:pStyle w:val="TableStyle3"/>
              <w:rPr>
                <w:rFonts w:eastAsia="Arial Unicode MS" w:cs="Arial Unicode MS"/>
                <w:lang w:val="sr-Latn-RS"/>
              </w:rPr>
            </w:pPr>
            <w:r>
              <w:rPr>
                <w:rFonts w:eastAsia="Arial Unicode MS" w:cs="Arial Unicode MS"/>
                <w:lang w:val="sr-Latn-RS"/>
              </w:rPr>
              <w:t>Primjeri dobre i loše prakse komuniciranja - aktuelna tema.</w:t>
            </w:r>
          </w:p>
        </w:tc>
      </w:tr>
      <w:tr w:rsidR="008C4990" w14:paraId="36A04C81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CBB98" w14:textId="1199525D" w:rsidR="008C4990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Petak, 0</w:t>
            </w:r>
            <w:r w:rsidR="005F7868">
              <w:rPr>
                <w:rFonts w:eastAsia="Arial Unicode MS" w:cs="Arial Unicode MS"/>
                <w:lang w:val="hr-HR"/>
              </w:rPr>
              <w:t>5</w:t>
            </w:r>
            <w:r>
              <w:rPr>
                <w:rFonts w:eastAsia="Arial Unicode MS" w:cs="Arial Unicode MS"/>
              </w:rPr>
              <w:t xml:space="preserve">.04. 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59C0C" w14:textId="77777777" w:rsidR="008C4990" w:rsidRDefault="00000000">
            <w:pPr>
              <w:pStyle w:val="TableStyle3"/>
            </w:pPr>
            <w:r>
              <w:rPr>
                <w:rFonts w:eastAsia="Arial Unicode MS" w:cs="Arial Unicode MS"/>
              </w:rPr>
              <w:t xml:space="preserve">Kanali komunikacije </w:t>
            </w:r>
          </w:p>
        </w:tc>
      </w:tr>
      <w:tr w:rsidR="00A8402D" w14:paraId="04010913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8208D" w14:textId="69D9ADD1" w:rsidR="00A8402D" w:rsidRPr="00A8402D" w:rsidRDefault="00A8402D">
            <w:pPr>
              <w:pStyle w:val="TableStyle2"/>
              <w:rPr>
                <w:rFonts w:eastAsia="Arial Unicode MS" w:cs="Arial Unicode MS"/>
                <w:lang w:val="sr-Latn-RS"/>
              </w:rPr>
            </w:pPr>
            <w:r>
              <w:rPr>
                <w:rFonts w:eastAsia="Arial Unicode MS" w:cs="Arial Unicode MS"/>
                <w:lang w:val="sr-Latn-RS"/>
              </w:rPr>
              <w:t>Utorak, 09.04.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5998F" w14:textId="1927845A" w:rsidR="00A8402D" w:rsidRPr="002C36E7" w:rsidRDefault="002C36E7">
            <w:pPr>
              <w:pStyle w:val="TableStyle3"/>
              <w:rPr>
                <w:rFonts w:eastAsia="Arial Unicode MS" w:cs="Arial Unicode MS"/>
                <w:lang w:val="sr-Latn-RS"/>
              </w:rPr>
            </w:pPr>
            <w:r>
              <w:rPr>
                <w:rFonts w:eastAsia="Arial Unicode MS" w:cs="Arial Unicode MS"/>
                <w:lang w:val="sr-Latn-RS"/>
              </w:rPr>
              <w:t>Vježba - odabir kanala komunikacije i kreiranje objava za društvene mreže.</w:t>
            </w:r>
          </w:p>
        </w:tc>
      </w:tr>
      <w:tr w:rsidR="008C4990" w14:paraId="50E7DF2F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3CA07" w14:textId="1B5418D2" w:rsidR="008C4990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P</w:t>
            </w:r>
            <w:r w:rsidR="00091F10">
              <w:rPr>
                <w:rFonts w:eastAsia="Arial Unicode MS" w:cs="Arial Unicode MS"/>
                <w:lang w:val="hr-HR"/>
              </w:rPr>
              <w:t>etak</w:t>
            </w:r>
            <w:r>
              <w:rPr>
                <w:rFonts w:eastAsia="Arial Unicode MS" w:cs="Arial Unicode MS"/>
              </w:rPr>
              <w:t xml:space="preserve">, </w:t>
            </w:r>
            <w:r w:rsidR="00091F10">
              <w:rPr>
                <w:rFonts w:eastAsia="Arial Unicode MS" w:cs="Arial Unicode MS"/>
                <w:lang w:val="hr-HR"/>
              </w:rPr>
              <w:t>1</w:t>
            </w:r>
            <w:r w:rsidR="005F7868">
              <w:rPr>
                <w:rFonts w:eastAsia="Arial Unicode MS" w:cs="Arial Unicode MS"/>
                <w:lang w:val="hr-HR"/>
              </w:rPr>
              <w:t>2</w:t>
            </w:r>
            <w:r>
              <w:rPr>
                <w:rFonts w:eastAsia="Arial Unicode MS" w:cs="Arial Unicode MS"/>
              </w:rPr>
              <w:t>.04.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A4E3A" w14:textId="0E46ED03" w:rsidR="008C4990" w:rsidRDefault="00753FCB">
            <w:pPr>
              <w:pStyle w:val="TableStyle3"/>
            </w:pPr>
            <w:r>
              <w:rPr>
                <w:rFonts w:eastAsia="Arial Unicode MS" w:cs="Arial Unicode MS"/>
              </w:rPr>
              <w:t>Interna komunikacija</w:t>
            </w:r>
          </w:p>
        </w:tc>
      </w:tr>
      <w:tr w:rsidR="00A8402D" w14:paraId="40EED876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7572A" w14:textId="11863890" w:rsidR="00A8402D" w:rsidRPr="00A8402D" w:rsidRDefault="00A8402D">
            <w:pPr>
              <w:pStyle w:val="TableStyle2"/>
              <w:rPr>
                <w:rFonts w:eastAsia="Arial Unicode MS" w:cs="Arial Unicode MS"/>
                <w:lang w:val="sr-Latn-RS"/>
              </w:rPr>
            </w:pPr>
            <w:r>
              <w:rPr>
                <w:rFonts w:eastAsia="Arial Unicode MS" w:cs="Arial Unicode MS"/>
                <w:lang w:val="sr-Latn-RS"/>
              </w:rPr>
              <w:t>Utorak, 16.04.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7A919" w14:textId="6092473D" w:rsidR="00A8402D" w:rsidRPr="002C36E7" w:rsidRDefault="002C36E7">
            <w:pPr>
              <w:pStyle w:val="TableStyle3"/>
              <w:rPr>
                <w:rFonts w:eastAsia="Arial Unicode MS" w:cs="Arial Unicode MS"/>
                <w:lang w:val="sr-Latn-RS"/>
              </w:rPr>
            </w:pPr>
            <w:r>
              <w:rPr>
                <w:rFonts w:eastAsia="Arial Unicode MS" w:cs="Arial Unicode MS"/>
                <w:lang w:val="sr-Latn-RS"/>
              </w:rPr>
              <w:t>Vježba - smjernice za internu komunikaciju.</w:t>
            </w:r>
          </w:p>
        </w:tc>
      </w:tr>
      <w:tr w:rsidR="008C4990" w14:paraId="129A737E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FF4A" w14:textId="261275E0" w:rsidR="008C4990" w:rsidRDefault="00091F10">
            <w:pPr>
              <w:pStyle w:val="TableStyle2"/>
            </w:pPr>
            <w:r>
              <w:rPr>
                <w:rFonts w:eastAsia="Arial Unicode MS" w:cs="Arial Unicode MS"/>
                <w:lang w:val="hr-HR"/>
              </w:rPr>
              <w:t>Petak</w:t>
            </w:r>
            <w:r>
              <w:rPr>
                <w:rFonts w:eastAsia="Arial Unicode MS" w:cs="Arial Unicode MS"/>
              </w:rPr>
              <w:t xml:space="preserve">, </w:t>
            </w:r>
            <w:r w:rsidR="00753FCB">
              <w:rPr>
                <w:rFonts w:eastAsia="Arial Unicode MS" w:cs="Arial Unicode MS"/>
                <w:lang w:val="hr-HR"/>
              </w:rPr>
              <w:t>19</w:t>
            </w:r>
            <w:r>
              <w:rPr>
                <w:rFonts w:eastAsia="Arial Unicode MS" w:cs="Arial Unicode MS"/>
              </w:rPr>
              <w:t>.04.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3A554" w14:textId="59840BC0" w:rsidR="008C4990" w:rsidRDefault="00753FCB">
            <w:pPr>
              <w:pStyle w:val="TableStyle3"/>
            </w:pPr>
            <w:r>
              <w:rPr>
                <w:rFonts w:eastAsia="Arial Unicode MS" w:cs="Arial Unicode MS"/>
              </w:rPr>
              <w:t>Tehnike javnog nastupa</w:t>
            </w:r>
          </w:p>
        </w:tc>
      </w:tr>
      <w:tr w:rsidR="00A8402D" w14:paraId="08A99BDC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787B3" w14:textId="6D1F98A9" w:rsidR="00A8402D" w:rsidRDefault="00A8402D">
            <w:pPr>
              <w:pStyle w:val="TableStyle2"/>
              <w:rPr>
                <w:rFonts w:eastAsia="Arial Unicode MS" w:cs="Arial Unicode MS"/>
                <w:lang w:val="hr-HR"/>
              </w:rPr>
            </w:pPr>
            <w:r>
              <w:rPr>
                <w:rFonts w:eastAsia="Arial Unicode MS" w:cs="Arial Unicode MS"/>
                <w:lang w:val="hr-HR"/>
              </w:rPr>
              <w:t>Utorak, 23.04.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DD6E3" w14:textId="1ACBF356" w:rsidR="00A8402D" w:rsidRPr="002C36E7" w:rsidRDefault="002C36E7">
            <w:pPr>
              <w:pStyle w:val="TableStyle3"/>
              <w:rPr>
                <w:rFonts w:ascii="Calibri" w:eastAsia="Arial Unicode MS" w:hAnsi="Calibri" w:cs="Calibri"/>
                <w:lang w:val="sr-Latn-RS"/>
              </w:rPr>
            </w:pPr>
            <w:r>
              <w:rPr>
                <w:rFonts w:eastAsia="Arial Unicode MS" w:cs="Arial Unicode MS"/>
                <w:lang w:val="sr-Latn-RS"/>
              </w:rPr>
              <w:t>Prakti</w:t>
            </w:r>
            <w:r>
              <w:rPr>
                <w:rFonts w:ascii="Calibri" w:eastAsia="Arial Unicode MS" w:hAnsi="Calibri" w:cs="Calibri"/>
                <w:lang w:val="sr-Latn-RS"/>
              </w:rPr>
              <w:t>čna vježba</w:t>
            </w:r>
            <w:r w:rsidR="007A3119">
              <w:rPr>
                <w:rFonts w:ascii="Calibri" w:eastAsia="Arial Unicode MS" w:hAnsi="Calibri" w:cs="Calibri"/>
                <w:lang w:val="sr-Latn-RS"/>
              </w:rPr>
              <w:t xml:space="preserve"> – primjena tehnika javnog nastupa</w:t>
            </w:r>
          </w:p>
        </w:tc>
      </w:tr>
      <w:tr w:rsidR="008C4990" w14:paraId="264B626B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14E7E" w14:textId="5297DB99" w:rsidR="008C4990" w:rsidRDefault="00000000">
            <w:pPr>
              <w:pStyle w:val="TableStyle2"/>
            </w:pPr>
            <w:r>
              <w:rPr>
                <w:rFonts w:eastAsia="Arial Unicode MS" w:cs="Arial Unicode MS"/>
              </w:rPr>
              <w:t xml:space="preserve">Petak, </w:t>
            </w:r>
            <w:r w:rsidR="00091F10">
              <w:rPr>
                <w:rFonts w:eastAsia="Arial Unicode MS" w:cs="Arial Unicode MS"/>
                <w:lang w:val="hr-HR"/>
              </w:rPr>
              <w:t>2</w:t>
            </w:r>
            <w:r w:rsidR="00753FCB">
              <w:rPr>
                <w:rFonts w:eastAsia="Arial Unicode MS" w:cs="Arial Unicode MS"/>
                <w:lang w:val="hr-HR"/>
              </w:rPr>
              <w:t>6</w:t>
            </w:r>
            <w:r>
              <w:rPr>
                <w:rFonts w:eastAsia="Arial Unicode MS" w:cs="Arial Unicode MS"/>
              </w:rPr>
              <w:t xml:space="preserve">.04. 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00FB" w14:textId="7CAD39FC" w:rsidR="008C4990" w:rsidRDefault="00753FCB">
            <w:pPr>
              <w:pStyle w:val="TableStyle3"/>
            </w:pPr>
            <w:r>
              <w:rPr>
                <w:rFonts w:eastAsia="Arial Unicode MS" w:cs="Arial Unicode MS"/>
              </w:rPr>
              <w:t>Komunikacija na društvenim mrežama</w:t>
            </w:r>
          </w:p>
        </w:tc>
      </w:tr>
      <w:tr w:rsidR="00A8402D" w14:paraId="380FC9D1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A57FB" w14:textId="6F3F9ECA" w:rsidR="00A8402D" w:rsidRPr="00A8402D" w:rsidRDefault="00A8402D">
            <w:pPr>
              <w:pStyle w:val="TableStyle2"/>
              <w:rPr>
                <w:rFonts w:eastAsia="Arial Unicode MS" w:cs="Arial Unicode MS"/>
                <w:lang w:val="sr-Latn-RS"/>
              </w:rPr>
            </w:pPr>
            <w:r>
              <w:rPr>
                <w:rFonts w:eastAsia="Arial Unicode MS" w:cs="Arial Unicode MS"/>
                <w:lang w:val="sr-Latn-RS"/>
              </w:rPr>
              <w:t>Utorak, 30.04.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E2009" w14:textId="05E71CC2" w:rsidR="00A8402D" w:rsidRDefault="00A8402D">
            <w:pPr>
              <w:pStyle w:val="TableStyle3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lang w:val="hr-HR"/>
              </w:rPr>
              <w:t>Predstavljanje seminarskih radova</w:t>
            </w:r>
            <w:r w:rsidR="006A7449">
              <w:rPr>
                <w:rFonts w:eastAsia="Arial Unicode MS" w:cs="Arial Unicode MS"/>
                <w:lang w:val="hr-HR"/>
              </w:rPr>
              <w:t xml:space="preserve"> </w:t>
            </w:r>
          </w:p>
        </w:tc>
      </w:tr>
      <w:tr w:rsidR="008C4990" w14:paraId="619B16F4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B766B" w14:textId="23874847" w:rsidR="008C4990" w:rsidRDefault="00000000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>P</w:t>
            </w:r>
            <w:r w:rsidR="00091F10">
              <w:rPr>
                <w:rFonts w:eastAsia="Arial Unicode MS" w:cs="Arial Unicode MS"/>
                <w:lang w:val="hr-HR"/>
              </w:rPr>
              <w:t>et</w:t>
            </w:r>
            <w:r>
              <w:rPr>
                <w:rFonts w:eastAsia="Arial Unicode MS" w:cs="Arial Unicode MS"/>
              </w:rPr>
              <w:t xml:space="preserve">ak, </w:t>
            </w:r>
            <w:r w:rsidR="00091F10">
              <w:rPr>
                <w:rFonts w:eastAsia="Arial Unicode MS" w:cs="Arial Unicode MS"/>
                <w:lang w:val="hr-HR"/>
              </w:rPr>
              <w:t>0</w:t>
            </w:r>
            <w:r w:rsidR="00753FCB">
              <w:rPr>
                <w:rFonts w:eastAsia="Arial Unicode MS" w:cs="Arial Unicode MS"/>
                <w:lang w:val="hr-HR"/>
              </w:rPr>
              <w:t>3</w:t>
            </w:r>
            <w:r>
              <w:rPr>
                <w:rFonts w:eastAsia="Arial Unicode MS" w:cs="Arial Unicode MS"/>
              </w:rPr>
              <w:t>.0</w:t>
            </w:r>
            <w:r w:rsidR="00091F10">
              <w:rPr>
                <w:rFonts w:eastAsia="Arial Unicode MS" w:cs="Arial Unicode MS"/>
                <w:lang w:val="hr-HR"/>
              </w:rPr>
              <w:t>5</w:t>
            </w:r>
            <w:r>
              <w:rPr>
                <w:rFonts w:eastAsia="Arial Unicode MS" w:cs="Arial Unicode MS"/>
              </w:rPr>
              <w:t xml:space="preserve">. 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AAEA8" w14:textId="670954F7" w:rsidR="008C4990" w:rsidRPr="00753FCB" w:rsidRDefault="00753FCB">
            <w:pPr>
              <w:pStyle w:val="TableStyle3"/>
              <w:rPr>
                <w:lang w:val="hr-HR"/>
              </w:rPr>
            </w:pPr>
            <w:r>
              <w:rPr>
                <w:lang w:val="hr-HR"/>
              </w:rPr>
              <w:t>PRAZNIK</w:t>
            </w:r>
          </w:p>
        </w:tc>
      </w:tr>
      <w:tr w:rsidR="00A8402D" w14:paraId="6A8A8D87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76202" w14:textId="3A6044FB" w:rsidR="00A8402D" w:rsidRPr="00A8402D" w:rsidRDefault="00A8402D">
            <w:pPr>
              <w:pStyle w:val="TableStyle2"/>
              <w:rPr>
                <w:rFonts w:eastAsia="Arial Unicode MS" w:cs="Arial Unicode MS"/>
                <w:lang w:val="sr-Latn-RS"/>
              </w:rPr>
            </w:pPr>
            <w:r>
              <w:rPr>
                <w:rFonts w:eastAsia="Arial Unicode MS" w:cs="Arial Unicode MS"/>
                <w:lang w:val="sr-Latn-RS"/>
              </w:rPr>
              <w:t>Utorak, 07.05.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79ACE" w14:textId="058D3840" w:rsidR="00A8402D" w:rsidRDefault="00A8402D">
            <w:pPr>
              <w:pStyle w:val="TableStyle3"/>
              <w:rPr>
                <w:lang w:val="hr-HR"/>
              </w:rPr>
            </w:pPr>
            <w:r>
              <w:rPr>
                <w:rFonts w:eastAsia="Arial Unicode MS" w:cs="Arial Unicode MS"/>
                <w:lang w:val="hr-HR"/>
              </w:rPr>
              <w:t>Predstavljanje seminarskih radova</w:t>
            </w:r>
          </w:p>
        </w:tc>
      </w:tr>
      <w:tr w:rsidR="008C4990" w14:paraId="20BA1D5C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C8A20" w14:textId="5A591935" w:rsidR="008C4990" w:rsidRDefault="00091F10">
            <w:pPr>
              <w:pStyle w:val="TableStyle2"/>
            </w:pPr>
            <w:r>
              <w:rPr>
                <w:rFonts w:eastAsia="Arial Unicode MS" w:cs="Arial Unicode MS"/>
                <w:lang w:val="hr-HR"/>
              </w:rPr>
              <w:t>Pe</w:t>
            </w:r>
            <w:r>
              <w:rPr>
                <w:rFonts w:eastAsia="Arial Unicode MS" w:cs="Arial Unicode MS"/>
              </w:rPr>
              <w:t>tak, 1</w:t>
            </w:r>
            <w:r w:rsidR="00753FCB">
              <w:rPr>
                <w:rFonts w:eastAsia="Arial Unicode MS" w:cs="Arial Unicode MS"/>
                <w:lang w:val="hr-HR"/>
              </w:rPr>
              <w:t>0</w:t>
            </w:r>
            <w:r>
              <w:rPr>
                <w:rFonts w:eastAsia="Arial Unicode MS" w:cs="Arial Unicode MS"/>
              </w:rPr>
              <w:t>.0</w:t>
            </w:r>
            <w:r>
              <w:rPr>
                <w:rFonts w:eastAsia="Arial Unicode MS" w:cs="Arial Unicode MS"/>
                <w:lang w:val="hr-HR"/>
              </w:rPr>
              <w:t>5</w:t>
            </w:r>
            <w:r>
              <w:rPr>
                <w:rFonts w:eastAsia="Arial Unicode MS" w:cs="Arial Unicode MS"/>
              </w:rPr>
              <w:t xml:space="preserve">. 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BAE49" w14:textId="5E011F02" w:rsidR="008C4990" w:rsidRDefault="00091F10">
            <w:pPr>
              <w:pStyle w:val="TableStyle3"/>
            </w:pPr>
            <w:r>
              <w:rPr>
                <w:rFonts w:eastAsia="Arial Unicode MS" w:cs="Arial Unicode MS"/>
              </w:rPr>
              <w:t xml:space="preserve">Sponzorstva i društveno odgovorno poslovanje </w:t>
            </w:r>
          </w:p>
        </w:tc>
      </w:tr>
      <w:tr w:rsidR="00A8402D" w14:paraId="33279ED8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BD689" w14:textId="278AB623" w:rsidR="00A8402D" w:rsidRDefault="00A8402D">
            <w:pPr>
              <w:pStyle w:val="TableStyle2"/>
              <w:rPr>
                <w:rFonts w:eastAsia="Arial Unicode MS" w:cs="Arial Unicode MS"/>
                <w:lang w:val="hr-HR"/>
              </w:rPr>
            </w:pPr>
            <w:r>
              <w:rPr>
                <w:rFonts w:eastAsia="Arial Unicode MS" w:cs="Arial Unicode MS"/>
                <w:lang w:val="hr-HR"/>
              </w:rPr>
              <w:t>Utorak, 14.05.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22CA6" w14:textId="1179B7CF" w:rsidR="00A8402D" w:rsidRDefault="00A8402D">
            <w:pPr>
              <w:pStyle w:val="TableStyle3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lang w:val="hr-HR"/>
              </w:rPr>
              <w:t>Predstavljanje seminarskih radova</w:t>
            </w:r>
          </w:p>
        </w:tc>
      </w:tr>
      <w:tr w:rsidR="008C4990" w14:paraId="62485BDE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090C" w14:textId="67DEB6BB" w:rsidR="008C4990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P</w:t>
            </w:r>
            <w:r w:rsidR="00091F10">
              <w:rPr>
                <w:rFonts w:eastAsia="Arial Unicode MS" w:cs="Arial Unicode MS"/>
                <w:lang w:val="hr-HR"/>
              </w:rPr>
              <w:t>et</w:t>
            </w:r>
            <w:r>
              <w:rPr>
                <w:rFonts w:eastAsia="Arial Unicode MS" w:cs="Arial Unicode MS"/>
              </w:rPr>
              <w:t xml:space="preserve">ak, </w:t>
            </w:r>
            <w:r w:rsidR="00091F10">
              <w:rPr>
                <w:rFonts w:eastAsia="Arial Unicode MS" w:cs="Arial Unicode MS"/>
                <w:lang w:val="hr-HR"/>
              </w:rPr>
              <w:t>1</w:t>
            </w:r>
            <w:r w:rsidR="00753FCB">
              <w:rPr>
                <w:rFonts w:eastAsia="Arial Unicode MS" w:cs="Arial Unicode MS"/>
                <w:lang w:val="hr-HR"/>
              </w:rPr>
              <w:t>7</w:t>
            </w:r>
            <w:r>
              <w:rPr>
                <w:rFonts w:eastAsia="Arial Unicode MS" w:cs="Arial Unicode MS"/>
              </w:rPr>
              <w:t>.0</w:t>
            </w:r>
            <w:r w:rsidR="00091F10">
              <w:rPr>
                <w:rFonts w:eastAsia="Arial Unicode MS" w:cs="Arial Unicode MS"/>
                <w:lang w:val="hr-HR"/>
              </w:rPr>
              <w:t>5</w:t>
            </w:r>
            <w:r>
              <w:rPr>
                <w:rFonts w:eastAsia="Arial Unicode MS" w:cs="Arial Unicode MS"/>
              </w:rPr>
              <w:t xml:space="preserve">. 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8D4CC" w14:textId="55AE8211" w:rsidR="008C4990" w:rsidRPr="00091F10" w:rsidRDefault="00091F10">
            <w:pPr>
              <w:pStyle w:val="TableStyle3"/>
              <w:rPr>
                <w:lang w:val="hr-HR"/>
              </w:rPr>
            </w:pPr>
            <w:r>
              <w:rPr>
                <w:rFonts w:eastAsia="Arial Unicode MS" w:cs="Arial Unicode MS"/>
              </w:rPr>
              <w:t>Korporativna filantropija</w:t>
            </w:r>
            <w:r>
              <w:rPr>
                <w:rFonts w:eastAsia="Arial Unicode MS" w:cs="Arial Unicode MS"/>
                <w:lang w:val="hr-HR"/>
              </w:rPr>
              <w:t xml:space="preserve"> </w:t>
            </w:r>
          </w:p>
        </w:tc>
      </w:tr>
      <w:tr w:rsidR="00A8402D" w14:paraId="20D0593A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A4343" w14:textId="1659EAB3" w:rsidR="00A8402D" w:rsidRPr="00A8402D" w:rsidRDefault="00A8402D">
            <w:pPr>
              <w:pStyle w:val="TableStyle2"/>
              <w:rPr>
                <w:rFonts w:eastAsia="Arial Unicode MS" w:cs="Arial Unicode MS"/>
                <w:lang w:val="sr-Latn-RS"/>
              </w:rPr>
            </w:pPr>
            <w:r>
              <w:rPr>
                <w:rFonts w:eastAsia="Arial Unicode MS" w:cs="Arial Unicode MS"/>
                <w:lang w:val="sr-Latn-RS"/>
              </w:rPr>
              <w:t>Utorak, 21.05.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4239" w14:textId="72461271" w:rsidR="00A8402D" w:rsidRPr="00A8402D" w:rsidRDefault="00A8402D">
            <w:pPr>
              <w:pStyle w:val="TableStyle3"/>
              <w:rPr>
                <w:rFonts w:eastAsia="Arial Unicode MS" w:cs="Arial Unicode MS"/>
                <w:lang w:val="sr-Latn-RS"/>
              </w:rPr>
            </w:pPr>
            <w:r>
              <w:rPr>
                <w:rFonts w:eastAsia="Arial Unicode MS" w:cs="Arial Unicode MS"/>
                <w:lang w:val="sr-Latn-RS"/>
              </w:rPr>
              <w:t>PRAZNIK</w:t>
            </w:r>
          </w:p>
        </w:tc>
      </w:tr>
      <w:tr w:rsidR="00753FCB" w14:paraId="2741C70C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B68A8" w14:textId="4BCC5B57" w:rsidR="00753FCB" w:rsidRPr="00753FCB" w:rsidRDefault="00753FCB">
            <w:pPr>
              <w:pStyle w:val="TableStyle2"/>
              <w:rPr>
                <w:rFonts w:eastAsia="Arial Unicode MS" w:cs="Arial Unicode MS"/>
                <w:lang w:val="hr-HR"/>
              </w:rPr>
            </w:pPr>
            <w:r>
              <w:rPr>
                <w:rFonts w:eastAsia="Arial Unicode MS" w:cs="Arial Unicode MS"/>
                <w:lang w:val="hr-HR"/>
              </w:rPr>
              <w:t>Petak, 24.05.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AD59D" w14:textId="79D906F9" w:rsidR="00753FCB" w:rsidRDefault="00753FCB">
            <w:pPr>
              <w:pStyle w:val="TableStyle3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lang w:val="hr-HR"/>
              </w:rPr>
              <w:t>Lobiranje</w:t>
            </w:r>
          </w:p>
        </w:tc>
      </w:tr>
      <w:tr w:rsidR="00A8402D" w14:paraId="5B0A9209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63616" w14:textId="23A21931" w:rsidR="00A8402D" w:rsidRDefault="00A8402D">
            <w:pPr>
              <w:pStyle w:val="TableStyle2"/>
              <w:rPr>
                <w:rFonts w:eastAsia="Arial Unicode MS" w:cs="Arial Unicode MS"/>
                <w:lang w:val="hr-HR"/>
              </w:rPr>
            </w:pPr>
            <w:r>
              <w:rPr>
                <w:rFonts w:eastAsia="Arial Unicode MS" w:cs="Arial Unicode MS"/>
                <w:lang w:val="hr-HR"/>
              </w:rPr>
              <w:t>Utorak, 28.05.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5D78A" w14:textId="3B841FAB" w:rsidR="00A8402D" w:rsidRDefault="00A8402D">
            <w:pPr>
              <w:pStyle w:val="TableStyle3"/>
              <w:rPr>
                <w:rFonts w:eastAsia="Arial Unicode MS" w:cs="Arial Unicode MS"/>
                <w:lang w:val="hr-HR"/>
              </w:rPr>
            </w:pPr>
            <w:r>
              <w:rPr>
                <w:rFonts w:eastAsia="Arial Unicode MS" w:cs="Arial Unicode MS"/>
                <w:lang w:val="hr-HR"/>
              </w:rPr>
              <w:t>Predstavljanje seminarskih radova</w:t>
            </w:r>
          </w:p>
        </w:tc>
      </w:tr>
      <w:tr w:rsidR="008C4990" w14:paraId="0E724D02" w14:textId="77777777" w:rsidTr="00091F10">
        <w:tblPrEx>
          <w:shd w:val="clear" w:color="auto" w:fill="7AC4EA"/>
        </w:tblPrEx>
        <w:trPr>
          <w:trHeight w:val="280"/>
        </w:trPr>
        <w:tc>
          <w:tcPr>
            <w:tcW w:w="2371" w:type="dxa"/>
            <w:tcBorders>
              <w:top w:val="single" w:sz="4" w:space="0" w:color="FEFEFE"/>
              <w:left w:val="nil"/>
              <w:bottom w:val="single" w:sz="4" w:space="0" w:color="FEFEFE"/>
              <w:right w:val="single" w:sz="12" w:space="0" w:color="7ACBF1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9319D" w14:textId="33649EE0" w:rsidR="008C4990" w:rsidRDefault="00000000">
            <w:pPr>
              <w:pStyle w:val="TableStyle2"/>
            </w:pPr>
            <w:r>
              <w:rPr>
                <w:rFonts w:eastAsia="Arial Unicode MS" w:cs="Arial Unicode MS"/>
              </w:rPr>
              <w:t xml:space="preserve">Petak, </w:t>
            </w:r>
            <w:r w:rsidR="00753FCB">
              <w:rPr>
                <w:rFonts w:eastAsia="Arial Unicode MS" w:cs="Arial Unicode MS"/>
                <w:lang w:val="hr-HR"/>
              </w:rPr>
              <w:t>31</w:t>
            </w:r>
            <w:r>
              <w:rPr>
                <w:rFonts w:eastAsia="Arial Unicode MS" w:cs="Arial Unicode MS"/>
              </w:rPr>
              <w:t>.0</w:t>
            </w:r>
            <w:r w:rsidR="00091F10">
              <w:rPr>
                <w:rFonts w:eastAsia="Arial Unicode MS" w:cs="Arial Unicode MS"/>
                <w:lang w:val="hr-HR"/>
              </w:rPr>
              <w:t>5</w:t>
            </w:r>
            <w:r>
              <w:rPr>
                <w:rFonts w:eastAsia="Arial Unicode MS" w:cs="Arial Unicode MS"/>
              </w:rPr>
              <w:t xml:space="preserve">. </w:t>
            </w:r>
          </w:p>
        </w:tc>
        <w:tc>
          <w:tcPr>
            <w:tcW w:w="7225" w:type="dxa"/>
            <w:tcBorders>
              <w:top w:val="single" w:sz="4" w:space="0" w:color="FEFEFE"/>
              <w:left w:val="single" w:sz="12" w:space="0" w:color="7ACBF1"/>
              <w:bottom w:val="single" w:sz="4" w:space="0" w:color="FEFEFE"/>
              <w:right w:val="nil"/>
            </w:tcBorders>
            <w:shd w:val="clear" w:color="auto" w:fill="7AC4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0FEF8" w14:textId="278263A4" w:rsidR="008C4990" w:rsidRDefault="00091F10">
            <w:pPr>
              <w:pStyle w:val="TableStyle3"/>
            </w:pPr>
            <w:r>
              <w:rPr>
                <w:rFonts w:eastAsia="Arial Unicode MS" w:cs="Arial Unicode MS"/>
              </w:rPr>
              <w:t>POPRAVNI KOLOKVIJUM</w:t>
            </w:r>
          </w:p>
        </w:tc>
      </w:tr>
    </w:tbl>
    <w:p w14:paraId="50B0D8C4" w14:textId="77777777" w:rsidR="008C4990" w:rsidRDefault="008C4990">
      <w:pPr>
        <w:pStyle w:val="Body"/>
      </w:pPr>
    </w:p>
    <w:p w14:paraId="2B78BCF5" w14:textId="77777777" w:rsidR="008C4990" w:rsidRDefault="00000000">
      <w:pPr>
        <w:pStyle w:val="Heading"/>
      </w:pPr>
      <w:r>
        <w:t>Pravila polaganja ispita</w:t>
      </w:r>
    </w:p>
    <w:p w14:paraId="51F5D01B" w14:textId="77777777" w:rsidR="008C4990" w:rsidRDefault="008C4990">
      <w:pPr>
        <w:pStyle w:val="Body2"/>
      </w:pPr>
    </w:p>
    <w:p w14:paraId="5E3D7220" w14:textId="362FBCE9" w:rsidR="008C4990" w:rsidRPr="00091F10" w:rsidRDefault="00000000">
      <w:pPr>
        <w:pStyle w:val="Body2"/>
        <w:rPr>
          <w:rFonts w:ascii="Calibri" w:hAnsi="Calibri" w:cs="Calibri"/>
        </w:rPr>
      </w:pPr>
      <w:r w:rsidRPr="00091F10">
        <w:rPr>
          <w:rFonts w:ascii="Calibri" w:hAnsi="Calibri" w:cs="Calibri"/>
        </w:rPr>
        <w:t xml:space="preserve">Tokom semestra biće bodovane sljedeće aktivnosti: kolokvijum (max 30 poena), aktivnost na časovima (max </w:t>
      </w:r>
      <w:r w:rsidR="00091F10" w:rsidRPr="00091F10">
        <w:rPr>
          <w:rFonts w:ascii="Calibri" w:hAnsi="Calibri" w:cs="Calibri"/>
          <w:lang w:val="hr-HR"/>
        </w:rPr>
        <w:t>1</w:t>
      </w:r>
      <w:r w:rsidRPr="00091F10">
        <w:rPr>
          <w:rFonts w:ascii="Calibri" w:hAnsi="Calibri" w:cs="Calibri"/>
        </w:rPr>
        <w:t xml:space="preserve">0 poena), seminarski rad (max </w:t>
      </w:r>
      <w:r w:rsidR="00091F10" w:rsidRPr="00091F10">
        <w:rPr>
          <w:rFonts w:ascii="Calibri" w:hAnsi="Calibri" w:cs="Calibri"/>
          <w:lang w:val="hr-HR"/>
        </w:rPr>
        <w:t>3</w:t>
      </w:r>
      <w:r w:rsidRPr="00091F10">
        <w:rPr>
          <w:rFonts w:ascii="Calibri" w:hAnsi="Calibri" w:cs="Calibri"/>
        </w:rPr>
        <w:t>0 poena) i usmeni završni ispit (max 30 poena). Da bi položio ispit student treba da kroz različitu kombinaciju aktivnosti prikupi minimum 50 poena (50-59 poena ocjena E, 60-69 poena ocjena D, 70-79 poena ocjena C, 80-89 poena ocjena B i 90-100 poena ocjena A).</w:t>
      </w:r>
    </w:p>
    <w:p w14:paraId="7650190D" w14:textId="77777777" w:rsidR="008C4990" w:rsidRPr="00091F10" w:rsidRDefault="008C4990">
      <w:pPr>
        <w:pStyle w:val="Body2"/>
        <w:rPr>
          <w:rFonts w:asciiTheme="minorHAnsi" w:hAnsiTheme="minorHAnsi"/>
        </w:rPr>
      </w:pPr>
    </w:p>
    <w:p w14:paraId="79DE0958" w14:textId="77777777" w:rsidR="008C4990" w:rsidRPr="00091F10" w:rsidRDefault="00000000">
      <w:pPr>
        <w:pStyle w:val="Body2"/>
        <w:rPr>
          <w:rFonts w:ascii="Calibri" w:hAnsi="Calibri" w:cs="Calibri"/>
        </w:rPr>
      </w:pPr>
      <w:r w:rsidRPr="00091F10">
        <w:rPr>
          <w:rFonts w:ascii="Calibri" w:hAnsi="Calibri" w:cs="Calibri"/>
        </w:rPr>
        <w:t xml:space="preserve">Datum održavanja kolokvijuma je unaprijed definisan. </w:t>
      </w:r>
      <w:r w:rsidRPr="00091F10">
        <w:rPr>
          <w:rFonts w:ascii="Calibri" w:hAnsi="Calibri" w:cs="Calibri"/>
          <w:b/>
          <w:bCs/>
        </w:rPr>
        <w:t>Kolokvijum</w:t>
      </w:r>
      <w:r w:rsidRPr="00091F10">
        <w:rPr>
          <w:rFonts w:ascii="Calibri" w:hAnsi="Calibri" w:cs="Calibri"/>
        </w:rPr>
        <w:t xml:space="preserve"> se sastoji od 20 pitanja na zaokruživanje. U završnu ocjenu ulazi broj osvojenih poena. </w:t>
      </w:r>
    </w:p>
    <w:p w14:paraId="56197E76" w14:textId="77777777" w:rsidR="008C4990" w:rsidRPr="00091F10" w:rsidRDefault="008C4990">
      <w:pPr>
        <w:pStyle w:val="Body2"/>
        <w:rPr>
          <w:rFonts w:ascii="Calibri" w:hAnsi="Calibri" w:cs="Calibri"/>
        </w:rPr>
      </w:pPr>
    </w:p>
    <w:p w14:paraId="2B155AB2" w14:textId="198AADBA" w:rsidR="008C4990" w:rsidRPr="00091F10" w:rsidRDefault="00000000">
      <w:pPr>
        <w:pStyle w:val="Body2"/>
        <w:rPr>
          <w:rFonts w:ascii="Calibri" w:hAnsi="Calibri" w:cs="Calibri"/>
        </w:rPr>
      </w:pPr>
      <w:r w:rsidRPr="00091F10">
        <w:rPr>
          <w:rFonts w:ascii="Calibri" w:hAnsi="Calibri" w:cs="Calibri"/>
        </w:rPr>
        <w:t xml:space="preserve">Tokom cijelog semestra se vodi evidencija o </w:t>
      </w:r>
      <w:r w:rsidRPr="00091F10">
        <w:rPr>
          <w:rFonts w:ascii="Calibri" w:hAnsi="Calibri" w:cs="Calibri"/>
          <w:b/>
          <w:bCs/>
        </w:rPr>
        <w:t>aktivnostima na časovima</w:t>
      </w:r>
      <w:r w:rsidRPr="00091F10">
        <w:rPr>
          <w:rFonts w:ascii="Calibri" w:hAnsi="Calibri" w:cs="Calibri"/>
        </w:rPr>
        <w:t xml:space="preserve"> predavanja i vježbi.</w:t>
      </w:r>
    </w:p>
    <w:p w14:paraId="0630CF3B" w14:textId="77777777" w:rsidR="00091F10" w:rsidRPr="00091F10" w:rsidRDefault="00091F10">
      <w:pPr>
        <w:pStyle w:val="Body2"/>
        <w:rPr>
          <w:rFonts w:ascii="Calibri" w:hAnsi="Calibri" w:cs="Calibri"/>
          <w:b/>
          <w:bCs/>
        </w:rPr>
      </w:pPr>
    </w:p>
    <w:p w14:paraId="12B8287F" w14:textId="26BB9ADD" w:rsidR="008C4990" w:rsidRPr="00091F10" w:rsidRDefault="00000000">
      <w:pPr>
        <w:pStyle w:val="Body2"/>
        <w:rPr>
          <w:rFonts w:ascii="Calibri" w:hAnsi="Calibri" w:cs="Calibri"/>
        </w:rPr>
      </w:pPr>
      <w:r w:rsidRPr="00091F10">
        <w:rPr>
          <w:rFonts w:ascii="Calibri" w:hAnsi="Calibri" w:cs="Calibri"/>
          <w:b/>
          <w:bCs/>
        </w:rPr>
        <w:t>Seminarski</w:t>
      </w:r>
      <w:r w:rsidRPr="00091F10">
        <w:rPr>
          <w:rFonts w:ascii="Calibri" w:hAnsi="Calibri" w:cs="Calibri"/>
        </w:rPr>
        <w:t xml:space="preserve"> rad se radi </w:t>
      </w:r>
      <w:r w:rsidR="00091F10" w:rsidRPr="00091F10">
        <w:rPr>
          <w:rFonts w:ascii="Calibri" w:hAnsi="Calibri" w:cs="Calibri"/>
          <w:lang w:val="hr-HR"/>
        </w:rPr>
        <w:t>pojedinačno</w:t>
      </w:r>
      <w:r w:rsidRPr="00091F10">
        <w:rPr>
          <w:rFonts w:ascii="Calibri" w:hAnsi="Calibri" w:cs="Calibri"/>
        </w:rPr>
        <w:t xml:space="preserve">. Zadatak je izrada komunikacione strategije na konkretnom primjeru. </w:t>
      </w:r>
    </w:p>
    <w:p w14:paraId="3DF64DA7" w14:textId="77777777" w:rsidR="008C4990" w:rsidRPr="00091F10" w:rsidRDefault="008C4990">
      <w:pPr>
        <w:pStyle w:val="Body2"/>
        <w:rPr>
          <w:rFonts w:ascii="Calibri" w:hAnsi="Calibri" w:cs="Calibri"/>
        </w:rPr>
      </w:pPr>
    </w:p>
    <w:p w14:paraId="2D0DDE61" w14:textId="1D5453B1" w:rsidR="008C4990" w:rsidRPr="00091F10" w:rsidRDefault="00000000">
      <w:pPr>
        <w:pStyle w:val="Body2"/>
        <w:rPr>
          <w:rFonts w:ascii="Calibri" w:hAnsi="Calibri" w:cs="Calibri"/>
        </w:rPr>
      </w:pPr>
      <w:r w:rsidRPr="00091F10">
        <w:rPr>
          <w:rFonts w:ascii="Calibri" w:hAnsi="Calibri" w:cs="Calibri"/>
          <w:b/>
          <w:bCs/>
        </w:rPr>
        <w:t xml:space="preserve">Završni ispit </w:t>
      </w:r>
      <w:r w:rsidRPr="00091F10">
        <w:rPr>
          <w:rFonts w:ascii="Calibri" w:hAnsi="Calibri" w:cs="Calibri"/>
        </w:rPr>
        <w:t>je usmeni ispit koji obuhvata cjelokupno gradivo.</w:t>
      </w:r>
    </w:p>
    <w:p w14:paraId="793CC746" w14:textId="77777777" w:rsidR="008C4990" w:rsidRDefault="008C4990">
      <w:pPr>
        <w:pStyle w:val="Body2"/>
      </w:pPr>
    </w:p>
    <w:p w14:paraId="2BB5AFFB" w14:textId="77777777" w:rsidR="008C4990" w:rsidRDefault="008C4990">
      <w:pPr>
        <w:pStyle w:val="Body2"/>
      </w:pPr>
    </w:p>
    <w:p w14:paraId="742D0B38" w14:textId="77777777" w:rsidR="008C4990" w:rsidRDefault="00000000">
      <w:pPr>
        <w:pStyle w:val="Heading"/>
      </w:pPr>
      <w:r>
        <w:t>Važni datumi</w:t>
      </w:r>
    </w:p>
    <w:p w14:paraId="7F1457C7" w14:textId="77777777" w:rsidR="008C4990" w:rsidRDefault="008C4990">
      <w:pPr>
        <w:pStyle w:val="Body2"/>
      </w:pPr>
    </w:p>
    <w:p w14:paraId="0A9FE0C8" w14:textId="0B16BCC3" w:rsidR="008C4990" w:rsidRPr="00091F10" w:rsidRDefault="00000000">
      <w:pPr>
        <w:pStyle w:val="Body2"/>
        <w:numPr>
          <w:ilvl w:val="0"/>
          <w:numId w:val="2"/>
        </w:numPr>
        <w:rPr>
          <w:rFonts w:ascii="Calibri" w:hAnsi="Calibri" w:cs="Calibri"/>
        </w:rPr>
      </w:pPr>
      <w:r w:rsidRPr="00091F10">
        <w:rPr>
          <w:rFonts w:ascii="Calibri" w:hAnsi="Calibri" w:cs="Calibri"/>
        </w:rPr>
        <w:t xml:space="preserve">Kolokvijum: </w:t>
      </w:r>
      <w:r w:rsidR="00753FCB">
        <w:rPr>
          <w:rFonts w:ascii="Calibri" w:hAnsi="Calibri" w:cs="Calibri"/>
          <w:b/>
          <w:bCs/>
          <w:lang w:val="hr-HR"/>
        </w:rPr>
        <w:t>29</w:t>
      </w:r>
      <w:r w:rsidRPr="00091F10">
        <w:rPr>
          <w:rFonts w:ascii="Calibri" w:hAnsi="Calibri" w:cs="Calibri"/>
          <w:b/>
          <w:bCs/>
        </w:rPr>
        <w:t xml:space="preserve">. mart </w:t>
      </w:r>
    </w:p>
    <w:p w14:paraId="327F1127" w14:textId="3E6644E5" w:rsidR="008C4990" w:rsidRPr="00091F10" w:rsidRDefault="00000000">
      <w:pPr>
        <w:pStyle w:val="Body2"/>
        <w:numPr>
          <w:ilvl w:val="0"/>
          <w:numId w:val="2"/>
        </w:numPr>
        <w:rPr>
          <w:rFonts w:ascii="Calibri" w:hAnsi="Calibri" w:cs="Calibri"/>
        </w:rPr>
      </w:pPr>
      <w:r w:rsidRPr="00091F10">
        <w:rPr>
          <w:rFonts w:ascii="Calibri" w:hAnsi="Calibri" w:cs="Calibri"/>
        </w:rPr>
        <w:t xml:space="preserve">Popravni kolokvijum: </w:t>
      </w:r>
      <w:r w:rsidR="00753FCB">
        <w:rPr>
          <w:rFonts w:ascii="Calibri" w:hAnsi="Calibri" w:cs="Calibri"/>
          <w:b/>
          <w:bCs/>
          <w:lang w:val="hr-HR"/>
        </w:rPr>
        <w:t>31</w:t>
      </w:r>
      <w:r w:rsidRPr="00091F10">
        <w:rPr>
          <w:rFonts w:ascii="Calibri" w:hAnsi="Calibri" w:cs="Calibri"/>
          <w:b/>
          <w:bCs/>
        </w:rPr>
        <w:t xml:space="preserve">. </w:t>
      </w:r>
      <w:r w:rsidR="00091F10" w:rsidRPr="00091F10">
        <w:rPr>
          <w:rFonts w:ascii="Calibri" w:hAnsi="Calibri" w:cs="Calibri"/>
          <w:b/>
          <w:bCs/>
          <w:lang w:val="hr-HR"/>
        </w:rPr>
        <w:t>m</w:t>
      </w:r>
      <w:r w:rsidRPr="00091F10">
        <w:rPr>
          <w:rFonts w:ascii="Calibri" w:hAnsi="Calibri" w:cs="Calibri"/>
          <w:b/>
          <w:bCs/>
        </w:rPr>
        <w:t>a</w:t>
      </w:r>
      <w:r w:rsidR="00091F10" w:rsidRPr="00091F10">
        <w:rPr>
          <w:rFonts w:ascii="Calibri" w:hAnsi="Calibri" w:cs="Calibri"/>
          <w:b/>
          <w:bCs/>
          <w:lang w:val="hr-HR"/>
        </w:rPr>
        <w:t>j</w:t>
      </w:r>
    </w:p>
    <w:p w14:paraId="5B55E43E" w14:textId="77777777" w:rsidR="008C4990" w:rsidRDefault="008C4990">
      <w:pPr>
        <w:pStyle w:val="Body2"/>
        <w:rPr>
          <w:b/>
          <w:bCs/>
        </w:rPr>
      </w:pPr>
    </w:p>
    <w:p w14:paraId="092205DA" w14:textId="77777777" w:rsidR="008C4990" w:rsidRDefault="008C4990">
      <w:pPr>
        <w:pStyle w:val="Heading"/>
      </w:pPr>
    </w:p>
    <w:p w14:paraId="7947422D" w14:textId="77777777" w:rsidR="008C4990" w:rsidRDefault="00000000">
      <w:pPr>
        <w:pStyle w:val="Heading"/>
      </w:pPr>
      <w:r>
        <w:t>Literatura</w:t>
      </w:r>
    </w:p>
    <w:p w14:paraId="3DC2AB37" w14:textId="77777777" w:rsidR="008C4990" w:rsidRDefault="008C4990">
      <w:pPr>
        <w:pStyle w:val="Body2"/>
      </w:pPr>
    </w:p>
    <w:p w14:paraId="702F21FD" w14:textId="77777777" w:rsidR="008C4990" w:rsidRPr="00091F10" w:rsidRDefault="00000000">
      <w:pPr>
        <w:pStyle w:val="Body2"/>
        <w:numPr>
          <w:ilvl w:val="0"/>
          <w:numId w:val="4"/>
        </w:numPr>
        <w:rPr>
          <w:rFonts w:ascii="Calibri" w:hAnsi="Calibri" w:cs="Calibri"/>
        </w:rPr>
      </w:pPr>
      <w:r w:rsidRPr="00091F10">
        <w:rPr>
          <w:rFonts w:ascii="Calibri" w:hAnsi="Calibri" w:cs="Calibri"/>
        </w:rPr>
        <w:t xml:space="preserve">Tkalac Verčić, Ana, “Odnosi s javnošću”, Hrvatska udruga za odnose s javnošću, Zagreb, 2015. Godina </w:t>
      </w:r>
      <w:r w:rsidRPr="00091F10">
        <w:rPr>
          <w:rFonts w:ascii="Calibri" w:hAnsi="Calibri" w:cs="Calibri"/>
        </w:rPr>
        <w:tab/>
      </w:r>
    </w:p>
    <w:p w14:paraId="5B37CBEA" w14:textId="77777777" w:rsidR="008C4990" w:rsidRPr="00091F10" w:rsidRDefault="008C4990">
      <w:pPr>
        <w:pStyle w:val="Body2"/>
        <w:rPr>
          <w:rFonts w:ascii="Calibri" w:hAnsi="Calibri" w:cs="Calibri"/>
        </w:rPr>
      </w:pPr>
    </w:p>
    <w:p w14:paraId="0696A428" w14:textId="77777777" w:rsidR="008C4990" w:rsidRPr="00091F10" w:rsidRDefault="00000000">
      <w:pPr>
        <w:pStyle w:val="Body2"/>
        <w:rPr>
          <w:rFonts w:ascii="Calibri" w:hAnsi="Calibri" w:cs="Calibri"/>
        </w:rPr>
      </w:pPr>
      <w:r w:rsidRPr="00091F10">
        <w:rPr>
          <w:rFonts w:ascii="Calibri" w:hAnsi="Calibri" w:cs="Calibri"/>
        </w:rPr>
        <w:t>2.   Shel Holtz, Korporativni razgovori – vodič za provedbu učinkovite i prikladne interne komunikacije, Zagreb, Hrvatska udruga za odnose s javnošću, 2007.</w:t>
      </w:r>
    </w:p>
    <w:p w14:paraId="5C244555" w14:textId="77777777" w:rsidR="008C4990" w:rsidRPr="00091F10" w:rsidRDefault="008C4990">
      <w:pPr>
        <w:pStyle w:val="Body2"/>
        <w:rPr>
          <w:rFonts w:ascii="Calibri" w:hAnsi="Calibri" w:cs="Calibri"/>
        </w:rPr>
      </w:pPr>
    </w:p>
    <w:p w14:paraId="7684AD8F" w14:textId="77777777" w:rsidR="008C4990" w:rsidRPr="00091F10" w:rsidRDefault="00000000">
      <w:pPr>
        <w:pStyle w:val="Body2"/>
        <w:rPr>
          <w:rFonts w:ascii="Calibri" w:hAnsi="Calibri" w:cs="Calibri"/>
        </w:rPr>
      </w:pPr>
      <w:r w:rsidRPr="00091F10">
        <w:rPr>
          <w:rFonts w:ascii="Calibri" w:hAnsi="Calibri" w:cs="Calibri"/>
        </w:rPr>
        <w:t>3.    Lester Potter, Komunikacijski plan: srž strateških komunikacija,Zagreb, Hrvatska udruga za odnose s javnošću, 2007.</w:t>
      </w:r>
    </w:p>
    <w:p w14:paraId="5B03456D" w14:textId="77777777" w:rsidR="008C4990" w:rsidRDefault="008C4990">
      <w:pPr>
        <w:pStyle w:val="Body2"/>
      </w:pPr>
    </w:p>
    <w:sectPr w:rsidR="008C4990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8C1A" w14:textId="77777777" w:rsidR="00BD63CA" w:rsidRDefault="00BD63CA">
      <w:r>
        <w:separator/>
      </w:r>
    </w:p>
  </w:endnote>
  <w:endnote w:type="continuationSeparator" w:id="0">
    <w:p w14:paraId="3F16DC50" w14:textId="77777777" w:rsidR="00BD63CA" w:rsidRDefault="00BD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Didot">
    <w:altName w:val="Arial"/>
    <w:charset w:val="B1"/>
    <w:family w:val="auto"/>
    <w:pitch w:val="variable"/>
    <w:sig w:usb0="80000867" w:usb1="00000000" w:usb2="00000000" w:usb3="00000000" w:csb0="000001F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7095" w14:textId="77777777" w:rsidR="008C4990" w:rsidRDefault="00000000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hAnsi="Helvetica"/>
        <w:caps/>
        <w:color w:val="008CB4"/>
        <w:sz w:val="20"/>
        <w:szCs w:val="20"/>
      </w:rPr>
      <w:t>Plan I program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C7193B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3D78" w14:textId="77777777" w:rsidR="00BD63CA" w:rsidRDefault="00BD63CA">
      <w:r>
        <w:separator/>
      </w:r>
    </w:p>
  </w:footnote>
  <w:footnote w:type="continuationSeparator" w:id="0">
    <w:p w14:paraId="0051229C" w14:textId="77777777" w:rsidR="00BD63CA" w:rsidRDefault="00BD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82D7" w14:textId="77777777" w:rsidR="008C4990" w:rsidRDefault="00000000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05C2B99" wp14:editId="2B016659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FC02F08" wp14:editId="3AD949C8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309F"/>
    <w:multiLevelType w:val="hybridMultilevel"/>
    <w:tmpl w:val="68C0275E"/>
    <w:numStyleLink w:val="Numbered"/>
  </w:abstractNum>
  <w:abstractNum w:abstractNumId="1" w15:restartNumberingAfterBreak="0">
    <w:nsid w:val="24B903CE"/>
    <w:multiLevelType w:val="hybridMultilevel"/>
    <w:tmpl w:val="68C0275E"/>
    <w:styleLink w:val="Numbered"/>
    <w:lvl w:ilvl="0" w:tplc="90B284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0AD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8070F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18552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42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16C3E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081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E4A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7CF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BB91242"/>
    <w:multiLevelType w:val="hybridMultilevel"/>
    <w:tmpl w:val="4CE0B6AC"/>
    <w:numStyleLink w:val="Bullet"/>
  </w:abstractNum>
  <w:abstractNum w:abstractNumId="3" w15:restartNumberingAfterBreak="0">
    <w:nsid w:val="6503010E"/>
    <w:multiLevelType w:val="hybridMultilevel"/>
    <w:tmpl w:val="4CE0B6AC"/>
    <w:styleLink w:val="Bullet"/>
    <w:lvl w:ilvl="0" w:tplc="5EC637F4">
      <w:start w:val="1"/>
      <w:numFmt w:val="bullet"/>
      <w:lvlText w:val="•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1" w:tplc="16ECAA1A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2" w:tplc="53B0EE08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3" w:tplc="65FC0960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4" w:tplc="27B6BB3C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5" w:tplc="63A06CCA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6" w:tplc="E1D06394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7" w:tplc="9402BF7E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8" w:tplc="FEB85D86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</w:abstractNum>
  <w:num w:numId="1" w16cid:durableId="1238520259">
    <w:abstractNumId w:val="3"/>
  </w:num>
  <w:num w:numId="2" w16cid:durableId="1762214080">
    <w:abstractNumId w:val="2"/>
  </w:num>
  <w:num w:numId="3" w16cid:durableId="1741250161">
    <w:abstractNumId w:val="1"/>
  </w:num>
  <w:num w:numId="4" w16cid:durableId="146191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90"/>
    <w:rsid w:val="00075A4E"/>
    <w:rsid w:val="00091F10"/>
    <w:rsid w:val="00217087"/>
    <w:rsid w:val="002C36E7"/>
    <w:rsid w:val="00360C61"/>
    <w:rsid w:val="005F7868"/>
    <w:rsid w:val="006A7449"/>
    <w:rsid w:val="006E5A68"/>
    <w:rsid w:val="00753FCB"/>
    <w:rsid w:val="0078175E"/>
    <w:rsid w:val="007A3119"/>
    <w:rsid w:val="008C4990"/>
    <w:rsid w:val="009B5EA9"/>
    <w:rsid w:val="00A8402D"/>
    <w:rsid w:val="00AA7D19"/>
    <w:rsid w:val="00AD609A"/>
    <w:rsid w:val="00BD63CA"/>
    <w:rsid w:val="00C7193B"/>
    <w:rsid w:val="00E93BD7"/>
    <w:rsid w:val="00F9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8980"/>
  <w15:docId w15:val="{C6D8CF44-CB3A-D34E-9592-9B3D0255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2"/>
    <w:uiPriority w:val="10"/>
    <w:qFormat/>
    <w:pPr>
      <w:keepNext/>
      <w:spacing w:before="220" w:after="300" w:line="192" w:lineRule="auto"/>
      <w:outlineLvl w:val="0"/>
    </w:pPr>
    <w:rPr>
      <w:rFonts w:ascii="Didot" w:hAnsi="Didot" w:cs="Arial Unicode MS"/>
      <w:color w:val="008CB4"/>
      <w:spacing w:val="-8"/>
      <w:sz w:val="84"/>
      <w:szCs w:val="8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2"/>
    <w:uiPriority w:val="11"/>
    <w:qFormat/>
    <w:pPr>
      <w:spacing w:line="288" w:lineRule="auto"/>
      <w:outlineLvl w:val="1"/>
    </w:pPr>
    <w:rPr>
      <w:rFonts w:ascii="Helvetica" w:hAnsi="Helvetica" w:cs="Arial Unicode MS"/>
      <w:b/>
      <w:bCs/>
      <w:color w:val="575452"/>
      <w:spacing w:val="7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2"/>
    <w:pPr>
      <w:spacing w:before="60" w:after="180"/>
      <w:jc w:val="center"/>
      <w:outlineLvl w:val="2"/>
    </w:pPr>
    <w:rPr>
      <w:rFonts w:ascii="Helvetica" w:hAnsi="Helvetica" w:cs="Arial Unicode MS"/>
      <w:b/>
      <w:bCs/>
      <w:color w:val="008CB4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Palatino" w:eastAsia="Palatino" w:hAnsi="Palatino" w:cs="Palatino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Palatino" w:eastAsia="Palatino" w:hAnsi="Palatino" w:cs="Palatino"/>
      <w:b/>
      <w:bCs/>
      <w:color w:val="57545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3">
    <w:name w:val="Table Style 3"/>
    <w:rPr>
      <w:rFonts w:ascii="Palatino" w:eastAsia="Palatino" w:hAnsi="Palatino" w:cs="Palatino"/>
      <w:color w:val="57545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Kečina</dc:creator>
  <cp:lastModifiedBy>Jovana Kečina</cp:lastModifiedBy>
  <cp:revision>2</cp:revision>
  <dcterms:created xsi:type="dcterms:W3CDTF">2024-03-04T22:43:00Z</dcterms:created>
  <dcterms:modified xsi:type="dcterms:W3CDTF">2024-03-04T22:43:00Z</dcterms:modified>
</cp:coreProperties>
</file>