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50" w:rsidRDefault="00763050" w:rsidP="00763050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887485" w:rsidRPr="00887485" w:rsidRDefault="00887485" w:rsidP="00887485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val="sr-Latn-CS"/>
        </w:rPr>
      </w:pPr>
      <w:r w:rsidRPr="00887485">
        <w:rPr>
          <w:rFonts w:ascii="Arial" w:eastAsia="Times New Roman" w:hAnsi="Arial" w:cs="Arial"/>
          <w:b/>
          <w:bCs/>
          <w:i/>
          <w:iCs/>
          <w:sz w:val="28"/>
          <w:szCs w:val="28"/>
          <w:lang w:val="pt-BR"/>
        </w:rPr>
        <w:t>Primjer broj 3- Stalna sredstva</w:t>
      </w:r>
    </w:p>
    <w:p w:rsidR="00887485" w:rsidRPr="00887485" w:rsidRDefault="00887485" w:rsidP="00887485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887485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Izvod iz kontnog okvira:</w:t>
      </w:r>
      <w:r w:rsidRPr="00887485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sr-Latn-CS"/>
        </w:rPr>
        <w:footnoteReference w:id="1"/>
      </w:r>
    </w:p>
    <w:p w:rsidR="00887485" w:rsidRPr="00887485" w:rsidRDefault="00887485" w:rsidP="00887485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887485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Klasa 0: Neuplaćeni upisani kapital i Stalna imovina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00-Neuplaćeni upisani kapital</w:t>
      </w:r>
    </w:p>
    <w:p w:rsidR="00887485" w:rsidRPr="00887485" w:rsidRDefault="00887485" w:rsidP="00887485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lang w:val="sr-Latn-CS"/>
        </w:rPr>
      </w:pPr>
      <w:r w:rsidRPr="00887485">
        <w:rPr>
          <w:rFonts w:ascii="Arial" w:eastAsia="Times New Roman" w:hAnsi="Arial" w:cs="Arial"/>
          <w:b/>
          <w:bCs/>
          <w:lang w:val="sr-Latn-CS"/>
        </w:rPr>
        <w:t xml:space="preserve">01-Nematerijalna imovina 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010-Ulaganja u razvoj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011- Koncecije, patenti, licence i slična prava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012- Goodwill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014-Ostala nematerijalna ulaganja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015-Nematerijalna ulaganja u pripremi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016-Avansi za nematerijalna ulaganja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88748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02-Nekretnine, postrojenja, oprema i biološka sredstva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020-Zemljište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021 Šume i višegodišnji zasadi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 xml:space="preserve">022-Građevinski objekti 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023-Postrojenja i oprema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024-Investicione nekretnine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025-Osnovno stado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026-Ostale nekretnine, postrojenja i oprema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027-Nekretnine, postrojenja, oprema i biološka sredstva u pripremi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028-Avansi za nekretnine, postrojenja, oprema i biološka sredstva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029-Ulaganja na tuđim nekretninama, postrojenjima i opremi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88748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03-Dugoročni finansijski plasmani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030-Učešće u kapitalu zavisnih pravnih lica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031-Učešće u kapitala pridruženih pravnih lica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032-Učešće u kapitalu ostalih pravnih lica i druge HOV raspoložive za prodaju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033-Dugoročni krediti matičnim, zavisnim i ostalim povezanim licima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034-Dugoročni  krediti  u zemlji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035-Dugoročni krediti u inostranstvu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036-HOV koje se drže do dospijeća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038-Ostali dugoročni finansijski plasmani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887485">
        <w:rPr>
          <w:rFonts w:ascii="Times New Roman" w:eastAsia="Times New Roman" w:hAnsi="Times New Roman" w:cs="Times New Roman"/>
          <w:lang w:val="sr-Latn-CS"/>
        </w:rPr>
        <w:t>039- Ispravka vrijednosti  dugoročnih finansijskih plasmana</w:t>
      </w: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887485" w:rsidRPr="00887485" w:rsidRDefault="00887485" w:rsidP="00887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887485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04-Stalna sredstva namijenjena prodaji</w:t>
      </w:r>
    </w:p>
    <w:p w:rsidR="0017115F" w:rsidRDefault="0017115F" w:rsidP="007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D16944" w:rsidRDefault="00D16944">
      <w:pPr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br w:type="page"/>
      </w:r>
    </w:p>
    <w:p w:rsidR="0017115F" w:rsidRPr="001802FB" w:rsidRDefault="001802FB" w:rsidP="0076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1802F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lastRenderedPageBreak/>
        <w:t>3-1</w:t>
      </w:r>
    </w:p>
    <w:p w:rsidR="0017115F" w:rsidRPr="005852B6" w:rsidRDefault="0017115F" w:rsidP="0017115F">
      <w:proofErr w:type="spellStart"/>
      <w:r>
        <w:t>Trgovinsko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“DPC” </w:t>
      </w:r>
      <w:proofErr w:type="spellStart"/>
      <w:proofErr w:type="gramStart"/>
      <w:r>
        <w:t>d.o.o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01.01.</w:t>
      </w:r>
      <w:r w:rsidRPr="006444AA">
        <w:t>.20</w:t>
      </w:r>
      <w:r>
        <w:t>x</w:t>
      </w:r>
      <w:r w:rsidRPr="006444AA">
        <w:t>x.</w:t>
      </w:r>
      <w:r>
        <w:t xml:space="preserve"> </w:t>
      </w:r>
      <w:proofErr w:type="spellStart"/>
      <w:proofErr w:type="gramStart"/>
      <w:r w:rsidRPr="006444AA">
        <w:t>godine</w:t>
      </w:r>
      <w:proofErr w:type="spellEnd"/>
      <w:proofErr w:type="gram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:rsidR="0017115F" w:rsidRPr="00267EC1" w:rsidRDefault="0017115F" w:rsidP="0017115F">
      <w:pPr>
        <w:jc w:val="both"/>
        <w:rPr>
          <w:b/>
          <w:sz w:val="28"/>
          <w:szCs w:val="28"/>
          <w:lang w:val="pl-PL"/>
        </w:rPr>
      </w:pP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>
        <w:rPr>
          <w:b/>
          <w:sz w:val="28"/>
          <w:szCs w:val="28"/>
          <w:lang w:val="pl-PL"/>
        </w:rPr>
        <w:t>Bilans stanja na dan 01.01.20x</w:t>
      </w:r>
      <w:r w:rsidRPr="00267EC1">
        <w:rPr>
          <w:b/>
          <w:sz w:val="28"/>
          <w:szCs w:val="28"/>
          <w:lang w:val="pl-PL"/>
        </w:rPr>
        <w:t>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1208"/>
        <w:gridCol w:w="2601"/>
        <w:gridCol w:w="1372"/>
      </w:tblGrid>
      <w:tr w:rsidR="0017115F" w:rsidRPr="00AA6F40" w:rsidTr="0017115F">
        <w:tc>
          <w:tcPr>
            <w:tcW w:w="3002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08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  <w:tc>
          <w:tcPr>
            <w:tcW w:w="2601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372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</w:tr>
      <w:tr w:rsidR="0017115F" w:rsidRPr="00AA6F40" w:rsidTr="0017115F">
        <w:tc>
          <w:tcPr>
            <w:tcW w:w="3002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Stalna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08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r>
              <w:rPr>
                <w:b/>
              </w:rPr>
              <w:t>13.800</w:t>
            </w:r>
          </w:p>
        </w:tc>
        <w:tc>
          <w:tcPr>
            <w:tcW w:w="2601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Kapital</w:t>
            </w:r>
            <w:proofErr w:type="spellEnd"/>
          </w:p>
        </w:tc>
        <w:tc>
          <w:tcPr>
            <w:tcW w:w="1372" w:type="dxa"/>
          </w:tcPr>
          <w:p w:rsidR="0017115F" w:rsidRPr="00AA6F40" w:rsidRDefault="001802FB" w:rsidP="00FF4B25">
            <w:pPr>
              <w:jc w:val="both"/>
              <w:rPr>
                <w:b/>
              </w:rPr>
            </w:pPr>
            <w:r>
              <w:rPr>
                <w:b/>
              </w:rPr>
              <w:t>41.000</w:t>
            </w:r>
          </w:p>
        </w:tc>
      </w:tr>
      <w:tr w:rsidR="0017115F" w:rsidRPr="00AA6F40" w:rsidTr="0017115F">
        <w:tc>
          <w:tcPr>
            <w:tcW w:w="3002" w:type="dxa"/>
          </w:tcPr>
          <w:p w:rsidR="0017115F" w:rsidRPr="00AA6F40" w:rsidRDefault="0017115F" w:rsidP="00FF4B25">
            <w:pPr>
              <w:jc w:val="both"/>
            </w:pPr>
            <w:proofErr w:type="spellStart"/>
            <w:r w:rsidRPr="00AA6F40">
              <w:t>Oprema</w:t>
            </w:r>
            <w:proofErr w:type="spellEnd"/>
          </w:p>
        </w:tc>
        <w:tc>
          <w:tcPr>
            <w:tcW w:w="1208" w:type="dxa"/>
          </w:tcPr>
          <w:p w:rsidR="0017115F" w:rsidRPr="00AA6F40" w:rsidRDefault="0017115F" w:rsidP="00FF4B25">
            <w:pPr>
              <w:jc w:val="both"/>
            </w:pPr>
            <w:r>
              <w:t>15.000</w:t>
            </w:r>
          </w:p>
        </w:tc>
        <w:tc>
          <w:tcPr>
            <w:tcW w:w="2601" w:type="dxa"/>
          </w:tcPr>
          <w:p w:rsidR="0017115F" w:rsidRPr="00AA6F40" w:rsidRDefault="0017115F" w:rsidP="00FF4B25">
            <w:pPr>
              <w:jc w:val="both"/>
            </w:pPr>
            <w:proofErr w:type="spellStart"/>
            <w:r w:rsidRPr="00AA6F40">
              <w:t>Osnovni</w:t>
            </w:r>
            <w:proofErr w:type="spellEnd"/>
            <w:r w:rsidRPr="00AA6F40">
              <w:t xml:space="preserve">  </w:t>
            </w:r>
            <w:proofErr w:type="spellStart"/>
            <w:r w:rsidRPr="00AA6F40">
              <w:t>kapital</w:t>
            </w:r>
            <w:proofErr w:type="spellEnd"/>
          </w:p>
        </w:tc>
        <w:tc>
          <w:tcPr>
            <w:tcW w:w="1372" w:type="dxa"/>
          </w:tcPr>
          <w:p w:rsidR="0017115F" w:rsidRPr="00AA6F40" w:rsidRDefault="0017115F" w:rsidP="00FF4B25">
            <w:pPr>
              <w:jc w:val="both"/>
            </w:pPr>
            <w:r>
              <w:t>42.000</w:t>
            </w:r>
          </w:p>
        </w:tc>
      </w:tr>
      <w:tr w:rsidR="0017115F" w:rsidRPr="00AA6F40" w:rsidTr="0017115F">
        <w:tc>
          <w:tcPr>
            <w:tcW w:w="3002" w:type="dxa"/>
          </w:tcPr>
          <w:p w:rsidR="0017115F" w:rsidRPr="00AA6F40" w:rsidRDefault="0017115F" w:rsidP="00FF4B25">
            <w:pPr>
              <w:jc w:val="both"/>
            </w:pPr>
            <w:proofErr w:type="spellStart"/>
            <w:r>
              <w:t>Isprava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1208" w:type="dxa"/>
          </w:tcPr>
          <w:p w:rsidR="0017115F" w:rsidRPr="00AA6F40" w:rsidRDefault="0017115F" w:rsidP="00FF4B25">
            <w:pPr>
              <w:jc w:val="both"/>
            </w:pPr>
            <w:r>
              <w:t>(4.000)</w:t>
            </w:r>
          </w:p>
        </w:tc>
        <w:tc>
          <w:tcPr>
            <w:tcW w:w="2601" w:type="dxa"/>
          </w:tcPr>
          <w:p w:rsidR="0017115F" w:rsidRPr="00AA6F40" w:rsidRDefault="0017115F" w:rsidP="00FF4B25">
            <w:pPr>
              <w:jc w:val="both"/>
            </w:pPr>
            <w:proofErr w:type="spellStart"/>
            <w:r>
              <w:t>Gubitak</w:t>
            </w:r>
            <w:proofErr w:type="spellEnd"/>
            <w:r w:rsidR="001802FB">
              <w:t xml:space="preserve"> </w:t>
            </w:r>
            <w:proofErr w:type="spellStart"/>
            <w:r w:rsidR="001802FB">
              <w:t>iz</w:t>
            </w:r>
            <w:proofErr w:type="spellEnd"/>
            <w:r w:rsidR="001802FB">
              <w:t xml:space="preserve"> </w:t>
            </w:r>
            <w:proofErr w:type="spellStart"/>
            <w:r w:rsidR="001802FB">
              <w:t>prethodnog</w:t>
            </w:r>
            <w:proofErr w:type="spellEnd"/>
            <w:r w:rsidR="001802FB">
              <w:t xml:space="preserve"> </w:t>
            </w:r>
            <w:proofErr w:type="spellStart"/>
            <w:r w:rsidR="001802FB">
              <w:t>perioda</w:t>
            </w:r>
            <w:proofErr w:type="spellEnd"/>
          </w:p>
        </w:tc>
        <w:tc>
          <w:tcPr>
            <w:tcW w:w="1372" w:type="dxa"/>
          </w:tcPr>
          <w:p w:rsidR="0017115F" w:rsidRPr="00AA6F40" w:rsidRDefault="0017115F" w:rsidP="00FF4B25">
            <w:pPr>
              <w:jc w:val="both"/>
            </w:pPr>
            <w:r>
              <w:t>(1.000)</w:t>
            </w:r>
          </w:p>
        </w:tc>
      </w:tr>
      <w:tr w:rsidR="0017115F" w:rsidRPr="00AA6F40" w:rsidTr="0017115F">
        <w:tc>
          <w:tcPr>
            <w:tcW w:w="3002" w:type="dxa"/>
          </w:tcPr>
          <w:p w:rsidR="0017115F" w:rsidRPr="0017115F" w:rsidRDefault="0017115F" w:rsidP="0017115F">
            <w:pPr>
              <w:rPr>
                <w:lang w:val="sr-Latn-ME"/>
              </w:rPr>
            </w:pPr>
            <w:proofErr w:type="spellStart"/>
            <w:r>
              <w:t>Investicije</w:t>
            </w:r>
            <w:proofErr w:type="spellEnd"/>
            <w:r>
              <w:t xml:space="preserve"> u </w:t>
            </w:r>
            <w:proofErr w:type="spellStart"/>
            <w:r>
              <w:t>toku</w:t>
            </w:r>
            <w:proofErr w:type="spellEnd"/>
            <w:r>
              <w:rPr>
                <w:lang w:val="sr-Latn-ME"/>
              </w:rPr>
              <w:t>/građ. objekti u pripremi</w:t>
            </w:r>
          </w:p>
        </w:tc>
        <w:tc>
          <w:tcPr>
            <w:tcW w:w="1208" w:type="dxa"/>
          </w:tcPr>
          <w:p w:rsidR="0017115F" w:rsidRPr="00AA6F40" w:rsidRDefault="0017115F" w:rsidP="00FF4B25">
            <w:pPr>
              <w:jc w:val="both"/>
            </w:pPr>
            <w:r>
              <w:t>2.800</w:t>
            </w:r>
          </w:p>
        </w:tc>
        <w:tc>
          <w:tcPr>
            <w:tcW w:w="2601" w:type="dxa"/>
          </w:tcPr>
          <w:p w:rsidR="0017115F" w:rsidRPr="00AA6F40" w:rsidRDefault="0017115F" w:rsidP="00FF4B25">
            <w:pPr>
              <w:jc w:val="both"/>
            </w:pPr>
          </w:p>
        </w:tc>
        <w:tc>
          <w:tcPr>
            <w:tcW w:w="1372" w:type="dxa"/>
          </w:tcPr>
          <w:p w:rsidR="0017115F" w:rsidRPr="00AA6F40" w:rsidRDefault="0017115F" w:rsidP="00FF4B25">
            <w:pPr>
              <w:jc w:val="both"/>
            </w:pPr>
          </w:p>
        </w:tc>
      </w:tr>
      <w:tr w:rsidR="0017115F" w:rsidRPr="00AA6F40" w:rsidTr="0017115F">
        <w:tc>
          <w:tcPr>
            <w:tcW w:w="3002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Obrtna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08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r>
              <w:rPr>
                <w:b/>
              </w:rPr>
              <w:t>30.532</w:t>
            </w:r>
          </w:p>
        </w:tc>
        <w:tc>
          <w:tcPr>
            <w:tcW w:w="2601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Obaveze</w:t>
            </w:r>
            <w:proofErr w:type="spellEnd"/>
          </w:p>
        </w:tc>
        <w:tc>
          <w:tcPr>
            <w:tcW w:w="1372" w:type="dxa"/>
          </w:tcPr>
          <w:p w:rsidR="0017115F" w:rsidRPr="00AA6F40" w:rsidRDefault="001802FB" w:rsidP="00FF4B25">
            <w:pPr>
              <w:jc w:val="both"/>
              <w:rPr>
                <w:b/>
              </w:rPr>
            </w:pPr>
            <w:r>
              <w:rPr>
                <w:b/>
              </w:rPr>
              <w:t>3.332</w:t>
            </w:r>
          </w:p>
        </w:tc>
      </w:tr>
      <w:tr w:rsidR="0017115F" w:rsidRPr="00AA6F40" w:rsidTr="0017115F">
        <w:tc>
          <w:tcPr>
            <w:tcW w:w="3002" w:type="dxa"/>
          </w:tcPr>
          <w:p w:rsidR="0017115F" w:rsidRPr="00AA6F40" w:rsidRDefault="0017115F" w:rsidP="00FF4B25">
            <w:pPr>
              <w:jc w:val="both"/>
            </w:pPr>
            <w:proofErr w:type="spellStart"/>
            <w:r w:rsidRPr="00AA6F40">
              <w:t>Tekući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račun</w:t>
            </w:r>
            <w:proofErr w:type="spellEnd"/>
          </w:p>
        </w:tc>
        <w:tc>
          <w:tcPr>
            <w:tcW w:w="1208" w:type="dxa"/>
          </w:tcPr>
          <w:p w:rsidR="0017115F" w:rsidRPr="00AA6F40" w:rsidRDefault="0017115F" w:rsidP="00FF4B25">
            <w:pPr>
              <w:jc w:val="both"/>
            </w:pPr>
            <w:r>
              <w:t>30.000</w:t>
            </w:r>
          </w:p>
        </w:tc>
        <w:tc>
          <w:tcPr>
            <w:tcW w:w="2601" w:type="dxa"/>
          </w:tcPr>
          <w:p w:rsidR="0017115F" w:rsidRPr="00AA6F40" w:rsidRDefault="001802FB" w:rsidP="00FF4B25">
            <w:pPr>
              <w:jc w:val="both"/>
            </w:pPr>
            <w:proofErr w:type="spellStart"/>
            <w:r>
              <w:t>Dobavljači</w:t>
            </w:r>
            <w:proofErr w:type="spellEnd"/>
            <w:r>
              <w:t xml:space="preserve"> u </w:t>
            </w:r>
            <w:proofErr w:type="spellStart"/>
            <w:r>
              <w:t>zemlji</w:t>
            </w:r>
            <w:proofErr w:type="spellEnd"/>
          </w:p>
        </w:tc>
        <w:tc>
          <w:tcPr>
            <w:tcW w:w="1372" w:type="dxa"/>
          </w:tcPr>
          <w:p w:rsidR="0017115F" w:rsidRPr="00AA6F40" w:rsidRDefault="001802FB" w:rsidP="00FF4B25">
            <w:pPr>
              <w:jc w:val="both"/>
            </w:pPr>
            <w:r>
              <w:t>3.332</w:t>
            </w:r>
          </w:p>
        </w:tc>
      </w:tr>
      <w:tr w:rsidR="0017115F" w:rsidRPr="00AA6F40" w:rsidTr="0017115F">
        <w:tc>
          <w:tcPr>
            <w:tcW w:w="3002" w:type="dxa"/>
          </w:tcPr>
          <w:p w:rsidR="0017115F" w:rsidRPr="00AA6F40" w:rsidRDefault="0017115F" w:rsidP="00FF4B25">
            <w:pPr>
              <w:jc w:val="both"/>
            </w:pPr>
            <w:proofErr w:type="spellStart"/>
            <w:r>
              <w:t>Potraživanja</w:t>
            </w:r>
            <w:proofErr w:type="spellEnd"/>
            <w:r>
              <w:t xml:space="preserve"> od </w:t>
            </w:r>
            <w:proofErr w:type="spellStart"/>
            <w:r>
              <w:t>drzave</w:t>
            </w:r>
            <w:proofErr w:type="spellEnd"/>
          </w:p>
        </w:tc>
        <w:tc>
          <w:tcPr>
            <w:tcW w:w="1208" w:type="dxa"/>
          </w:tcPr>
          <w:p w:rsidR="0017115F" w:rsidRPr="00AA6F40" w:rsidRDefault="0017115F" w:rsidP="00FF4B25">
            <w:pPr>
              <w:jc w:val="both"/>
            </w:pPr>
            <w:r>
              <w:t xml:space="preserve">       532</w:t>
            </w:r>
          </w:p>
        </w:tc>
        <w:tc>
          <w:tcPr>
            <w:tcW w:w="2601" w:type="dxa"/>
          </w:tcPr>
          <w:p w:rsidR="0017115F" w:rsidRPr="00AA6F40" w:rsidRDefault="0017115F" w:rsidP="00FF4B25">
            <w:pPr>
              <w:jc w:val="both"/>
            </w:pPr>
          </w:p>
        </w:tc>
        <w:tc>
          <w:tcPr>
            <w:tcW w:w="1372" w:type="dxa"/>
          </w:tcPr>
          <w:p w:rsidR="0017115F" w:rsidRPr="00AA6F40" w:rsidRDefault="0017115F" w:rsidP="00FF4B25">
            <w:pPr>
              <w:jc w:val="both"/>
            </w:pPr>
          </w:p>
        </w:tc>
      </w:tr>
      <w:tr w:rsidR="0017115F" w:rsidRPr="00AA6F40" w:rsidTr="0017115F">
        <w:tc>
          <w:tcPr>
            <w:tcW w:w="3002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08" w:type="dxa"/>
          </w:tcPr>
          <w:p w:rsidR="0017115F" w:rsidRPr="00AA6F40" w:rsidRDefault="001802FB" w:rsidP="00FF4B25">
            <w:pPr>
              <w:jc w:val="both"/>
              <w:rPr>
                <w:b/>
              </w:rPr>
            </w:pPr>
            <w:r>
              <w:rPr>
                <w:b/>
              </w:rPr>
              <w:t>44.332</w:t>
            </w:r>
          </w:p>
        </w:tc>
        <w:tc>
          <w:tcPr>
            <w:tcW w:w="2601" w:type="dxa"/>
          </w:tcPr>
          <w:p w:rsidR="0017115F" w:rsidRPr="00AA6F40" w:rsidRDefault="0017115F" w:rsidP="00FF4B25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372" w:type="dxa"/>
          </w:tcPr>
          <w:p w:rsidR="0017115F" w:rsidRPr="00AA6F40" w:rsidRDefault="001802FB" w:rsidP="00FF4B25">
            <w:pPr>
              <w:jc w:val="both"/>
              <w:rPr>
                <w:b/>
              </w:rPr>
            </w:pPr>
            <w:r>
              <w:rPr>
                <w:b/>
              </w:rPr>
              <w:t>44.332</w:t>
            </w:r>
          </w:p>
        </w:tc>
      </w:tr>
    </w:tbl>
    <w:p w:rsidR="0017115F" w:rsidRDefault="0017115F" w:rsidP="0076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63050" w:rsidRDefault="001802FB" w:rsidP="007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O</w:t>
      </w:r>
      <w:r w:rsidR="00763050"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t>tvoriti poslovne knjige a zatim hronološki i sistematski proknjižiti sljedeće poslovne transakcije uvažavajući pretpostavku da je na sve ulazne i izlazne fakture obračunati PDV po opštoj važećoj stopi.</w:t>
      </w:r>
    </w:p>
    <w:p w:rsidR="001802FB" w:rsidRPr="00763050" w:rsidRDefault="001802FB" w:rsidP="0076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763050" w:rsidRPr="00763050" w:rsidRDefault="00763050" w:rsidP="00763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t>a)Od preduzeća ″Korali″ primili smo fakturu sa PDV-om br.15 za kupovinu mašine. Kupovna vrijednost mašine iznosi 500€. Mašinu treba dopremiti</w:t>
      </w:r>
      <w:r w:rsidR="001802FB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763050" w:rsidRPr="00763050" w:rsidRDefault="00763050" w:rsidP="007630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b)Dobavljač ″Trans″ je ispostavio fakturu sa PDV-om br.20 za prevoz nabavljenog sredstva. Troškovi prevoza su 100€. </w:t>
      </w:r>
    </w:p>
    <w:p w:rsidR="00763050" w:rsidRPr="00763050" w:rsidRDefault="00763050" w:rsidP="007630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t>c)Mašina je stavljena u upotrebu prema zapisniku stručne komisije i odluci nadležnog organa.</w:t>
      </w:r>
    </w:p>
    <w:p w:rsidR="00763050" w:rsidRPr="00763050" w:rsidRDefault="00763050" w:rsidP="00763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t>Prema ugovoru kupljena je korišćena mašina, čija je istorijska nabavna vrijednost 15.000€. Dobavljač je ispostavio fakturu sa PDV-om. Kupovna (fakturna) vrijednost mašine je 9.000€. Sredstvo je stavljeno u upotrebu prema komisijskom zapisniku.</w:t>
      </w:r>
    </w:p>
    <w:p w:rsidR="00763050" w:rsidRPr="00763050" w:rsidRDefault="00763050" w:rsidP="00763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t>Po fakturi ino-dobavljača (dobavljača u inostranstvu) kupljena je mašina čija je fakturna vrijednost 3.000€. Uvozna carina, po carinskoj deklaraciji, je 800€.Uplaćene su obaveze po osnovu PDV i carina (izvod). Sredstvo je potrebno dopremiti do magacina.</w:t>
      </w:r>
    </w:p>
    <w:p w:rsidR="00763050" w:rsidRDefault="00763050" w:rsidP="00763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Autoprevoznik u zemlji je poslao fakturu </w:t>
      </w:r>
      <w:r w:rsidR="001802FB">
        <w:rPr>
          <w:rFonts w:ascii="Times New Roman" w:eastAsia="Times New Roman" w:hAnsi="Times New Roman" w:cs="Times New Roman"/>
          <w:sz w:val="24"/>
          <w:szCs w:val="24"/>
          <w:lang w:val="sr-Latn-CS"/>
        </w:rPr>
        <w:t>sa PDV</w:t>
      </w:r>
      <w:r w:rsidR="00D1694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za troškove prevoza  uvezene mašine. Troškovi prevoza su 100€. Mašinu je potrebno montirati (veza promjena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3</w:t>
      </w:r>
      <w:r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t>).</w:t>
      </w:r>
    </w:p>
    <w:p w:rsidR="00763050" w:rsidRPr="00887485" w:rsidRDefault="00763050" w:rsidP="00763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87485">
        <w:rPr>
          <w:rFonts w:ascii="Times New Roman" w:eastAsia="Times New Roman" w:hAnsi="Times New Roman" w:cs="Times New Roman"/>
          <w:sz w:val="24"/>
          <w:szCs w:val="24"/>
          <w:lang w:val="sr-Latn-CS"/>
        </w:rPr>
        <w:t>Primljena je II privremena obračunska situacija. Ukupna vrijednost realizovanih radova je 3.500€, a PDV je obračunat po opštoj stopi.</w:t>
      </w:r>
    </w:p>
    <w:p w:rsidR="00763050" w:rsidRPr="00887485" w:rsidRDefault="00763050" w:rsidP="007630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87485">
        <w:rPr>
          <w:rFonts w:ascii="Times New Roman" w:eastAsia="Times New Roman" w:hAnsi="Times New Roman" w:cs="Times New Roman"/>
          <w:sz w:val="24"/>
          <w:szCs w:val="24"/>
          <w:lang w:val="sr-Latn-CS"/>
        </w:rPr>
        <w:t>Primljena je konačna obračunska situacija. Ukupna vrijednost završenih radova je 5.000€, a PDV je obračunat po opštoj stopi.</w:t>
      </w:r>
    </w:p>
    <w:p w:rsidR="00887485" w:rsidRPr="00887485" w:rsidRDefault="00887485" w:rsidP="00887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87485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Preduzeće je prodalo mašinu u iznosu od 1.500€ (prodajna vrijednost mašine). Nabavna vrijednost sredstva je 2.000€, a otpisana 1.000€. Poslali smo fakturu kupcu sa obračunatom opštom stopom PDV-a.</w:t>
      </w:r>
    </w:p>
    <w:p w:rsidR="00887485" w:rsidRDefault="00887485" w:rsidP="00887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87485">
        <w:rPr>
          <w:rFonts w:ascii="Times New Roman" w:eastAsia="Times New Roman" w:hAnsi="Times New Roman" w:cs="Times New Roman"/>
          <w:sz w:val="24"/>
          <w:szCs w:val="24"/>
          <w:lang w:val="sr-Latn-CS"/>
        </w:rPr>
        <w:t>Prema odluci nadležnog organa rashoduje se mašina čija je nabavna vrijednost 1.000€ a otpisana 800€. Obračunati PDV po opštoj stopi.</w:t>
      </w:r>
    </w:p>
    <w:p w:rsidR="00167E39" w:rsidRDefault="00167E39" w:rsidP="00887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Primili smo komisijski zapisnik  o tehničkom prijemu  građevinskog objekta  (veza promjena 6)</w:t>
      </w:r>
    </w:p>
    <w:p w:rsidR="00887485" w:rsidRPr="00887485" w:rsidRDefault="00887485" w:rsidP="00887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87485">
        <w:rPr>
          <w:rFonts w:ascii="Times New Roman" w:eastAsia="Times New Roman" w:hAnsi="Times New Roman" w:cs="Times New Roman"/>
          <w:sz w:val="24"/>
          <w:szCs w:val="24"/>
          <w:lang w:val="sr-Latn-CS"/>
        </w:rPr>
        <w:t>Sklapamo ugovor sa građevinskim preduzeće ″Rad″ o izgradnji upravne zgrade. Predračunska vrijednost iznosi 5.000€. Finansiranje se vrši iz sopstvenih izvora. U skladu sa odredbama ugovora, izvođaču radova je isplaćen avans</w:t>
      </w:r>
      <w:r w:rsidRPr="00887485">
        <w:rPr>
          <w:rFonts w:ascii="Times New Roman" w:eastAsia="Times New Roman" w:hAnsi="Times New Roman" w:cs="Times New Roman"/>
          <w:sz w:val="24"/>
          <w:szCs w:val="24"/>
          <w:lang w:val="sr-Latn-CS"/>
        </w:rPr>
        <w:footnoteReference w:id="2"/>
      </w:r>
      <w:r w:rsidRPr="0088748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u iznosu od  2.800€ za početak gradnje (izvod poslovne banke i avansna faktura). Ava</w:t>
      </w:r>
      <w:r w:rsidR="00167E39">
        <w:rPr>
          <w:rFonts w:ascii="Times New Roman" w:eastAsia="Times New Roman" w:hAnsi="Times New Roman" w:cs="Times New Roman"/>
          <w:sz w:val="24"/>
          <w:szCs w:val="24"/>
          <w:lang w:val="sr-Latn-CS"/>
        </w:rPr>
        <w:t>ns je isplaćen u mjesecu aprilu, a prva obračunska situacija se očekuje u mjesecu junu.</w:t>
      </w:r>
    </w:p>
    <w:p w:rsidR="00763050" w:rsidRPr="00763050" w:rsidRDefault="00763050" w:rsidP="008874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63050">
        <w:rPr>
          <w:rFonts w:ascii="Times New Roman" w:eastAsia="Times New Roman" w:hAnsi="Times New Roman" w:cs="Times New Roman"/>
          <w:sz w:val="24"/>
          <w:szCs w:val="24"/>
          <w:lang w:val="sr-Latn-CS"/>
        </w:rPr>
        <w:br w:type="page"/>
      </w:r>
    </w:p>
    <w:p w:rsidR="00887485" w:rsidRDefault="00887485" w:rsidP="00D16944">
      <w:pPr>
        <w:pStyle w:val="NoSpacing"/>
        <w:ind w:left="360"/>
        <w:rPr>
          <w:lang w:val="sr-Latn-CS"/>
        </w:rPr>
      </w:pPr>
      <w:r w:rsidRPr="00DC0597">
        <w:rPr>
          <w:rStyle w:val="Heading3Char"/>
        </w:rPr>
        <w:lastRenderedPageBreak/>
        <w:t>3-</w:t>
      </w:r>
      <w:r w:rsidR="00D16944">
        <w:rPr>
          <w:rStyle w:val="Heading3Char"/>
        </w:rPr>
        <w:t>2</w:t>
      </w:r>
      <w:r>
        <w:rPr>
          <w:lang w:val="sr-Latn-CS"/>
        </w:rPr>
        <w:t xml:space="preserve">: Na osnovu datih </w:t>
      </w:r>
      <w:proofErr w:type="gramStart"/>
      <w:r>
        <w:rPr>
          <w:lang w:val="sr-Latn-CS"/>
        </w:rPr>
        <w:t>podataka  na</w:t>
      </w:r>
      <w:proofErr w:type="gramEnd"/>
      <w:r>
        <w:rPr>
          <w:lang w:val="sr-Latn-CS"/>
        </w:rPr>
        <w:t xml:space="preserve"> računima glavne knjige odgovorite na sljedeća pitanja:</w:t>
      </w:r>
    </w:p>
    <w:p w:rsidR="00887485" w:rsidRDefault="00887485" w:rsidP="00887485">
      <w:pPr>
        <w:pStyle w:val="NoSpacing"/>
        <w:ind w:left="360"/>
        <w:rPr>
          <w:lang w:val="sr-Latn-CS"/>
        </w:rPr>
      </w:pPr>
      <w:r>
        <w:rPr>
          <w:lang w:val="sr-Latn-CS"/>
        </w:rPr>
        <w:t>a)Koliko iznosi vrijednost stalne imovine?</w:t>
      </w:r>
    </w:p>
    <w:p w:rsidR="00887485" w:rsidRDefault="00887485" w:rsidP="00887485">
      <w:pPr>
        <w:pStyle w:val="NoSpacing"/>
        <w:ind w:left="360"/>
        <w:rPr>
          <w:lang w:val="sr-Latn-CS"/>
        </w:rPr>
      </w:pPr>
      <w:r>
        <w:rPr>
          <w:lang w:val="sr-Latn-CS"/>
        </w:rPr>
        <w:t>b)Koliko iznosi vrijednost nekretnina, postrojenja i opreme u upotrebi?</w:t>
      </w:r>
    </w:p>
    <w:p w:rsidR="00887485" w:rsidRDefault="00887485" w:rsidP="00887485">
      <w:pPr>
        <w:pStyle w:val="NoSpacing"/>
        <w:ind w:left="360"/>
        <w:rPr>
          <w:lang w:val="sr-Latn-CS"/>
        </w:rPr>
      </w:pPr>
      <w:r>
        <w:rPr>
          <w:lang w:val="sr-Latn-CS"/>
        </w:rPr>
        <w:t>c)Koliko iznosi vrijednost obrtne imovine?</w:t>
      </w:r>
    </w:p>
    <w:p w:rsidR="00887485" w:rsidRPr="00887485" w:rsidRDefault="00887485" w:rsidP="00887485">
      <w:pPr>
        <w:ind w:left="360"/>
        <w:jc w:val="both"/>
        <w:rPr>
          <w:lang w:val="sr-Latn-CS"/>
        </w:rPr>
      </w:pPr>
    </w:p>
    <w:p w:rsidR="00887485" w:rsidRPr="00887485" w:rsidRDefault="00887485" w:rsidP="00887485">
      <w:pPr>
        <w:ind w:left="360"/>
        <w:jc w:val="both"/>
        <w:rPr>
          <w:lang w:val="sr-Latn-CS"/>
        </w:rPr>
      </w:pPr>
    </w:p>
    <w:p w:rsidR="00887485" w:rsidRPr="00887485" w:rsidRDefault="00887485" w:rsidP="00887485">
      <w:pPr>
        <w:pStyle w:val="ListParagraph"/>
        <w:jc w:val="both"/>
        <w:rPr>
          <w:lang w:val="sr-Latn-CS"/>
        </w:rPr>
      </w:pPr>
    </w:p>
    <w:tbl>
      <w:tblPr>
        <w:tblpPr w:leftFromText="180" w:rightFromText="180" w:vertAnchor="text" w:horzAnchor="margin" w:tblpY="-213"/>
        <w:tblOverlap w:val="never"/>
        <w:tblW w:w="3336" w:type="dxa"/>
        <w:tblLook w:val="04A0" w:firstRow="1" w:lastRow="0" w:firstColumn="1" w:lastColumn="0" w:noHBand="0" w:noVBand="1"/>
      </w:tblPr>
      <w:tblGrid>
        <w:gridCol w:w="352"/>
        <w:gridCol w:w="1304"/>
        <w:gridCol w:w="1304"/>
        <w:gridCol w:w="376"/>
      </w:tblGrid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jc w:val="center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 xml:space="preserve">   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Investicije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u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toku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20000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</w:tr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</w:tr>
    </w:tbl>
    <w:p w:rsidR="00887485" w:rsidRPr="00887485" w:rsidRDefault="00887485" w:rsidP="00887485">
      <w:pPr>
        <w:pStyle w:val="ListParagraph"/>
        <w:spacing w:after="200" w:line="276" w:lineRule="auto"/>
        <w:rPr>
          <w:lang w:val="sr-Latn-CS"/>
        </w:rPr>
      </w:pPr>
    </w:p>
    <w:tbl>
      <w:tblPr>
        <w:tblW w:w="5605" w:type="dxa"/>
        <w:tblInd w:w="93" w:type="dxa"/>
        <w:tblLook w:val="04A0" w:firstRow="1" w:lastRow="0" w:firstColumn="1" w:lastColumn="0" w:noHBand="0" w:noVBand="1"/>
      </w:tblPr>
      <w:tblGrid>
        <w:gridCol w:w="1480"/>
        <w:gridCol w:w="1654"/>
        <w:gridCol w:w="283"/>
        <w:gridCol w:w="1611"/>
        <w:gridCol w:w="236"/>
        <w:gridCol w:w="105"/>
        <w:gridCol w:w="236"/>
      </w:tblGrid>
      <w:tr w:rsidR="00887485" w:rsidRPr="00DC0597" w:rsidTr="00FF4B25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DC0597" w:rsidRDefault="00887485" w:rsidP="00FF4B25">
            <w:pPr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</w:rPr>
              <w:t>D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Default="00887485" w:rsidP="00FF4B25">
            <w:pPr>
              <w:ind w:left="-155" w:firstLine="155"/>
              <w:rPr>
                <w:rFonts w:ascii="Calibri" w:hAnsi="Calibri"/>
                <w:color w:val="000000"/>
              </w:rPr>
            </w:pPr>
          </w:p>
          <w:p w:rsidR="00887485" w:rsidRDefault="00887485" w:rsidP="00FF4B25">
            <w:pPr>
              <w:ind w:left="-155" w:firstLine="155"/>
              <w:rPr>
                <w:rFonts w:ascii="Calibri" w:hAnsi="Calibri"/>
                <w:color w:val="000000"/>
              </w:rPr>
            </w:pPr>
          </w:p>
          <w:p w:rsidR="00887485" w:rsidRPr="00DC0597" w:rsidRDefault="00887485" w:rsidP="00FF4B25">
            <w:pPr>
              <w:ind w:left="-155" w:firstLine="155"/>
              <w:rPr>
                <w:rFonts w:ascii="Calibri" w:hAnsi="Calibri"/>
                <w:color w:val="000000"/>
              </w:rPr>
            </w:pPr>
            <w:proofErr w:type="spellStart"/>
            <w:r w:rsidRPr="00DC0597">
              <w:rPr>
                <w:rFonts w:ascii="Calibri" w:hAnsi="Calibri"/>
                <w:color w:val="000000"/>
              </w:rPr>
              <w:t>oprema</w:t>
            </w:r>
            <w:proofErr w:type="spellEnd"/>
            <w:r w:rsidRPr="00DC0597">
              <w:rPr>
                <w:rFonts w:ascii="Calibri" w:hAnsi="Calibri"/>
                <w:color w:val="000000"/>
              </w:rPr>
              <w:t xml:space="preserve">   </w:t>
            </w:r>
            <w:r>
              <w:rPr>
                <w:rFonts w:ascii="Calibri" w:hAnsi="Calibri"/>
                <w:color w:val="000000"/>
              </w:rPr>
              <w:t xml:space="preserve">         P</w:t>
            </w:r>
            <w:r w:rsidRPr="00DC0597">
              <w:rPr>
                <w:rFonts w:ascii="Calibri" w:hAnsi="Calibri"/>
                <w:color w:val="000000"/>
              </w:rPr>
              <w:t xml:space="preserve">                 </w:t>
            </w:r>
            <w:r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2235" w:type="dxa"/>
            <w:gridSpan w:val="4"/>
            <w:vAlign w:val="bottom"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887485" w:rsidRPr="00FD6C40" w:rsidRDefault="00887485" w:rsidP="00FF4B2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87485" w:rsidRPr="00DC0597" w:rsidTr="00FF4B25">
        <w:trPr>
          <w:gridAfter w:val="2"/>
          <w:wAfter w:w="341" w:type="dxa"/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DC0597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DC0597" w:rsidRDefault="00887485" w:rsidP="00FF4B25">
            <w:pPr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</w:rPr>
              <w:t>16000</w:t>
            </w:r>
          </w:p>
        </w:tc>
        <w:tc>
          <w:tcPr>
            <w:tcW w:w="283" w:type="dxa"/>
            <w:vAlign w:val="bottom"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87485" w:rsidRPr="00DC0597" w:rsidTr="00FF4B25">
        <w:trPr>
          <w:gridAfter w:val="2"/>
          <w:wAfter w:w="341" w:type="dxa"/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DC0597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DC0597" w:rsidRDefault="00887485" w:rsidP="00FF4B25">
            <w:pPr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" w:type="dxa"/>
            <w:vAlign w:val="bottom"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87485" w:rsidRPr="00DC0597" w:rsidTr="00FF4B25">
        <w:trPr>
          <w:gridAfter w:val="2"/>
          <w:wAfter w:w="341" w:type="dxa"/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DC0597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DC0597" w:rsidRDefault="00887485" w:rsidP="00FF4B25">
            <w:pPr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3" w:type="dxa"/>
            <w:vAlign w:val="bottom"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887485" w:rsidRPr="00887485" w:rsidRDefault="00887485" w:rsidP="00887485">
      <w:pPr>
        <w:pStyle w:val="ListParagraph"/>
        <w:spacing w:after="200" w:line="276" w:lineRule="auto"/>
        <w:rPr>
          <w:sz w:val="20"/>
          <w:szCs w:val="20"/>
          <w:lang w:val="sr-Latn-CS"/>
        </w:rPr>
      </w:pPr>
    </w:p>
    <w:tbl>
      <w:tblPr>
        <w:tblW w:w="3180" w:type="dxa"/>
        <w:tblInd w:w="93" w:type="dxa"/>
        <w:tblLook w:val="04A0" w:firstRow="1" w:lastRow="0" w:firstColumn="1" w:lastColumn="0" w:noHBand="0" w:noVBand="1"/>
      </w:tblPr>
      <w:tblGrid>
        <w:gridCol w:w="352"/>
        <w:gridCol w:w="1180"/>
        <w:gridCol w:w="1318"/>
        <w:gridCol w:w="330"/>
      </w:tblGrid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485" w:rsidRPr="00FD6C40" w:rsidRDefault="00887485" w:rsidP="00FF4B2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FD6C40">
              <w:rPr>
                <w:rFonts w:ascii="Calibri" w:hAnsi="Calibri"/>
                <w:color w:val="000000"/>
              </w:rPr>
              <w:t>ispravka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vrijednosti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opreme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</w:tr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</w:tr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</w:tr>
    </w:tbl>
    <w:p w:rsidR="00887485" w:rsidRPr="00887485" w:rsidRDefault="00887485" w:rsidP="00887485">
      <w:pPr>
        <w:pStyle w:val="ListParagraph"/>
        <w:spacing w:after="200" w:line="276" w:lineRule="auto"/>
        <w:rPr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FD6C40">
              <w:rPr>
                <w:rFonts w:ascii="Calibri" w:hAnsi="Calibri"/>
                <w:color w:val="000000"/>
              </w:rPr>
              <w:t>Dati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avansi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za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građ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objekte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</w:tr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</w:tr>
    </w:tbl>
    <w:p w:rsidR="00887485" w:rsidRPr="00887485" w:rsidRDefault="00887485" w:rsidP="00887485">
      <w:pPr>
        <w:pStyle w:val="ListParagraph"/>
        <w:spacing w:after="200" w:line="276" w:lineRule="auto"/>
        <w:rPr>
          <w:sz w:val="20"/>
          <w:szCs w:val="20"/>
          <w:lang w:val="sr-Latn-CS"/>
        </w:rPr>
      </w:pPr>
    </w:p>
    <w:p w:rsidR="00887485" w:rsidRPr="00887485" w:rsidRDefault="00887485" w:rsidP="00887485">
      <w:pPr>
        <w:pStyle w:val="ListParagraph"/>
        <w:spacing w:after="200" w:line="276" w:lineRule="auto"/>
        <w:rPr>
          <w:lang w:val="sr-Latn-CS"/>
        </w:rPr>
      </w:pPr>
    </w:p>
    <w:tbl>
      <w:tblPr>
        <w:tblW w:w="3353" w:type="dxa"/>
        <w:tblInd w:w="108" w:type="dxa"/>
        <w:tblLook w:val="04A0" w:firstRow="1" w:lastRow="0" w:firstColumn="1" w:lastColumn="0" w:noHBand="0" w:noVBand="1"/>
      </w:tblPr>
      <w:tblGrid>
        <w:gridCol w:w="352"/>
        <w:gridCol w:w="1066"/>
        <w:gridCol w:w="1559"/>
        <w:gridCol w:w="376"/>
      </w:tblGrid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85" w:rsidRPr="00FD6C40" w:rsidRDefault="00887485" w:rsidP="00FF4B2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FD6C40">
              <w:rPr>
                <w:rFonts w:ascii="Calibri" w:hAnsi="Calibri"/>
                <w:color w:val="000000"/>
              </w:rPr>
              <w:t>Dati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avansi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za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</w:rPr>
              <w:t>nabavku</w:t>
            </w:r>
            <w:proofErr w:type="spellEnd"/>
            <w:r w:rsidRPr="00FD6C40">
              <w:rPr>
                <w:rFonts w:ascii="Calibri" w:hAnsi="Calibri"/>
                <w:color w:val="000000"/>
              </w:rPr>
              <w:t xml:space="preserve"> robe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</w:tr>
      <w:tr w:rsidR="00887485" w:rsidRPr="00FD6C40" w:rsidTr="00FF4B25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485" w:rsidRPr="00FD6C40" w:rsidRDefault="00887485" w:rsidP="00FF4B25">
            <w:pPr>
              <w:rPr>
                <w:rFonts w:ascii="Calibri" w:hAnsi="Calibri"/>
                <w:color w:val="000000"/>
              </w:rPr>
            </w:pPr>
          </w:p>
        </w:tc>
      </w:tr>
    </w:tbl>
    <w:p w:rsidR="00887485" w:rsidRDefault="00887485" w:rsidP="00BC2C95">
      <w:bookmarkStart w:id="0" w:name="_GoBack"/>
      <w:bookmarkEnd w:id="0"/>
    </w:p>
    <w:sectPr w:rsidR="0088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72" w:rsidRDefault="00DC0D72" w:rsidP="00887485">
      <w:pPr>
        <w:spacing w:after="0" w:line="240" w:lineRule="auto"/>
      </w:pPr>
      <w:r>
        <w:separator/>
      </w:r>
    </w:p>
  </w:endnote>
  <w:endnote w:type="continuationSeparator" w:id="0">
    <w:p w:rsidR="00DC0D72" w:rsidRDefault="00DC0D72" w:rsidP="008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72" w:rsidRDefault="00DC0D72" w:rsidP="00887485">
      <w:pPr>
        <w:spacing w:after="0" w:line="240" w:lineRule="auto"/>
      </w:pPr>
      <w:r>
        <w:separator/>
      </w:r>
    </w:p>
  </w:footnote>
  <w:footnote w:type="continuationSeparator" w:id="0">
    <w:p w:rsidR="00DC0D72" w:rsidRDefault="00DC0D72" w:rsidP="00887485">
      <w:pPr>
        <w:spacing w:after="0" w:line="240" w:lineRule="auto"/>
      </w:pPr>
      <w:r>
        <w:continuationSeparator/>
      </w:r>
    </w:p>
  </w:footnote>
  <w:footnote w:id="1">
    <w:p w:rsidR="00887485" w:rsidRPr="00E00D55" w:rsidRDefault="00887485" w:rsidP="00887485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Kontni okvir za privredna društva i druga pravna lica, Sl.CG,br.5,2011, str.100</w:t>
      </w:r>
    </w:p>
  </w:footnote>
  <w:footnote w:id="2">
    <w:p w:rsidR="00887485" w:rsidRPr="00C071BE" w:rsidRDefault="00887485" w:rsidP="00887485">
      <w:pPr>
        <w:pStyle w:val="FootnoteText"/>
        <w:jc w:val="both"/>
        <w:rPr>
          <w:lang w:val="pt-BR"/>
        </w:rPr>
      </w:pPr>
      <w:r>
        <w:rPr>
          <w:rStyle w:val="FootnoteReference"/>
        </w:rPr>
        <w:footnoteRef/>
      </w:r>
      <w:r w:rsidRPr="0069712A">
        <w:rPr>
          <w:lang w:val="sr-Latn-CS"/>
        </w:rPr>
        <w:t xml:space="preserve"> Poreski obveznik je dužan izdati</w:t>
      </w:r>
      <w:r>
        <w:rPr>
          <w:lang w:val="sr-Latn-CS"/>
        </w:rPr>
        <w:t xml:space="preserve"> avansni</w:t>
      </w:r>
      <w:r w:rsidRPr="0069712A">
        <w:rPr>
          <w:lang w:val="sr-Latn-CS"/>
        </w:rPr>
        <w:t xml:space="preserve"> račun za svako predplaćanje (avans) koje primi prije iz</w:t>
      </w:r>
      <w:r>
        <w:rPr>
          <w:lang w:val="pt-BR"/>
        </w:rPr>
        <w:t>vršenog prometa proizvoda, ukoliko se promet i pla</w:t>
      </w:r>
      <w:r>
        <w:rPr>
          <w:lang w:val="sr-Latn-ME"/>
        </w:rPr>
        <w:t>ćanje</w:t>
      </w:r>
      <w:r w:rsidRPr="00016B3F">
        <w:rPr>
          <w:b/>
          <w:lang w:val="sr-Latn-ME"/>
        </w:rPr>
        <w:t xml:space="preserve"> ne vrše u istom  poreskom periodu</w:t>
      </w:r>
      <w:r>
        <w:rPr>
          <w:lang w:val="sr-Latn-ME"/>
        </w:rPr>
        <w:t>.</w:t>
      </w:r>
      <w:r>
        <w:rPr>
          <w:lang w:val="pt-BR"/>
        </w:rPr>
        <w:t xml:space="preserve"> </w:t>
      </w:r>
      <w:r w:rsidRPr="00594989">
        <w:rPr>
          <w:lang w:val="pt-BR"/>
        </w:rPr>
        <w:t xml:space="preserve">Kod avansa, poreska obaveza nastaje na dan prijema avansa, nezavisno da li je izvršena isporuka proizvoda ili usluga. </w:t>
      </w:r>
      <w:r>
        <w:rPr>
          <w:lang w:val="pt-BR"/>
        </w:rPr>
        <w:t xml:space="preserve">PDV se obračunava primjenom preračunate stope. Preračunata stopa se primjenjuje kada se iz naknade u koju je sadržan PDV po stopi od 19% ili 7% mora izračunati iznos PDV. Obrazac za izračunavanje preračunate stope je: </w:t>
      </w:r>
      <w:r w:rsidRPr="00C071BE">
        <w:rPr>
          <w:i/>
          <w:lang w:val="pt-BR"/>
        </w:rPr>
        <w:t>propisana stopa PDV*100/100+propisana stopa PDV</w:t>
      </w:r>
      <w:r>
        <w:rPr>
          <w:i/>
          <w:lang w:val="pt-BR"/>
        </w:rPr>
        <w:t xml:space="preserve"> tj. za iznos PDV od 19% preračunata stopa je 15,97%, a za iznos od 7%  iznos preračunate stope je 6,54%. Na osnovu izmijena Zakona o PDV opšta stopa od 01.01.2018. biće 21%.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A89"/>
    <w:multiLevelType w:val="hybridMultilevel"/>
    <w:tmpl w:val="D9042974"/>
    <w:lvl w:ilvl="0" w:tplc="FD5C7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485E4F"/>
    <w:multiLevelType w:val="hybridMultilevel"/>
    <w:tmpl w:val="90547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3B81"/>
    <w:multiLevelType w:val="hybridMultilevel"/>
    <w:tmpl w:val="EC7AB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50"/>
    <w:rsid w:val="00167E39"/>
    <w:rsid w:val="0017115F"/>
    <w:rsid w:val="001802FB"/>
    <w:rsid w:val="006127C0"/>
    <w:rsid w:val="00763050"/>
    <w:rsid w:val="00887485"/>
    <w:rsid w:val="00BC2C95"/>
    <w:rsid w:val="00C67237"/>
    <w:rsid w:val="00D16944"/>
    <w:rsid w:val="00D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D9FC6-A306-4CE6-83CE-5F8DC942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874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87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748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87485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887485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88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2017-10-20T11:55:00Z</cp:lastPrinted>
  <dcterms:created xsi:type="dcterms:W3CDTF">2017-10-20T11:40:00Z</dcterms:created>
  <dcterms:modified xsi:type="dcterms:W3CDTF">2017-10-20T13:16:00Z</dcterms:modified>
</cp:coreProperties>
</file>