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57612" w14:textId="19E68E34" w:rsidR="005B23E7" w:rsidRPr="005B23E7" w:rsidRDefault="005B23E7">
      <w:pPr>
        <w:rPr>
          <w:rFonts w:ascii="Cambria" w:hAnsi="Cambria"/>
          <w:sz w:val="24"/>
          <w:szCs w:val="24"/>
        </w:rPr>
      </w:pPr>
      <w:r w:rsidRPr="005B23E7">
        <w:rPr>
          <w:rFonts w:ascii="Cambria" w:hAnsi="Cambria"/>
          <w:sz w:val="24"/>
          <w:szCs w:val="24"/>
        </w:rPr>
        <w:t>Univerzitet Crne Gore</w:t>
      </w:r>
    </w:p>
    <w:p w14:paraId="05D5461F" w14:textId="3E177377" w:rsidR="005B23E7" w:rsidRPr="005B23E7" w:rsidRDefault="005B23E7">
      <w:pPr>
        <w:rPr>
          <w:rFonts w:ascii="Cambria" w:hAnsi="Cambria"/>
          <w:sz w:val="24"/>
          <w:szCs w:val="24"/>
        </w:rPr>
      </w:pPr>
      <w:r w:rsidRPr="005B23E7">
        <w:rPr>
          <w:rFonts w:ascii="Cambria" w:hAnsi="Cambria"/>
          <w:sz w:val="24"/>
          <w:szCs w:val="24"/>
        </w:rPr>
        <w:t xml:space="preserve">Fakultet političkih nauka </w:t>
      </w:r>
    </w:p>
    <w:p w14:paraId="6EB81F6E" w14:textId="30C6DCB6" w:rsidR="00255813" w:rsidRDefault="005B23E7" w:rsidP="005B23E7">
      <w:pPr>
        <w:jc w:val="center"/>
        <w:rPr>
          <w:rFonts w:ascii="Cambria" w:hAnsi="Cambria"/>
          <w:b/>
          <w:bCs/>
          <w:sz w:val="24"/>
          <w:szCs w:val="24"/>
        </w:rPr>
      </w:pPr>
      <w:r w:rsidRPr="005B23E7">
        <w:rPr>
          <w:rFonts w:ascii="Cambria" w:hAnsi="Cambria"/>
          <w:b/>
          <w:bCs/>
          <w:sz w:val="24"/>
          <w:szCs w:val="24"/>
        </w:rPr>
        <w:t>Savremeni međunarodni odnosi</w:t>
      </w:r>
    </w:p>
    <w:p w14:paraId="580DF434" w14:textId="2A5E50AC" w:rsidR="005B23E7" w:rsidRDefault="005B23E7" w:rsidP="005B23E7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7F49B1E5" w14:textId="252D6381" w:rsidR="005B23E7" w:rsidRDefault="005B23E7" w:rsidP="005B23E7">
      <w:pPr>
        <w:jc w:val="both"/>
        <w:rPr>
          <w:rFonts w:ascii="Cambria" w:hAnsi="Cambria"/>
          <w:sz w:val="24"/>
          <w:szCs w:val="24"/>
        </w:rPr>
      </w:pPr>
      <w:r w:rsidRPr="005B23E7">
        <w:rPr>
          <w:rFonts w:ascii="Cambria" w:hAnsi="Cambria"/>
          <w:sz w:val="24"/>
          <w:szCs w:val="24"/>
        </w:rPr>
        <w:t>ISPITNA PITANJA</w:t>
      </w:r>
    </w:p>
    <w:p w14:paraId="594F0C73" w14:textId="2931A202" w:rsidR="005B23E7" w:rsidRDefault="005B23E7" w:rsidP="005B23E7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Karakteristike hladnog rata (teorijski aspekti, ključne faze, vojni i politički blokovi)</w:t>
      </w:r>
    </w:p>
    <w:p w14:paraId="68876CB6" w14:textId="5E51D032" w:rsidR="005B23E7" w:rsidRDefault="005B23E7" w:rsidP="005B23E7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Koncept politike detanta</w:t>
      </w:r>
    </w:p>
    <w:p w14:paraId="03ACEAA1" w14:textId="4314D09C" w:rsidR="005B23E7" w:rsidRDefault="00E47F64" w:rsidP="005B23E7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Uloga n</w:t>
      </w:r>
      <w:r w:rsidR="005B23E7">
        <w:rPr>
          <w:rFonts w:ascii="Cambria" w:hAnsi="Cambria"/>
          <w:sz w:val="24"/>
          <w:szCs w:val="24"/>
        </w:rPr>
        <w:t>ovi</w:t>
      </w:r>
      <w:r>
        <w:rPr>
          <w:rFonts w:ascii="Cambria" w:hAnsi="Cambria"/>
          <w:sz w:val="24"/>
          <w:szCs w:val="24"/>
        </w:rPr>
        <w:t xml:space="preserve">h </w:t>
      </w:r>
      <w:r w:rsidR="005B23E7">
        <w:rPr>
          <w:rFonts w:ascii="Cambria" w:hAnsi="Cambria"/>
          <w:sz w:val="24"/>
          <w:szCs w:val="24"/>
        </w:rPr>
        <w:t>akter</w:t>
      </w:r>
      <w:r>
        <w:rPr>
          <w:rFonts w:ascii="Cambria" w:hAnsi="Cambria"/>
          <w:sz w:val="24"/>
          <w:szCs w:val="24"/>
        </w:rPr>
        <w:t>a</w:t>
      </w:r>
      <w:r w:rsidR="005B23E7">
        <w:rPr>
          <w:rFonts w:ascii="Cambria" w:hAnsi="Cambria"/>
          <w:sz w:val="24"/>
          <w:szCs w:val="24"/>
        </w:rPr>
        <w:t xml:space="preserve"> nakon hladnog rata</w:t>
      </w:r>
    </w:p>
    <w:p w14:paraId="322554D8" w14:textId="6689F61D" w:rsidR="005B23E7" w:rsidRDefault="005B23E7" w:rsidP="005B23E7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Pitanja unipolarizma i multipolarizma nakon hladnog rata</w:t>
      </w:r>
    </w:p>
    <w:p w14:paraId="55B3B1A4" w14:textId="22C297FA" w:rsidR="005B23E7" w:rsidRDefault="00F511F9" w:rsidP="005B23E7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Položaj SAD u savremenom svijetu (vojni, politički, ekonomski aspekt)</w:t>
      </w:r>
    </w:p>
    <w:p w14:paraId="1E4D266B" w14:textId="76A11E2F" w:rsidR="00F511F9" w:rsidRDefault="00F511F9" w:rsidP="005B23E7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Položaj Rusije u savremenom svijetu nakon raspada SSSR (</w:t>
      </w:r>
      <w:r>
        <w:rPr>
          <w:rFonts w:ascii="Cambria" w:hAnsi="Cambria"/>
          <w:sz w:val="24"/>
          <w:szCs w:val="24"/>
        </w:rPr>
        <w:t>vojni, politički, ekonomski aspekt</w:t>
      </w:r>
      <w:r>
        <w:rPr>
          <w:rFonts w:ascii="Cambria" w:hAnsi="Cambria"/>
          <w:sz w:val="24"/>
          <w:szCs w:val="24"/>
        </w:rPr>
        <w:t>)</w:t>
      </w:r>
    </w:p>
    <w:p w14:paraId="1E0FECC9" w14:textId="64056A13" w:rsidR="00F511F9" w:rsidRDefault="00E47F64" w:rsidP="005B23E7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Položaj Kine u savremenom svijetu </w:t>
      </w:r>
    </w:p>
    <w:p w14:paraId="3EC342D4" w14:textId="0D22C48F" w:rsidR="00E47F64" w:rsidRDefault="00E47F64" w:rsidP="005B23E7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Djelovanje BRIKS u međunarodnim odnosima</w:t>
      </w:r>
      <w:r w:rsidR="00213C28">
        <w:rPr>
          <w:rFonts w:ascii="Cambria" w:hAnsi="Cambria"/>
          <w:sz w:val="24"/>
          <w:szCs w:val="24"/>
        </w:rPr>
        <w:t xml:space="preserve"> (posebna pažnja na ulogu Indije i Brazila)</w:t>
      </w:r>
    </w:p>
    <w:p w14:paraId="61D12E6C" w14:textId="2377B167" w:rsidR="00E47F64" w:rsidRDefault="00E47F64" w:rsidP="00E47F64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E47F64">
        <w:rPr>
          <w:rFonts w:ascii="Cambria" w:hAnsi="Cambria"/>
          <w:sz w:val="24"/>
          <w:szCs w:val="24"/>
        </w:rPr>
        <w:t xml:space="preserve">Položaj Turske </w:t>
      </w:r>
      <w:r>
        <w:rPr>
          <w:rFonts w:ascii="Cambria" w:hAnsi="Cambria"/>
          <w:sz w:val="24"/>
          <w:szCs w:val="24"/>
        </w:rPr>
        <w:t>između EU, NATO</w:t>
      </w:r>
      <w:r>
        <w:rPr>
          <w:rFonts w:ascii="Cambria" w:hAnsi="Cambria"/>
          <w:sz w:val="24"/>
          <w:szCs w:val="24"/>
        </w:rPr>
        <w:t>, Rusije i sukoba na Bliskom istoku</w:t>
      </w:r>
    </w:p>
    <w:p w14:paraId="41DD82C7" w14:textId="6BD359F0" w:rsidR="00E47F64" w:rsidRDefault="00E47F64" w:rsidP="00E47F64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Arapsko proljeće</w:t>
      </w:r>
    </w:p>
    <w:p w14:paraId="262E3B9C" w14:textId="5FDB8E63" w:rsidR="00E47F64" w:rsidRDefault="00E47F64" w:rsidP="00E47F64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Analiza sukoba na Bliskom istoku (interesi drugih aktera međunarodnih odnosa na ovom prostoru, ekonomski interesi, politički interesi)</w:t>
      </w:r>
    </w:p>
    <w:p w14:paraId="2397B69D" w14:textId="3AC229C7" w:rsidR="00E47F64" w:rsidRDefault="00E47F64" w:rsidP="00E47F64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Analiza odnosa Izraela i Palestine</w:t>
      </w:r>
    </w:p>
    <w:p w14:paraId="625F9655" w14:textId="17BC5562" w:rsidR="00E47F64" w:rsidRDefault="00E47F64" w:rsidP="00E47F64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Terorizam kao prijetnja miru u 21. vijeku</w:t>
      </w:r>
    </w:p>
    <w:p w14:paraId="37C29D20" w14:textId="6EAAB951" w:rsidR="00E47F64" w:rsidRDefault="00E47F64" w:rsidP="00E47F64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Savremena Evropa. Značaj EU u 21. vijeku (politički, ekonomski, geopolitički problemi , Bregzit)</w:t>
      </w:r>
    </w:p>
    <w:p w14:paraId="26943DBB" w14:textId="6E07FDF0" w:rsidR="00E47F64" w:rsidRDefault="00E47F64" w:rsidP="00E47F64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Latentna krizna žarišta u međunarodnim odnosima (položaj Sjeverne Koreje, Kašmira, Kipra…)</w:t>
      </w:r>
    </w:p>
    <w:p w14:paraId="43A5C27E" w14:textId="456B1630" w:rsidR="00E47F64" w:rsidRDefault="00E47F64" w:rsidP="00E47F64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Savremene prijetnje svjetskoj stabilnosti (migracije, pandemije, ekonomske krize, </w:t>
      </w:r>
      <w:r w:rsidR="00213C28">
        <w:rPr>
          <w:rFonts w:ascii="Cambria" w:hAnsi="Cambria"/>
          <w:sz w:val="24"/>
          <w:szCs w:val="24"/>
        </w:rPr>
        <w:t>zagađenje životne sredine</w:t>
      </w:r>
      <w:r>
        <w:rPr>
          <w:rFonts w:ascii="Cambria" w:hAnsi="Cambria"/>
          <w:sz w:val="24"/>
          <w:szCs w:val="24"/>
        </w:rPr>
        <w:t>)</w:t>
      </w:r>
    </w:p>
    <w:p w14:paraId="7047A800" w14:textId="4107BFA2" w:rsidR="00E47F64" w:rsidRDefault="00213C28" w:rsidP="00E47F64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Interesi različitih aktera međunarodnih odnosa na Balkanu u 21. vijeku</w:t>
      </w:r>
    </w:p>
    <w:p w14:paraId="18DE7CED" w14:textId="7B7E2DA5" w:rsidR="00213C28" w:rsidRPr="00E47F64" w:rsidRDefault="00213C28" w:rsidP="00E47F64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Uloga diplomatije u 21. vijeku (značaj multilateralne diplomatije, nova javna diplomatija država)</w:t>
      </w:r>
    </w:p>
    <w:sectPr w:rsidR="00213C28" w:rsidRPr="00E47F64" w:rsidSect="009E07E6">
      <w:pgSz w:w="12240" w:h="15840"/>
      <w:pgMar w:top="1418" w:right="1701" w:bottom="1701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6D35EA"/>
    <w:multiLevelType w:val="hybridMultilevel"/>
    <w:tmpl w:val="C2C8E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E7"/>
    <w:rsid w:val="00213C28"/>
    <w:rsid w:val="00255813"/>
    <w:rsid w:val="005B23E7"/>
    <w:rsid w:val="009E07E6"/>
    <w:rsid w:val="009F0DD9"/>
    <w:rsid w:val="00E47F64"/>
    <w:rsid w:val="00F5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C8848"/>
  <w15:chartTrackingRefBased/>
  <w15:docId w15:val="{898AC4CD-54EA-4B31-A932-1424B01F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Savic</dc:creator>
  <cp:keywords/>
  <dc:description/>
  <cp:lastModifiedBy>Marko Savic</cp:lastModifiedBy>
  <cp:revision>1</cp:revision>
  <dcterms:created xsi:type="dcterms:W3CDTF">2020-04-28T18:30:00Z</dcterms:created>
  <dcterms:modified xsi:type="dcterms:W3CDTF">2020-04-28T19:26:00Z</dcterms:modified>
</cp:coreProperties>
</file>